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68" w:rsidRPr="00032E30" w:rsidRDefault="00DA2E1A" w:rsidP="00541D56">
      <w:pPr>
        <w:jc w:val="center"/>
        <w:rPr>
          <w:b/>
          <w:sz w:val="28"/>
          <w:szCs w:val="28"/>
        </w:rPr>
      </w:pPr>
      <w:r w:rsidRPr="00032E30">
        <w:rPr>
          <w:b/>
          <w:sz w:val="28"/>
          <w:szCs w:val="28"/>
        </w:rPr>
        <w:t xml:space="preserve">N.C. </w:t>
      </w:r>
      <w:r w:rsidR="00541D56" w:rsidRPr="00032E30">
        <w:rPr>
          <w:b/>
          <w:sz w:val="28"/>
          <w:szCs w:val="28"/>
        </w:rPr>
        <w:t>Local Wellness Policy Checklist</w:t>
      </w:r>
    </w:p>
    <w:p w:rsidR="00541D56" w:rsidRPr="00561A92" w:rsidRDefault="00541D56" w:rsidP="00523D6D">
      <w:pPr>
        <w:rPr>
          <w:sz w:val="18"/>
          <w:szCs w:val="18"/>
        </w:rPr>
      </w:pPr>
      <w:r w:rsidRPr="00541D56">
        <w:rPr>
          <w:sz w:val="20"/>
          <w:szCs w:val="20"/>
        </w:rPr>
        <w:t>USDA’s final ruling on Local Wellness Policies</w:t>
      </w:r>
      <w:r w:rsidR="00523D6D">
        <w:rPr>
          <w:sz w:val="20"/>
          <w:szCs w:val="20"/>
        </w:rPr>
        <w:t>, effective August 29, 2016,</w:t>
      </w:r>
      <w:r w:rsidR="00AC6E04">
        <w:rPr>
          <w:sz w:val="20"/>
          <w:szCs w:val="20"/>
        </w:rPr>
        <w:t xml:space="preserve"> required Local Educational Agencies (LEAs) to fully comply with the final rule by June 30, 2017. The specific required content areas ar</w:t>
      </w:r>
      <w:r w:rsidR="00523D6D">
        <w:rPr>
          <w:sz w:val="20"/>
          <w:szCs w:val="20"/>
        </w:rPr>
        <w:t xml:space="preserve">e listed in the checklist below and are found in the federal regulations at 7 CFR part 210.   </w:t>
      </w:r>
      <w:r w:rsidR="00523D6D" w:rsidRPr="00561A92">
        <w:rPr>
          <w:sz w:val="18"/>
          <w:szCs w:val="18"/>
        </w:rPr>
        <w:t xml:space="preserve">(Form </w:t>
      </w:r>
      <w:r w:rsidR="00561A92" w:rsidRPr="00561A92">
        <w:rPr>
          <w:sz w:val="18"/>
          <w:szCs w:val="18"/>
        </w:rPr>
        <w:t>revised</w:t>
      </w:r>
      <w:r w:rsidR="00523D6D" w:rsidRPr="00561A92">
        <w:rPr>
          <w:sz w:val="18"/>
          <w:szCs w:val="18"/>
        </w:rPr>
        <w:t xml:space="preserve"> </w:t>
      </w:r>
      <w:r w:rsidR="00561A92" w:rsidRPr="00561A92">
        <w:rPr>
          <w:sz w:val="18"/>
          <w:szCs w:val="18"/>
        </w:rPr>
        <w:t>February</w:t>
      </w:r>
      <w:r w:rsidR="00523D6D" w:rsidRPr="00561A92">
        <w:rPr>
          <w:sz w:val="18"/>
          <w:szCs w:val="18"/>
        </w:rPr>
        <w:t xml:space="preserve"> 201</w:t>
      </w:r>
      <w:r w:rsidR="00561A92" w:rsidRPr="00561A92">
        <w:rPr>
          <w:sz w:val="18"/>
          <w:szCs w:val="18"/>
        </w:rPr>
        <w:t>9</w:t>
      </w:r>
      <w:r w:rsidR="00523D6D" w:rsidRPr="00561A92">
        <w:rPr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2"/>
        <w:gridCol w:w="542"/>
        <w:gridCol w:w="510"/>
        <w:gridCol w:w="2392"/>
      </w:tblGrid>
      <w:tr w:rsidR="00541D56" w:rsidTr="00541D56">
        <w:tc>
          <w:tcPr>
            <w:tcW w:w="6138" w:type="dxa"/>
          </w:tcPr>
          <w:p w:rsidR="00541D56" w:rsidRPr="00F05D8F" w:rsidRDefault="00541D56" w:rsidP="00541D56">
            <w:pPr>
              <w:rPr>
                <w:b/>
              </w:rPr>
            </w:pPr>
            <w:r w:rsidRPr="00F05D8F">
              <w:rPr>
                <w:b/>
              </w:rPr>
              <w:t>Local Wellness Policy – requirements for the written policy</w:t>
            </w:r>
          </w:p>
        </w:tc>
        <w:tc>
          <w:tcPr>
            <w:tcW w:w="540" w:type="dxa"/>
          </w:tcPr>
          <w:p w:rsidR="00541D56" w:rsidRPr="00F05D8F" w:rsidRDefault="00541D56" w:rsidP="00541D56">
            <w:pPr>
              <w:rPr>
                <w:b/>
              </w:rPr>
            </w:pPr>
            <w:r w:rsidRPr="00F05D8F">
              <w:rPr>
                <w:b/>
              </w:rPr>
              <w:t xml:space="preserve">YES </w:t>
            </w:r>
          </w:p>
        </w:tc>
        <w:tc>
          <w:tcPr>
            <w:tcW w:w="504" w:type="dxa"/>
          </w:tcPr>
          <w:p w:rsidR="00541D56" w:rsidRPr="00F05D8F" w:rsidRDefault="00541D56" w:rsidP="00541D56">
            <w:pPr>
              <w:rPr>
                <w:b/>
              </w:rPr>
            </w:pPr>
            <w:r w:rsidRPr="00F05D8F">
              <w:rPr>
                <w:b/>
              </w:rPr>
              <w:t>NO</w:t>
            </w:r>
          </w:p>
        </w:tc>
        <w:tc>
          <w:tcPr>
            <w:tcW w:w="2394" w:type="dxa"/>
          </w:tcPr>
          <w:p w:rsidR="00541D56" w:rsidRPr="00F05D8F" w:rsidRDefault="00541D56" w:rsidP="00541D56">
            <w:pPr>
              <w:rPr>
                <w:b/>
              </w:rPr>
            </w:pPr>
            <w:r w:rsidRPr="00F05D8F">
              <w:rPr>
                <w:b/>
              </w:rPr>
              <w:t>COMMENTS</w:t>
            </w:r>
          </w:p>
        </w:tc>
      </w:tr>
      <w:tr w:rsidR="00541D56" w:rsidTr="00541D56">
        <w:tc>
          <w:tcPr>
            <w:tcW w:w="6138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541D56" w:rsidP="00541D56">
            <w:r w:rsidRPr="00F05D8F">
              <w:rPr>
                <w:b/>
              </w:rPr>
              <w:t>Policy Leadership</w:t>
            </w:r>
            <w:r w:rsidR="001E35E0">
              <w:t>: LEA</w:t>
            </w:r>
            <w:r w:rsidRPr="00F05D8F">
              <w:t>s are required to identify the official responsible for LWP oversight or the position/title of the person</w:t>
            </w:r>
            <w:r w:rsidR="00523D6D">
              <w:t>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541D56" w:rsidP="00541D56">
            <w:r w:rsidRPr="00F05D8F">
              <w:rPr>
                <w:b/>
              </w:rPr>
              <w:t>Public Involvement</w:t>
            </w:r>
            <w:r w:rsidR="003A738B">
              <w:t xml:space="preserve">: Include </w:t>
            </w:r>
            <w:r w:rsidRPr="00F05D8F">
              <w:t>language related to permitting the public to participate in LWP development, implementation, &amp; review of policy</w:t>
            </w:r>
            <w:r w:rsidR="003A738B">
              <w:t>. Include</w:t>
            </w:r>
            <w:r w:rsidR="00561A92">
              <w:t>s a</w:t>
            </w:r>
            <w:r w:rsidR="00C95814">
              <w:t xml:space="preserve"> broad representation of stakeholders.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Pr="00C95814" w:rsidRDefault="00541D56" w:rsidP="00541D56">
            <w:pPr>
              <w:rPr>
                <w:sz w:val="16"/>
                <w:szCs w:val="16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541D56" w:rsidP="00541D56">
            <w:r w:rsidRPr="00F05D8F">
              <w:rPr>
                <w:b/>
              </w:rPr>
              <w:t>School Meals</w:t>
            </w:r>
            <w:r w:rsidR="00523D6D">
              <w:t>:  LE</w:t>
            </w:r>
            <w:r w:rsidRPr="00F05D8F">
              <w:t xml:space="preserve">As are required to adhere to </w:t>
            </w:r>
            <w:r w:rsidR="000D710D">
              <w:t>federal meal regulations;</w:t>
            </w:r>
            <w:r w:rsidRPr="00F05D8F">
              <w:t xml:space="preserve"> include language related to this in the written policy</w:t>
            </w:r>
            <w:r w:rsidR="003A738B">
              <w:t>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541D56" w:rsidP="00541D56">
            <w:r w:rsidRPr="00F05D8F">
              <w:rPr>
                <w:b/>
              </w:rPr>
              <w:t>Foods sold outside of school meals program</w:t>
            </w:r>
            <w:r w:rsidR="00523D6D">
              <w:t>:  LE</w:t>
            </w:r>
            <w:r w:rsidRPr="00F05D8F">
              <w:t>As must adhere to</w:t>
            </w:r>
            <w:r w:rsidR="00AB3406">
              <w:t xml:space="preserve"> federal (</w:t>
            </w:r>
            <w:r w:rsidRPr="00F05D8F">
              <w:t>Smart Snacks</w:t>
            </w:r>
            <w:r w:rsidR="00AB3406">
              <w:t>) and state</w:t>
            </w:r>
            <w:r w:rsidR="00523D6D">
              <w:t xml:space="preserve"> rules</w:t>
            </w:r>
            <w:r w:rsidRPr="00F05D8F">
              <w:t xml:space="preserve"> </w:t>
            </w:r>
            <w:r w:rsidR="00AB3406">
              <w:t>that govern competitive food sales;</w:t>
            </w:r>
            <w:r w:rsidRPr="00F05D8F">
              <w:t xml:space="preserve"> include language related to this in the written policy</w:t>
            </w:r>
            <w:r w:rsidR="00523D6D">
              <w:t>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541D56" w:rsidP="00541D56">
            <w:r w:rsidRPr="00F05D8F">
              <w:rPr>
                <w:b/>
              </w:rPr>
              <w:t>Foods provided but not sold:</w:t>
            </w:r>
            <w:r w:rsidRPr="00F05D8F">
              <w:t xml:space="preserve"> USDA has not </w:t>
            </w:r>
            <w:r w:rsidR="00B1735C">
              <w:t>defined specific guidelines for these</w:t>
            </w:r>
            <w:r w:rsidR="00561A92">
              <w:t>; however,</w:t>
            </w:r>
            <w:r w:rsidR="00B1735C">
              <w:t xml:space="preserve"> </w:t>
            </w:r>
            <w:r w:rsidR="00523D6D">
              <w:t>LE</w:t>
            </w:r>
            <w:r w:rsidRPr="00F05D8F">
              <w:t>As are responsible for defining</w:t>
            </w:r>
            <w:r w:rsidR="00AB3406">
              <w:t xml:space="preserve"> their own</w:t>
            </w:r>
            <w:r w:rsidRPr="00F05D8F">
              <w:t xml:space="preserve"> guidelines in their written policy</w:t>
            </w:r>
            <w:r w:rsidR="00AB3406">
              <w:t>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541D56" w:rsidP="00541D56">
            <w:r w:rsidRPr="00F05D8F">
              <w:rPr>
                <w:b/>
              </w:rPr>
              <w:t>Food and Beverage Marketing</w:t>
            </w:r>
            <w:r w:rsidR="00AB3406">
              <w:t>:  LE</w:t>
            </w:r>
            <w:r w:rsidRPr="00F05D8F">
              <w:t>As may only market products that adhere to Smart Snacks guidelines</w:t>
            </w:r>
            <w:r w:rsidR="00F05D8F" w:rsidRPr="00F05D8F">
              <w:t>, or stricter local guidelines,</w:t>
            </w:r>
            <w:r w:rsidRPr="00F05D8F">
              <w:t xml:space="preserve"> during the school day and include language</w:t>
            </w:r>
            <w:r w:rsidR="00F05D8F" w:rsidRPr="00F05D8F">
              <w:t xml:space="preserve"> related to this in their written policy</w:t>
            </w:r>
            <w:r w:rsidR="00B1735C">
              <w:t>.</w:t>
            </w:r>
            <w:r w:rsidRPr="00F05D8F">
              <w:t xml:space="preserve"> 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F05D8F" w:rsidP="00541D56">
            <w:r w:rsidRPr="00F05D8F">
              <w:rPr>
                <w:b/>
              </w:rPr>
              <w:t>Nutrition Education</w:t>
            </w:r>
            <w:r w:rsidR="00AB3406">
              <w:t>: LEAs must include</w:t>
            </w:r>
            <w:r w:rsidR="00561A92">
              <w:t xml:space="preserve"> </w:t>
            </w:r>
            <w:r w:rsidR="000D710D">
              <w:t xml:space="preserve">at </w:t>
            </w:r>
            <w:r w:rsidR="00561A92">
              <w:t>least</w:t>
            </w:r>
            <w:r w:rsidRPr="00F05D8F">
              <w:t xml:space="preserve"> one</w:t>
            </w:r>
            <w:r w:rsidR="00AB3406">
              <w:t xml:space="preserve"> or more</w:t>
            </w:r>
            <w:r w:rsidRPr="00F05D8F">
              <w:t xml:space="preserve"> g</w:t>
            </w:r>
            <w:r w:rsidR="00AB3406">
              <w:t>oals for Nutrition Ed</w:t>
            </w:r>
            <w:r w:rsidR="000D710D">
              <w:t>ucation</w:t>
            </w:r>
            <w:r w:rsidR="00AB3406">
              <w:t>, using e</w:t>
            </w:r>
            <w:r w:rsidRPr="00F05D8F">
              <w:t>vidence-bas</w:t>
            </w:r>
            <w:r w:rsidR="00AB3406">
              <w:t>ed</w:t>
            </w:r>
            <w:r w:rsidR="000D710D">
              <w:t xml:space="preserve"> </w:t>
            </w:r>
            <w:r w:rsidR="00AB3406">
              <w:t>strategies.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F05D8F" w:rsidP="00541D56">
            <w:r w:rsidRPr="00F05D8F">
              <w:rPr>
                <w:b/>
              </w:rPr>
              <w:t>Nutrition Promotion</w:t>
            </w:r>
            <w:r w:rsidR="00AB3406">
              <w:t>: LE</w:t>
            </w:r>
            <w:r w:rsidRPr="00F05D8F">
              <w:t xml:space="preserve">As must include at </w:t>
            </w:r>
            <w:r w:rsidR="00561A92">
              <w:t>least</w:t>
            </w:r>
            <w:r w:rsidRPr="00F05D8F">
              <w:t xml:space="preserve"> o</w:t>
            </w:r>
            <w:r w:rsidR="00AB3406">
              <w:t>ne</w:t>
            </w:r>
            <w:r w:rsidR="00561A92">
              <w:t xml:space="preserve"> or more</w:t>
            </w:r>
            <w:r w:rsidR="00AB3406">
              <w:t xml:space="preserve"> goal</w:t>
            </w:r>
            <w:r w:rsidR="00561A92">
              <w:t>s</w:t>
            </w:r>
            <w:r w:rsidR="00AB3406">
              <w:t xml:space="preserve"> for Nutrition Promotion, using evidence-based strategies</w:t>
            </w:r>
            <w:r w:rsidR="00561A92">
              <w:t>, such as “Smarter Lunchroom” strategies (Cornell Univ).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F05D8F" w:rsidP="00541D56">
            <w:r w:rsidRPr="00F05D8F">
              <w:rPr>
                <w:b/>
              </w:rPr>
              <w:t>Physical Activity</w:t>
            </w:r>
            <w:r w:rsidR="00AB3406">
              <w:t>:  LE</w:t>
            </w:r>
            <w:r w:rsidRPr="00F05D8F">
              <w:t>As must include</w:t>
            </w:r>
            <w:r w:rsidR="00561A92">
              <w:t xml:space="preserve"> </w:t>
            </w:r>
            <w:r w:rsidRPr="00F05D8F">
              <w:t xml:space="preserve">at </w:t>
            </w:r>
            <w:r w:rsidR="00561A92">
              <w:t>least</w:t>
            </w:r>
            <w:r w:rsidRPr="00F05D8F">
              <w:t xml:space="preserve"> one goal for Physical Activity in the LWP.  Evidence-base</w:t>
            </w:r>
            <w:r w:rsidR="00170061">
              <w:t xml:space="preserve">d strategies should be reviewed and </w:t>
            </w:r>
            <w:r w:rsidRPr="00F05D8F">
              <w:t>used</w:t>
            </w:r>
            <w:r w:rsidR="00AB3406">
              <w:t>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F05D8F" w:rsidP="00541D56">
            <w:r w:rsidRPr="00F05D8F">
              <w:rPr>
                <w:b/>
              </w:rPr>
              <w:t>Other School-Based Strategies for Wellness</w:t>
            </w:r>
            <w:r w:rsidR="00AB3406">
              <w:t>:  LE</w:t>
            </w:r>
            <w:r w:rsidRPr="00F05D8F">
              <w:t>As must include</w:t>
            </w:r>
            <w:r w:rsidR="00561A92">
              <w:t xml:space="preserve"> at least</w:t>
            </w:r>
            <w:r w:rsidR="00170061">
              <w:t xml:space="preserve"> one goa</w:t>
            </w:r>
            <w:r w:rsidR="000D710D">
              <w:t>l on School-Based A</w:t>
            </w:r>
            <w:r w:rsidR="00170061">
              <w:t>ctivities that</w:t>
            </w:r>
            <w:r w:rsidR="000D710D">
              <w:t xml:space="preserve"> P</w:t>
            </w:r>
            <w:r w:rsidR="00170061">
              <w:t>romote</w:t>
            </w:r>
            <w:r w:rsidR="000D710D">
              <w:t xml:space="preserve"> S</w:t>
            </w:r>
            <w:r w:rsidR="00170061">
              <w:t>tudent</w:t>
            </w:r>
            <w:r w:rsidR="000D710D">
              <w:t xml:space="preserve"> W</w:t>
            </w:r>
            <w:r w:rsidR="00170061">
              <w:t>ellness</w:t>
            </w:r>
            <w:r w:rsidR="000D710D">
              <w:t xml:space="preserve">, using </w:t>
            </w:r>
            <w:r w:rsidRPr="00F05D8F">
              <w:t>evidence-based strategies.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</w:tr>
      <w:tr w:rsidR="00541D56" w:rsidTr="00541D56">
        <w:tc>
          <w:tcPr>
            <w:tcW w:w="6138" w:type="dxa"/>
          </w:tcPr>
          <w:p w:rsidR="00541D56" w:rsidRPr="00F05D8F" w:rsidRDefault="00F05D8F" w:rsidP="00541D56">
            <w:r w:rsidRPr="00F05D8F">
              <w:rPr>
                <w:b/>
              </w:rPr>
              <w:t>Triennial Assessment</w:t>
            </w:r>
            <w:r w:rsidRPr="00F05D8F">
              <w:t>: LWPs must include language regarding the</w:t>
            </w:r>
            <w:r w:rsidR="00561A92">
              <w:t xml:space="preserve"> plan for</w:t>
            </w:r>
            <w:r w:rsidRPr="00F05D8F">
              <w:t xml:space="preserve"> completion of a triennial assessment</w:t>
            </w:r>
            <w:r w:rsidR="00B1735C">
              <w:t>.</w:t>
            </w:r>
          </w:p>
        </w:tc>
        <w:tc>
          <w:tcPr>
            <w:tcW w:w="540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541D56" w:rsidRDefault="00541D56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41D56" w:rsidRPr="00C95814" w:rsidRDefault="00541D56" w:rsidP="00541D56">
            <w:pPr>
              <w:rPr>
                <w:sz w:val="16"/>
                <w:szCs w:val="16"/>
              </w:rPr>
            </w:pPr>
          </w:p>
        </w:tc>
      </w:tr>
      <w:tr w:rsidR="00F05D8F" w:rsidTr="00541D56">
        <w:tc>
          <w:tcPr>
            <w:tcW w:w="6138" w:type="dxa"/>
          </w:tcPr>
          <w:p w:rsidR="00F05D8F" w:rsidRPr="00F05D8F" w:rsidRDefault="00C95814" w:rsidP="00541D56">
            <w:r>
              <w:rPr>
                <w:b/>
              </w:rPr>
              <w:t>Review/</w:t>
            </w:r>
            <w:r w:rsidR="00F05D8F" w:rsidRPr="00F05D8F">
              <w:rPr>
                <w:b/>
              </w:rPr>
              <w:t>Update/Inform the Public</w:t>
            </w:r>
            <w:r w:rsidR="00170061">
              <w:t>:  LE</w:t>
            </w:r>
            <w:r w:rsidR="00F05D8F" w:rsidRPr="00F05D8F">
              <w:t>As a</w:t>
            </w:r>
            <w:r w:rsidR="00170061">
              <w:t>re required t</w:t>
            </w:r>
            <w:r w:rsidR="00EA75EE">
              <w:t xml:space="preserve">o </w:t>
            </w:r>
            <w:r w:rsidR="008D4A49">
              <w:t xml:space="preserve">annually </w:t>
            </w:r>
            <w:r w:rsidR="00170061">
              <w:t>inform</w:t>
            </w:r>
            <w:r w:rsidR="00F05D8F" w:rsidRPr="00F05D8F">
              <w:t xml:space="preserve"> the public</w:t>
            </w:r>
            <w:bookmarkStart w:id="0" w:name="_GoBack"/>
            <w:bookmarkEnd w:id="0"/>
            <w:r w:rsidR="00F05D8F" w:rsidRPr="00F05D8F">
              <w:t xml:space="preserve"> about the content and implementation of the LWP</w:t>
            </w:r>
            <w:r w:rsidR="00170061">
              <w:t>, any updates to the policy,</w:t>
            </w:r>
            <w:r w:rsidR="009504BC">
              <w:t xml:space="preserve"> and </w:t>
            </w:r>
            <w:r w:rsidR="00170061">
              <w:t xml:space="preserve">the </w:t>
            </w:r>
            <w:r w:rsidR="009504BC">
              <w:t>results of</w:t>
            </w:r>
            <w:r w:rsidR="00170061">
              <w:t xml:space="preserve"> the</w:t>
            </w:r>
            <w:r w:rsidR="009504BC">
              <w:t xml:space="preserve"> most recent assessment of </w:t>
            </w:r>
            <w:r w:rsidR="00170061">
              <w:t xml:space="preserve">the </w:t>
            </w:r>
            <w:r w:rsidR="009504BC">
              <w:t>policy,</w:t>
            </w:r>
            <w:r w:rsidR="00F05D8F" w:rsidRPr="00F05D8F">
              <w:t xml:space="preserve"> and specify in the policy how the SFA will be in compliance with this requirement</w:t>
            </w:r>
            <w:r w:rsidR="00170061">
              <w:t>.</w:t>
            </w:r>
          </w:p>
        </w:tc>
        <w:tc>
          <w:tcPr>
            <w:tcW w:w="540" w:type="dxa"/>
          </w:tcPr>
          <w:p w:rsidR="00F05D8F" w:rsidRDefault="00F05D8F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F05D8F" w:rsidRDefault="00F05D8F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F05D8F" w:rsidRPr="00C95814" w:rsidRDefault="00F05D8F" w:rsidP="00541D56">
            <w:pPr>
              <w:rPr>
                <w:sz w:val="16"/>
                <w:szCs w:val="16"/>
              </w:rPr>
            </w:pPr>
          </w:p>
        </w:tc>
      </w:tr>
      <w:tr w:rsidR="00F05D8F" w:rsidTr="00541D56">
        <w:tc>
          <w:tcPr>
            <w:tcW w:w="6138" w:type="dxa"/>
          </w:tcPr>
          <w:p w:rsidR="00F05D8F" w:rsidRPr="009504BC" w:rsidRDefault="00561A92" w:rsidP="00541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of Reviewer:</w:t>
            </w:r>
          </w:p>
        </w:tc>
        <w:tc>
          <w:tcPr>
            <w:tcW w:w="540" w:type="dxa"/>
          </w:tcPr>
          <w:p w:rsidR="00F05D8F" w:rsidRDefault="00F05D8F" w:rsidP="00541D56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F05D8F" w:rsidRDefault="00F05D8F" w:rsidP="00541D5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F05D8F" w:rsidRDefault="00561A92" w:rsidP="0054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:rsidR="00561A92" w:rsidRDefault="00561A92" w:rsidP="00541D56">
            <w:pPr>
              <w:rPr>
                <w:sz w:val="20"/>
                <w:szCs w:val="20"/>
              </w:rPr>
            </w:pPr>
          </w:p>
        </w:tc>
      </w:tr>
    </w:tbl>
    <w:p w:rsidR="00541D56" w:rsidRPr="00541D56" w:rsidRDefault="00541D56" w:rsidP="00541D56">
      <w:pPr>
        <w:rPr>
          <w:sz w:val="20"/>
          <w:szCs w:val="20"/>
        </w:rPr>
      </w:pPr>
      <w:r w:rsidRPr="00541D56">
        <w:rPr>
          <w:sz w:val="20"/>
          <w:szCs w:val="20"/>
        </w:rPr>
        <w:t xml:space="preserve">  </w:t>
      </w:r>
    </w:p>
    <w:p w:rsidR="00F05D8F" w:rsidRPr="00F05D8F" w:rsidRDefault="00F05D8F" w:rsidP="00F05D8F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</w:t>
      </w:r>
      <w:r w:rsidR="00523D6D">
        <w:rPr>
          <w:sz w:val="20"/>
          <w:szCs w:val="20"/>
        </w:rPr>
        <w:tab/>
      </w:r>
      <w:r w:rsidR="00523D6D">
        <w:rPr>
          <w:sz w:val="20"/>
          <w:szCs w:val="20"/>
        </w:rPr>
        <w:tab/>
      </w:r>
      <w:r w:rsidR="00523D6D">
        <w:rPr>
          <w:sz w:val="20"/>
          <w:szCs w:val="20"/>
        </w:rPr>
        <w:tab/>
      </w:r>
      <w:r w:rsidR="00523D6D">
        <w:rPr>
          <w:sz w:val="20"/>
          <w:szCs w:val="20"/>
        </w:rPr>
        <w:tab/>
      </w:r>
      <w:r w:rsidR="00523D6D">
        <w:rPr>
          <w:sz w:val="20"/>
          <w:szCs w:val="20"/>
        </w:rPr>
        <w:tab/>
      </w:r>
      <w:r w:rsidR="00523D6D">
        <w:rPr>
          <w:sz w:val="20"/>
          <w:szCs w:val="20"/>
        </w:rPr>
        <w:tab/>
      </w:r>
      <w:r>
        <w:rPr>
          <w:sz w:val="16"/>
          <w:szCs w:val="16"/>
        </w:rPr>
        <w:t xml:space="preserve">  </w:t>
      </w:r>
    </w:p>
    <w:sectPr w:rsidR="00F05D8F" w:rsidRPr="00F05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D56"/>
    <w:rsid w:val="00032E30"/>
    <w:rsid w:val="000C3381"/>
    <w:rsid w:val="000D710D"/>
    <w:rsid w:val="00170061"/>
    <w:rsid w:val="001E35E0"/>
    <w:rsid w:val="00237C29"/>
    <w:rsid w:val="002440D8"/>
    <w:rsid w:val="002E7ED9"/>
    <w:rsid w:val="003A738B"/>
    <w:rsid w:val="00515D86"/>
    <w:rsid w:val="00523D6D"/>
    <w:rsid w:val="00541D56"/>
    <w:rsid w:val="00561A92"/>
    <w:rsid w:val="005C1451"/>
    <w:rsid w:val="008D4A49"/>
    <w:rsid w:val="009504BC"/>
    <w:rsid w:val="00965D32"/>
    <w:rsid w:val="009C7368"/>
    <w:rsid w:val="00AB3406"/>
    <w:rsid w:val="00AC6E04"/>
    <w:rsid w:val="00B1735C"/>
    <w:rsid w:val="00C95814"/>
    <w:rsid w:val="00D20481"/>
    <w:rsid w:val="00D54AC3"/>
    <w:rsid w:val="00DA2E1A"/>
    <w:rsid w:val="00EA75EE"/>
    <w:rsid w:val="00F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EC4F"/>
  <w15:docId w15:val="{09791464-6150-4AFD-9B86-33603091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hinton</dc:creator>
  <cp:lastModifiedBy>Sarah Hinton</cp:lastModifiedBy>
  <cp:revision>8</cp:revision>
  <dcterms:created xsi:type="dcterms:W3CDTF">2019-02-11T20:14:00Z</dcterms:created>
  <dcterms:modified xsi:type="dcterms:W3CDTF">2019-03-06T17:37:00Z</dcterms:modified>
</cp:coreProperties>
</file>