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2"/>
          <w:szCs w:val="52"/>
          <w:u w:val="single"/>
        </w:rPr>
      </w:pPr>
      <w:r w:rsidDel="00000000" w:rsidR="00000000" w:rsidRPr="00000000">
        <w:rPr>
          <w:b w:val="1"/>
          <w:sz w:val="52"/>
          <w:szCs w:val="52"/>
          <w:u w:val="single"/>
          <w:rtl w:val="0"/>
        </w:rPr>
        <w:t xml:space="preserve">“I Can” Statements</w:t>
      </w:r>
    </w:p>
    <w:p w:rsidR="00000000" w:rsidDel="00000000" w:rsidP="00000000" w:rsidRDefault="00000000" w:rsidRPr="00000000" w14:paraId="00000002">
      <w:pPr>
        <w:jc w:val="left"/>
        <w:rPr>
          <w:b w:val="1"/>
          <w:sz w:val="52"/>
          <w:szCs w:val="52"/>
          <w:u w:val="single"/>
        </w:rPr>
      </w:pPr>
      <w:r w:rsidDel="00000000" w:rsidR="00000000" w:rsidRPr="00000000">
        <w:rPr>
          <w:rtl w:val="0"/>
        </w:rPr>
      </w:r>
    </w:p>
    <w:p w:rsidR="00000000" w:rsidDel="00000000" w:rsidP="00000000" w:rsidRDefault="00000000" w:rsidRPr="00000000" w14:paraId="00000003">
      <w:pPr>
        <w:jc w:val="center"/>
        <w:rPr>
          <w:sz w:val="36"/>
          <w:szCs w:val="36"/>
        </w:rPr>
      </w:pPr>
      <w:r w:rsidDel="00000000" w:rsidR="00000000" w:rsidRPr="00000000">
        <w:rPr>
          <w:rtl w:val="0"/>
        </w:rPr>
      </w:r>
    </w:p>
    <w:p w:rsidR="00000000" w:rsidDel="00000000" w:rsidP="00000000" w:rsidRDefault="00000000" w:rsidRPr="00000000" w14:paraId="00000004">
      <w:pPr>
        <w:numPr>
          <w:ilvl w:val="0"/>
          <w:numId w:val="1"/>
        </w:numPr>
        <w:ind w:left="720" w:hanging="360"/>
        <w:rPr>
          <w:sz w:val="36"/>
          <w:szCs w:val="36"/>
          <w:u w:val="none"/>
        </w:rPr>
      </w:pPr>
      <w:r w:rsidDel="00000000" w:rsidR="00000000" w:rsidRPr="00000000">
        <w:rPr>
          <w:sz w:val="36"/>
          <w:szCs w:val="36"/>
          <w:rtl w:val="0"/>
        </w:rPr>
        <w:t xml:space="preserve">Approaches to Play and Learning</w:t>
      </w:r>
    </w:p>
    <w:tbl>
      <w:tblPr>
        <w:tblStyle w:val="Table1"/>
        <w:tblW w:w="115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gridCol w:w="735"/>
        <w:gridCol w:w="765"/>
        <w:gridCol w:w="735"/>
        <w:tblGridChange w:id="0">
          <w:tblGrid>
            <w:gridCol w:w="9270"/>
            <w:gridCol w:w="735"/>
            <w:gridCol w:w="765"/>
            <w:gridCol w:w="73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b w:val="1"/>
                <w:sz w:val="24"/>
                <w:szCs w:val="24"/>
              </w:rPr>
            </w:pPr>
            <w:r w:rsidDel="00000000" w:rsidR="00000000" w:rsidRPr="00000000">
              <w:rPr>
                <w:sz w:val="24"/>
                <w:szCs w:val="24"/>
                <w:rtl w:val="0"/>
              </w:rPr>
              <w:t xml:space="preserve">The Approaches to Play and Learning area addresses how children learn and includes children’s attitudes toward and interest in learning. It reflects behaviors and attitudes such as curiosity, problem-solving, maintaining attention, and persistence. Children display these characteristics in the way they learn in all domains and curriculum areas, including music, dramatic play, and art.</w:t>
            </w:r>
            <w:r w:rsidDel="00000000" w:rsidR="00000000" w:rsidRPr="00000000">
              <w:rPr>
                <w:b w:val="1"/>
                <w:sz w:val="24"/>
                <w:szCs w:val="24"/>
                <w:rtl w:val="0"/>
              </w:rPr>
              <w:t xml:space="preserve"> – 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247775" cy="1259039"/>
                      <wp:effectExtent b="0" l="0" r="0" t="0"/>
                      <wp:docPr id="3"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247775" cy="1259039"/>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47775" cy="1259039"/>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sz w:val="32"/>
                <w:szCs w:val="32"/>
              </w:rPr>
            </w:pPr>
            <w:r w:rsidDel="00000000" w:rsidR="00000000" w:rsidRPr="00000000">
              <w:rPr>
                <w:sz w:val="32"/>
                <w:szCs w:val="32"/>
                <w:rtl w:val="0"/>
              </w:rPr>
              <w:t xml:space="preserve">I can keep trying when things get hard.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sz w:val="32"/>
                <w:szCs w:val="32"/>
              </w:rPr>
            </w:pPr>
            <w:r w:rsidDel="00000000" w:rsidR="00000000" w:rsidRPr="00000000">
              <w:rPr>
                <w:sz w:val="32"/>
                <w:szCs w:val="32"/>
                <w:rtl w:val="0"/>
              </w:rPr>
              <w:t xml:space="preserve">I can use my toys and materials in creative and inventive ways.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6"/>
                <w:szCs w:val="36"/>
              </w:rPr>
            </w:pPr>
            <w:r w:rsidDel="00000000" w:rsidR="00000000" w:rsidRPr="00000000">
              <w:rPr>
                <w:rtl w:val="0"/>
              </w:rPr>
            </w:r>
          </w:p>
        </w:tc>
      </w:tr>
    </w:tbl>
    <w:p w:rsidR="00000000" w:rsidDel="00000000" w:rsidP="00000000" w:rsidRDefault="00000000" w:rsidRPr="00000000" w14:paraId="00000011">
      <w:pPr>
        <w:rPr>
          <w:sz w:val="36"/>
          <w:szCs w:val="36"/>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36"/>
          <w:szCs w:val="36"/>
          <w:u w:val="none"/>
        </w:rPr>
      </w:pPr>
      <w:r w:rsidDel="00000000" w:rsidR="00000000" w:rsidRPr="00000000">
        <w:rPr>
          <w:sz w:val="36"/>
          <w:szCs w:val="36"/>
          <w:rtl w:val="0"/>
        </w:rPr>
        <w:t xml:space="preserve">Emotional and Social Development</w:t>
      </w:r>
    </w:p>
    <w:tbl>
      <w:tblPr>
        <w:tblStyle w:val="Table2"/>
        <w:tblW w:w="115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gridCol w:w="720"/>
        <w:gridCol w:w="765"/>
        <w:gridCol w:w="750"/>
        <w:tblGridChange w:id="0">
          <w:tblGrid>
            <w:gridCol w:w="9270"/>
            <w:gridCol w:w="720"/>
            <w:gridCol w:w="765"/>
            <w:gridCol w:w="750"/>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b w:val="1"/>
                <w:sz w:val="24"/>
                <w:szCs w:val="24"/>
              </w:rPr>
            </w:pPr>
            <w:r w:rsidDel="00000000" w:rsidR="00000000" w:rsidRPr="00000000">
              <w:rPr>
                <w:sz w:val="24"/>
                <w:szCs w:val="24"/>
                <w:rtl w:val="0"/>
              </w:rPr>
              <w:t xml:space="preserve">The Emotional and Social Development area addresses the way children feel about themselves, their relationships with others, and how they learn to manage and express emotions. The development of positive emotional and social skills forms the basis for positive development in each of the other areas. Building strong relationships early in life helps children foster later relationships with teachers and peers</w:t>
            </w:r>
            <w:r w:rsidDel="00000000" w:rsidR="00000000" w:rsidRPr="00000000">
              <w:rPr>
                <w:b w:val="1"/>
                <w:sz w:val="24"/>
                <w:szCs w:val="24"/>
                <w:rtl w:val="0"/>
              </w:rPr>
              <w:t xml:space="preserve">. – 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273504" cy="1497332"/>
                      <wp:effectExtent b="0" l="0" r="0" t="0"/>
                      <wp:docPr id="2"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273504" cy="1497332"/>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3504" cy="1497332"/>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sz w:val="32"/>
                <w:szCs w:val="32"/>
              </w:rPr>
            </w:pPr>
            <w:r w:rsidDel="00000000" w:rsidR="00000000" w:rsidRPr="00000000">
              <w:rPr>
                <w:sz w:val="32"/>
                <w:szCs w:val="32"/>
                <w:rtl w:val="0"/>
              </w:rPr>
              <w:t xml:space="preserve">I can tell others about myself.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sz w:val="32"/>
                <w:szCs w:val="32"/>
              </w:rPr>
            </w:pPr>
            <w:r w:rsidDel="00000000" w:rsidR="00000000" w:rsidRPr="00000000">
              <w:rPr>
                <w:sz w:val="32"/>
                <w:szCs w:val="32"/>
                <w:rtl w:val="0"/>
              </w:rPr>
              <w:t xml:space="preserve">I can develop relationships with trusted adults.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sz w:val="32"/>
                <w:szCs w:val="32"/>
              </w:rPr>
            </w:pPr>
            <w:r w:rsidDel="00000000" w:rsidR="00000000" w:rsidRPr="00000000">
              <w:rPr>
                <w:i w:val="1"/>
                <w:sz w:val="32"/>
                <w:szCs w:val="32"/>
                <w:rtl w:val="0"/>
              </w:rPr>
              <w:t xml:space="preserve">Optional-if in groups</w:t>
            </w:r>
            <w:r w:rsidDel="00000000" w:rsidR="00000000" w:rsidRPr="00000000">
              <w:rPr>
                <w:sz w:val="32"/>
                <w:szCs w:val="32"/>
                <w:rtl w:val="0"/>
              </w:rPr>
              <w:t xml:space="preserve">: I can engage positively with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23">
      <w:pPr>
        <w:rPr>
          <w:sz w:val="36"/>
          <w:szCs w:val="36"/>
        </w:rPr>
      </w:pPr>
      <w:r w:rsidDel="00000000" w:rsidR="00000000" w:rsidRPr="00000000">
        <w:rPr>
          <w:rtl w:val="0"/>
        </w:rPr>
      </w:r>
    </w:p>
    <w:p w:rsidR="00000000" w:rsidDel="00000000" w:rsidP="00000000" w:rsidRDefault="00000000" w:rsidRPr="00000000" w14:paraId="00000024">
      <w:pPr>
        <w:rPr>
          <w:sz w:val="36"/>
          <w:szCs w:val="36"/>
        </w:rPr>
      </w:pPr>
      <w:r w:rsidDel="00000000" w:rsidR="00000000" w:rsidRPr="00000000">
        <w:rPr>
          <w:rtl w:val="0"/>
        </w:rPr>
      </w:r>
    </w:p>
    <w:p w:rsidR="00000000" w:rsidDel="00000000" w:rsidP="00000000" w:rsidRDefault="00000000" w:rsidRPr="00000000" w14:paraId="00000025">
      <w:pPr>
        <w:rPr>
          <w:sz w:val="36"/>
          <w:szCs w:val="36"/>
        </w:rPr>
      </w:pPr>
      <w:r w:rsidDel="00000000" w:rsidR="00000000" w:rsidRPr="00000000">
        <w:rPr>
          <w:rtl w:val="0"/>
        </w:rPr>
      </w:r>
    </w:p>
    <w:p w:rsidR="00000000" w:rsidDel="00000000" w:rsidP="00000000" w:rsidRDefault="00000000" w:rsidRPr="00000000" w14:paraId="00000026">
      <w:pPr>
        <w:rPr>
          <w:sz w:val="36"/>
          <w:szCs w:val="36"/>
        </w:rPr>
      </w:pPr>
      <w:r w:rsidDel="00000000" w:rsidR="00000000" w:rsidRPr="00000000">
        <w:rPr>
          <w:rtl w:val="0"/>
        </w:rPr>
      </w:r>
    </w:p>
    <w:p w:rsidR="00000000" w:rsidDel="00000000" w:rsidP="00000000" w:rsidRDefault="00000000" w:rsidRPr="00000000" w14:paraId="00000027">
      <w:pPr>
        <w:rPr>
          <w:sz w:val="36"/>
          <w:szCs w:val="36"/>
        </w:rPr>
      </w:pPr>
      <w:r w:rsidDel="00000000" w:rsidR="00000000" w:rsidRPr="00000000">
        <w:rPr>
          <w:rtl w:val="0"/>
        </w:rPr>
      </w:r>
    </w:p>
    <w:p w:rsidR="00000000" w:rsidDel="00000000" w:rsidP="00000000" w:rsidRDefault="00000000" w:rsidRPr="00000000" w14:paraId="00000028">
      <w:pPr>
        <w:rPr>
          <w:sz w:val="36"/>
          <w:szCs w:val="36"/>
        </w:rPr>
      </w:pPr>
      <w:r w:rsidDel="00000000" w:rsidR="00000000" w:rsidRPr="00000000">
        <w:rPr>
          <w:rtl w:val="0"/>
        </w:rPr>
      </w:r>
    </w:p>
    <w:p w:rsidR="00000000" w:rsidDel="00000000" w:rsidP="00000000" w:rsidRDefault="00000000" w:rsidRPr="00000000" w14:paraId="00000029">
      <w:pPr>
        <w:rPr>
          <w:sz w:val="36"/>
          <w:szCs w:val="36"/>
        </w:rPr>
      </w:pPr>
      <w:r w:rsidDel="00000000" w:rsidR="00000000" w:rsidRPr="00000000">
        <w:rPr>
          <w:rtl w:val="0"/>
        </w:rPr>
      </w:r>
    </w:p>
    <w:p w:rsidR="00000000" w:rsidDel="00000000" w:rsidP="00000000" w:rsidRDefault="00000000" w:rsidRPr="00000000" w14:paraId="0000002A">
      <w:pPr>
        <w:numPr>
          <w:ilvl w:val="0"/>
          <w:numId w:val="2"/>
        </w:numPr>
        <w:ind w:left="720" w:hanging="360"/>
        <w:rPr>
          <w:sz w:val="36"/>
          <w:szCs w:val="36"/>
        </w:rPr>
      </w:pPr>
      <w:r w:rsidDel="00000000" w:rsidR="00000000" w:rsidRPr="00000000">
        <w:rPr>
          <w:sz w:val="36"/>
          <w:szCs w:val="36"/>
          <w:rtl w:val="0"/>
        </w:rPr>
        <w:t xml:space="preserve">Health and Physical Development</w:t>
      </w:r>
    </w:p>
    <w:tbl>
      <w:tblPr>
        <w:tblStyle w:val="Table3"/>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sz w:val="24"/>
                <w:szCs w:val="24"/>
              </w:rPr>
            </w:pPr>
            <w:r w:rsidDel="00000000" w:rsidR="00000000" w:rsidRPr="00000000">
              <w:rPr>
                <w:sz w:val="24"/>
                <w:szCs w:val="24"/>
                <w:rtl w:val="0"/>
              </w:rPr>
              <w:t xml:space="preserve">The area of Health and Physical Development focuses on physical growth, motor development, sound nutritional choices, self-care, and health/safety practices. This area of development is the foundation for the future health and well-being of all children. </w:t>
            </w:r>
          </w:p>
          <w:p w:rsidR="00000000" w:rsidDel="00000000" w:rsidP="00000000" w:rsidRDefault="00000000" w:rsidRPr="00000000" w14:paraId="0000002C">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1"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sz w:val="32"/>
                <w:szCs w:val="32"/>
              </w:rPr>
            </w:pPr>
            <w:r w:rsidDel="00000000" w:rsidR="00000000" w:rsidRPr="00000000">
              <w:rPr>
                <w:sz w:val="32"/>
                <w:szCs w:val="32"/>
                <w:rtl w:val="0"/>
              </w:rPr>
              <w:t xml:space="preserve">I can ask for help when needed.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sz w:val="32"/>
                <w:szCs w:val="32"/>
              </w:rPr>
            </w:pPr>
            <w:r w:rsidDel="00000000" w:rsidR="00000000" w:rsidRPr="00000000">
              <w:rPr>
                <w:sz w:val="32"/>
                <w:szCs w:val="32"/>
                <w:rtl w:val="0"/>
              </w:rPr>
              <w:t xml:space="preserve">I can engage in active physical play.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38">
      <w:pPr>
        <w:rPr>
          <w:sz w:val="36"/>
          <w:szCs w:val="36"/>
        </w:rPr>
      </w:pPr>
      <w:r w:rsidDel="00000000" w:rsidR="00000000" w:rsidRPr="00000000">
        <w:rPr>
          <w:rtl w:val="0"/>
        </w:rPr>
      </w:r>
    </w:p>
    <w:p w:rsidR="00000000" w:rsidDel="00000000" w:rsidP="00000000" w:rsidRDefault="00000000" w:rsidRPr="00000000" w14:paraId="00000039">
      <w:pPr>
        <w:numPr>
          <w:ilvl w:val="0"/>
          <w:numId w:val="2"/>
        </w:numPr>
        <w:ind w:left="720" w:hanging="360"/>
        <w:rPr>
          <w:sz w:val="36"/>
          <w:szCs w:val="36"/>
        </w:rPr>
      </w:pPr>
      <w:r w:rsidDel="00000000" w:rsidR="00000000" w:rsidRPr="00000000">
        <w:rPr>
          <w:sz w:val="36"/>
          <w:szCs w:val="36"/>
          <w:rtl w:val="0"/>
        </w:rPr>
        <w:t xml:space="preserve">Language and Communication Development </w:t>
      </w:r>
    </w:p>
    <w:tbl>
      <w:tblPr>
        <w:tblStyle w:val="Table4"/>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The Language Development and Communication area is important for children’s language and early literacy development. Adults who build nurturing relationships by paying close attention to what children are trying to communicate, and responding consistently to children’s communication help children become good communicators. </w:t>
            </w:r>
          </w:p>
          <w:p w:rsidR="00000000" w:rsidDel="00000000" w:rsidP="00000000" w:rsidRDefault="00000000" w:rsidRPr="00000000" w14:paraId="0000003B">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4"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sz w:val="32"/>
                <w:szCs w:val="32"/>
              </w:rPr>
            </w:pPr>
            <w:r w:rsidDel="00000000" w:rsidR="00000000" w:rsidRPr="00000000">
              <w:rPr>
                <w:sz w:val="32"/>
                <w:szCs w:val="32"/>
                <w:rtl w:val="0"/>
              </w:rPr>
              <w:t xml:space="preserve">I can listen, take turns, and communicate with 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ind w:left="0" w:firstLine="0"/>
              <w:rPr>
                <w:sz w:val="28"/>
                <w:szCs w:val="28"/>
              </w:rPr>
            </w:pPr>
            <w:r w:rsidDel="00000000" w:rsidR="00000000" w:rsidRPr="00000000">
              <w:rPr>
                <w:sz w:val="32"/>
                <w:szCs w:val="32"/>
                <w:rtl w:val="0"/>
              </w:rPr>
              <w:t xml:space="preserve">I can identify some letters in my name and am beginning to learn the letters and sounds of the alphabet.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47">
      <w:pPr>
        <w:rPr>
          <w:sz w:val="36"/>
          <w:szCs w:val="36"/>
        </w:rPr>
      </w:pPr>
      <w:r w:rsidDel="00000000" w:rsidR="00000000" w:rsidRPr="00000000">
        <w:rPr>
          <w:rtl w:val="0"/>
        </w:rPr>
      </w:r>
    </w:p>
    <w:p w:rsidR="00000000" w:rsidDel="00000000" w:rsidP="00000000" w:rsidRDefault="00000000" w:rsidRPr="00000000" w14:paraId="00000048">
      <w:pPr>
        <w:numPr>
          <w:ilvl w:val="0"/>
          <w:numId w:val="2"/>
        </w:numPr>
        <w:ind w:left="720" w:hanging="360"/>
        <w:rPr>
          <w:sz w:val="36"/>
          <w:szCs w:val="36"/>
        </w:rPr>
      </w:pPr>
      <w:r w:rsidDel="00000000" w:rsidR="00000000" w:rsidRPr="00000000">
        <w:rPr>
          <w:sz w:val="36"/>
          <w:szCs w:val="36"/>
          <w:rtl w:val="0"/>
        </w:rPr>
        <w:t xml:space="preserve">Cognitive Development </w:t>
      </w:r>
    </w:p>
    <w:tbl>
      <w:tblPr>
        <w:tblStyle w:val="Table5"/>
        <w:tblW w:w="114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0"/>
        <w:gridCol w:w="630"/>
        <w:gridCol w:w="600"/>
        <w:gridCol w:w="585"/>
        <w:tblGridChange w:id="0">
          <w:tblGrid>
            <w:gridCol w:w="9660"/>
            <w:gridCol w:w="630"/>
            <w:gridCol w:w="600"/>
            <w:gridCol w:w="585"/>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sz w:val="24"/>
                <w:szCs w:val="24"/>
              </w:rPr>
            </w:pPr>
            <w:r w:rsidDel="00000000" w:rsidR="00000000" w:rsidRPr="00000000">
              <w:rPr>
                <w:sz w:val="24"/>
                <w:szCs w:val="24"/>
                <w:rtl w:val="0"/>
              </w:rPr>
              <w:t xml:space="preserve">The Cognitive Development area focuses on children’s ability to acquire, organize, and use information in increasingly complex ways. In their search for understanding and meaning, young children play an active role in their own cognitive development. </w:t>
            </w:r>
          </w:p>
          <w:p w:rsidR="00000000" w:rsidDel="00000000" w:rsidP="00000000" w:rsidRDefault="00000000" w:rsidRPr="00000000" w14:paraId="0000004A">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Adapted from Foundations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36"/>
                <w:szCs w:val="36"/>
              </w:rPr>
            </w:pPr>
            <w:r w:rsidDel="00000000" w:rsidR="00000000" w:rsidRPr="00000000">
              <w:rPr>
                <w:sz w:val="36"/>
                <w:szCs w:val="36"/>
              </w:rPr>
              <mc:AlternateContent>
                <mc:Choice Requires="wpg">
                  <w:drawing>
                    <wp:inline distB="114300" distT="114300" distL="114300" distR="114300">
                      <wp:extent cx="1022403" cy="1197890"/>
                      <wp:effectExtent b="0" l="0" r="0" t="0"/>
                      <wp:docPr id="5" name=""/>
                      <a:graphic>
                        <a:graphicData uri="http://schemas.microsoft.com/office/word/2010/wordprocessingShape">
                          <wps:wsp>
                            <wps:cNvSpPr txBox="1"/>
                            <wps:cNvPr id="2" name="Shape 2"/>
                            <wps:spPr>
                              <a:xfrm rot="-5400000">
                                <a:off x="4812875" y="1497625"/>
                                <a:ext cx="1703400" cy="141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Not yet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Sometimes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32"/>
                                      <w:vertAlign w:val="baseline"/>
                                    </w:rPr>
                                    <w:t xml:space="preserve">Most of the time </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1022403" cy="1197890"/>
                      <wp:effectExtent b="0" l="0" r="0" t="0"/>
                      <wp:docPr id="5"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022403" cy="1197890"/>
                              </a:xfrm>
                              <a:prstGeom prst="rect"/>
                              <a:ln/>
                            </pic:spPr>
                          </pic:pic>
                        </a:graphicData>
                      </a:graphic>
                    </wp:inline>
                  </w:drawing>
                </mc:Fallback>
              </mc:AlternateConten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ind w:left="0" w:firstLine="0"/>
              <w:rPr>
                <w:sz w:val="28"/>
                <w:szCs w:val="28"/>
              </w:rPr>
            </w:pPr>
            <w:r w:rsidDel="00000000" w:rsidR="00000000" w:rsidRPr="00000000">
              <w:rPr>
                <w:sz w:val="32"/>
                <w:szCs w:val="32"/>
                <w:rtl w:val="0"/>
              </w:rPr>
              <w:t xml:space="preserve">I can recognize and attempt to write some numerals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36"/>
                <w:szCs w:val="3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ind w:left="0" w:firstLine="0"/>
              <w:rPr>
                <w:sz w:val="24"/>
                <w:szCs w:val="24"/>
              </w:rPr>
            </w:pPr>
            <w:r w:rsidDel="00000000" w:rsidR="00000000" w:rsidRPr="00000000">
              <w:rPr>
                <w:sz w:val="32"/>
                <w:szCs w:val="32"/>
                <w:rtl w:val="0"/>
              </w:rPr>
              <w:t xml:space="preserve">I can recognize and tell about a few basic shapes.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36"/>
                <w:szCs w:val="36"/>
              </w:rPr>
            </w:pPr>
            <w:r w:rsidDel="00000000" w:rsidR="00000000" w:rsidRPr="00000000">
              <w:rPr>
                <w:rtl w:val="0"/>
              </w:rPr>
            </w:r>
          </w:p>
        </w:tc>
      </w:tr>
    </w:tbl>
    <w:p w:rsidR="00000000" w:rsidDel="00000000" w:rsidP="00000000" w:rsidRDefault="00000000" w:rsidRPr="00000000" w14:paraId="00000056">
      <w:pPr>
        <w:jc w:val="center"/>
        <w:rPr>
          <w:sz w:val="36"/>
          <w:szCs w:val="36"/>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t>
      </w:r>
      <w:r w:rsidDel="00000000" w:rsidR="00000000" w:rsidRPr="00000000">
        <w:rPr>
          <w:rtl w:val="0"/>
        </w:rPr>
        <w:t xml:space="preserve">Adapted from the “Lets Get Ready” Guide for Families: A</w:t>
      </w:r>
    </w:p>
    <w:p w:rsidR="00000000" w:rsidDel="00000000" w:rsidP="00000000" w:rsidRDefault="00000000" w:rsidRPr="00000000" w14:paraId="00000058">
      <w:pPr>
        <w:rPr/>
      </w:pPr>
      <w:r w:rsidDel="00000000" w:rsidR="00000000" w:rsidRPr="00000000">
        <w:rPr>
          <w:rtl w:val="0"/>
        </w:rPr>
        <w:t xml:space="preserve">Family’s Guide to Supporting Kindergarten Readiness. </w:t>
      </w:r>
    </w:p>
    <w:p w:rsidR="00000000" w:rsidDel="00000000" w:rsidP="00000000" w:rsidRDefault="00000000" w:rsidRPr="00000000" w14:paraId="00000059">
      <w:pPr>
        <w:rPr/>
      </w:pPr>
      <w:r w:rsidDel="00000000" w:rsidR="00000000" w:rsidRPr="00000000">
        <w:rPr>
          <w:rtl w:val="0"/>
        </w:rPr>
        <w:t xml:space="preserve">PK-3 OFFICE OF EARLY LEARNING NC Department of Public Instruction</w:t>
      </w:r>
      <w:r w:rsidDel="00000000" w:rsidR="00000000" w:rsidRPr="00000000">
        <w:br w:type="page"/>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30928-9C3F-4AE9-9A50-2A18536C6BAE}"/>
</file>

<file path=customXml/itemProps2.xml><?xml version="1.0" encoding="utf-8"?>
<ds:datastoreItem xmlns:ds="http://schemas.openxmlformats.org/officeDocument/2006/customXml" ds:itemID="{3E91AF36-7537-4F47-BA27-DC7F419AF135}"/>
</file>