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12878" w:type="dxa"/>
        <w:tblLook w:val="04A0" w:firstRow="1" w:lastRow="0" w:firstColumn="1" w:lastColumn="0" w:noHBand="0" w:noVBand="1"/>
      </w:tblPr>
      <w:tblGrid>
        <w:gridCol w:w="1070"/>
        <w:gridCol w:w="3456"/>
        <w:gridCol w:w="8352"/>
      </w:tblGrid>
      <w:tr w:rsidR="004643F4" w14:paraId="0A4A3679" w14:textId="77777777" w:rsidTr="4AC017B6">
        <w:trPr>
          <w:trHeight w:val="1728"/>
        </w:trPr>
        <w:tc>
          <w:tcPr>
            <w:tcW w:w="1070" w:type="dxa"/>
          </w:tcPr>
          <w:p w14:paraId="5BF4A2FD" w14:textId="77777777" w:rsidR="00CF67D3" w:rsidRPr="000C6EEB" w:rsidRDefault="52FF1D7E">
            <w:r>
              <w:t>Slide 1</w:t>
            </w:r>
          </w:p>
        </w:tc>
        <w:tc>
          <w:tcPr>
            <w:tcW w:w="3456" w:type="dxa"/>
          </w:tcPr>
          <w:p w14:paraId="531DABD6" w14:textId="209676EB" w:rsidR="00CF67D3" w:rsidRDefault="00A94EB1">
            <w:r w:rsidRPr="00A94EB1">
              <w:rPr>
                <w:noProof/>
              </w:rPr>
              <w:drawing>
                <wp:inline distT="0" distB="0" distL="0" distR="0" wp14:anchorId="475CDDD4" wp14:editId="74DAE588">
                  <wp:extent cx="1791335" cy="1007626"/>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871467" cy="1052700"/>
                          </a:xfrm>
                          <a:prstGeom prst="rect">
                            <a:avLst/>
                          </a:prstGeom>
                        </pic:spPr>
                      </pic:pic>
                    </a:graphicData>
                  </a:graphic>
                </wp:inline>
              </w:drawing>
            </w:r>
          </w:p>
          <w:p w14:paraId="3456081C" w14:textId="77777777" w:rsidR="00CF67D3" w:rsidRDefault="00CF67D3"/>
        </w:tc>
        <w:tc>
          <w:tcPr>
            <w:tcW w:w="8352" w:type="dxa"/>
          </w:tcPr>
          <w:p w14:paraId="6381EC11" w14:textId="77777777" w:rsidR="00CF67D3" w:rsidRPr="00666947" w:rsidRDefault="00CF67D3">
            <w:pPr>
              <w:rPr>
                <w:sz w:val="22"/>
                <w:szCs w:val="22"/>
              </w:rPr>
            </w:pPr>
          </w:p>
        </w:tc>
      </w:tr>
      <w:tr w:rsidR="004643F4" w14:paraId="2CBDBC2B" w14:textId="77777777" w:rsidTr="006E31D9">
        <w:trPr>
          <w:trHeight w:val="1970"/>
        </w:trPr>
        <w:tc>
          <w:tcPr>
            <w:tcW w:w="1070" w:type="dxa"/>
          </w:tcPr>
          <w:p w14:paraId="5C1881D1" w14:textId="77777777" w:rsidR="00CF67D3" w:rsidRPr="000C6EEB" w:rsidRDefault="52FF1D7E">
            <w:r>
              <w:t>Slide 2</w:t>
            </w:r>
          </w:p>
        </w:tc>
        <w:tc>
          <w:tcPr>
            <w:tcW w:w="3456" w:type="dxa"/>
          </w:tcPr>
          <w:p w14:paraId="3339222B" w14:textId="77777777" w:rsidR="00CF67D3" w:rsidRDefault="00CF67D3">
            <w:r w:rsidRPr="000C6EEB">
              <w:rPr>
                <w:noProof/>
              </w:rPr>
              <w:drawing>
                <wp:inline distT="0" distB="0" distL="0" distR="0" wp14:anchorId="6126AD45" wp14:editId="16DC0315">
                  <wp:extent cx="1828800" cy="1028700"/>
                  <wp:effectExtent l="0" t="0" r="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828800" cy="1028700"/>
                          </a:xfrm>
                          <a:prstGeom prst="rect">
                            <a:avLst/>
                          </a:prstGeom>
                        </pic:spPr>
                      </pic:pic>
                    </a:graphicData>
                  </a:graphic>
                </wp:inline>
              </w:drawing>
            </w:r>
          </w:p>
          <w:p w14:paraId="31E08D09" w14:textId="77777777" w:rsidR="00CF67D3" w:rsidRDefault="00CF67D3"/>
        </w:tc>
        <w:tc>
          <w:tcPr>
            <w:tcW w:w="8352" w:type="dxa"/>
          </w:tcPr>
          <w:p w14:paraId="0E8F5BB4" w14:textId="6F4D79BE" w:rsidR="00CF67D3" w:rsidRPr="00666947" w:rsidRDefault="00A94EB1">
            <w:pPr>
              <w:rPr>
                <w:sz w:val="22"/>
                <w:szCs w:val="22"/>
              </w:rPr>
            </w:pPr>
            <w:r>
              <w:rPr>
                <w:sz w:val="22"/>
                <w:szCs w:val="22"/>
              </w:rPr>
              <w:t>NOTE:  This slide has been deleted from the final slide deck for district presentations.</w:t>
            </w:r>
          </w:p>
        </w:tc>
      </w:tr>
      <w:tr w:rsidR="004643F4" w14:paraId="4F76F527" w14:textId="77777777" w:rsidTr="4AC017B6">
        <w:trPr>
          <w:trHeight w:val="1728"/>
        </w:trPr>
        <w:tc>
          <w:tcPr>
            <w:tcW w:w="1070" w:type="dxa"/>
          </w:tcPr>
          <w:p w14:paraId="05E884CF" w14:textId="77777777" w:rsidR="00CF67D3" w:rsidRPr="000C6EEB" w:rsidRDefault="52FF1D7E">
            <w:r>
              <w:t>Slide 3</w:t>
            </w:r>
          </w:p>
        </w:tc>
        <w:tc>
          <w:tcPr>
            <w:tcW w:w="3456" w:type="dxa"/>
          </w:tcPr>
          <w:p w14:paraId="443B9BBE" w14:textId="77777777" w:rsidR="00CF67D3" w:rsidRDefault="00BD6CEB">
            <w:r w:rsidRPr="00BD6CEB">
              <w:rPr>
                <w:noProof/>
              </w:rPr>
              <w:drawing>
                <wp:inline distT="0" distB="0" distL="0" distR="0" wp14:anchorId="57AE4118" wp14:editId="5EC0D7DF">
                  <wp:extent cx="1828800" cy="1028699"/>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28800" cy="1028699"/>
                          </a:xfrm>
                          <a:prstGeom prst="rect">
                            <a:avLst/>
                          </a:prstGeom>
                        </pic:spPr>
                      </pic:pic>
                    </a:graphicData>
                  </a:graphic>
                </wp:inline>
              </w:drawing>
            </w:r>
          </w:p>
          <w:p w14:paraId="3DD297BF" w14:textId="77777777" w:rsidR="00CF67D3" w:rsidRDefault="00CF67D3"/>
        </w:tc>
        <w:tc>
          <w:tcPr>
            <w:tcW w:w="8352" w:type="dxa"/>
          </w:tcPr>
          <w:p w14:paraId="53145E6A" w14:textId="05817232" w:rsidR="00CF67D3" w:rsidRPr="00666947" w:rsidRDefault="006E31D9" w:rsidP="4FE6B477">
            <w:pPr>
              <w:rPr>
                <w:sz w:val="22"/>
                <w:szCs w:val="22"/>
              </w:rPr>
            </w:pPr>
            <w:r>
              <w:rPr>
                <w:sz w:val="22"/>
                <w:szCs w:val="22"/>
              </w:rPr>
              <w:t>NOTE:  This slide was included in the recorded webinar, but has been deleted from the final slide deck for district presentations.</w:t>
            </w:r>
          </w:p>
        </w:tc>
      </w:tr>
      <w:tr w:rsidR="004643F4" w14:paraId="2A6676EB" w14:textId="77777777" w:rsidTr="4AC017B6">
        <w:trPr>
          <w:trHeight w:val="1728"/>
        </w:trPr>
        <w:tc>
          <w:tcPr>
            <w:tcW w:w="1070" w:type="dxa"/>
          </w:tcPr>
          <w:p w14:paraId="21A7C18C" w14:textId="77777777" w:rsidR="00CF67D3" w:rsidRPr="000C6EEB" w:rsidRDefault="52FF1D7E">
            <w:r>
              <w:t>Slide 4</w:t>
            </w:r>
          </w:p>
        </w:tc>
        <w:tc>
          <w:tcPr>
            <w:tcW w:w="3456" w:type="dxa"/>
          </w:tcPr>
          <w:p w14:paraId="3BB8CC4F" w14:textId="77777777" w:rsidR="00CF67D3" w:rsidRDefault="00CF67D3">
            <w:r w:rsidRPr="000C6EEB">
              <w:rPr>
                <w:noProof/>
              </w:rPr>
              <w:drawing>
                <wp:inline distT="0" distB="0" distL="0" distR="0" wp14:anchorId="1A1FC2C1" wp14:editId="44CA7DE8">
                  <wp:extent cx="1828800" cy="114936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28800" cy="1149361"/>
                          </a:xfrm>
                          <a:prstGeom prst="rect">
                            <a:avLst/>
                          </a:prstGeom>
                        </pic:spPr>
                      </pic:pic>
                    </a:graphicData>
                  </a:graphic>
                </wp:inline>
              </w:drawing>
            </w:r>
          </w:p>
          <w:p w14:paraId="3B82D23C" w14:textId="77777777" w:rsidR="00CF67D3" w:rsidRDefault="00CF67D3"/>
        </w:tc>
        <w:tc>
          <w:tcPr>
            <w:tcW w:w="8352" w:type="dxa"/>
          </w:tcPr>
          <w:p w14:paraId="24C811FA" w14:textId="09773BC8" w:rsidR="00CF67D3" w:rsidRPr="00666947" w:rsidRDefault="4AC017B6" w:rsidP="4AC017B6">
            <w:pPr>
              <w:rPr>
                <w:sz w:val="22"/>
                <w:szCs w:val="22"/>
              </w:rPr>
            </w:pPr>
            <w:r w:rsidRPr="4AC017B6">
              <w:rPr>
                <w:sz w:val="22"/>
                <w:szCs w:val="22"/>
              </w:rPr>
              <w:t>The legislation specifically references the identification of dyslexia and dyscalculia as a specific learning disability. Students suspected of a specific learning disability must be referred in order for the IEP team to determine if an evaluation will be conducted. This presentation will discuss the finer points of the unique risk factors associated with dyslexia and dyscalculia as well as the requirement to initiate child find if a SLD is suspected. Please remember that identification of an SLD and risk factors identified through mass/universal screening are two distinctly different information gathering processes.</w:t>
            </w:r>
          </w:p>
        </w:tc>
      </w:tr>
      <w:tr w:rsidR="004643F4" w14:paraId="4070E0E2" w14:textId="77777777" w:rsidTr="4AC017B6">
        <w:trPr>
          <w:trHeight w:val="1728"/>
        </w:trPr>
        <w:tc>
          <w:tcPr>
            <w:tcW w:w="1070" w:type="dxa"/>
          </w:tcPr>
          <w:p w14:paraId="37ECD9B5" w14:textId="77777777" w:rsidR="00CF67D3" w:rsidRPr="000C6EEB" w:rsidRDefault="52FF1D7E">
            <w:r>
              <w:lastRenderedPageBreak/>
              <w:t>Slide 5</w:t>
            </w:r>
          </w:p>
        </w:tc>
        <w:tc>
          <w:tcPr>
            <w:tcW w:w="3456" w:type="dxa"/>
          </w:tcPr>
          <w:p w14:paraId="1468C169" w14:textId="77777777" w:rsidR="00CF67D3" w:rsidRDefault="00CF67D3">
            <w:r w:rsidRPr="000C6EEB">
              <w:rPr>
                <w:noProof/>
              </w:rPr>
              <w:drawing>
                <wp:inline distT="0" distB="0" distL="0" distR="0" wp14:anchorId="6AD83D40" wp14:editId="4C79FC1F">
                  <wp:extent cx="1828800" cy="1028700"/>
                  <wp:effectExtent l="0" t="0" r="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828800" cy="1028700"/>
                          </a:xfrm>
                          <a:prstGeom prst="rect">
                            <a:avLst/>
                          </a:prstGeom>
                        </pic:spPr>
                      </pic:pic>
                    </a:graphicData>
                  </a:graphic>
                </wp:inline>
              </w:drawing>
            </w:r>
          </w:p>
          <w:p w14:paraId="11D085A8" w14:textId="77777777" w:rsidR="00CF67D3" w:rsidRDefault="00CF67D3"/>
        </w:tc>
        <w:tc>
          <w:tcPr>
            <w:tcW w:w="8352" w:type="dxa"/>
          </w:tcPr>
          <w:p w14:paraId="64F655BF" w14:textId="4FB4A15E" w:rsidR="0089474E" w:rsidRDefault="52FF1D7E" w:rsidP="52FF1D7E">
            <w:pPr>
              <w:pStyle w:val="ListParagraph"/>
              <w:numPr>
                <w:ilvl w:val="0"/>
                <w:numId w:val="6"/>
              </w:numPr>
              <w:spacing w:line="276" w:lineRule="auto"/>
              <w:rPr>
                <w:sz w:val="22"/>
                <w:szCs w:val="22"/>
              </w:rPr>
            </w:pPr>
            <w:r w:rsidRPr="52FF1D7E">
              <w:rPr>
                <w:sz w:val="22"/>
                <w:szCs w:val="22"/>
              </w:rPr>
              <w:t xml:space="preserve">HB 149 was proposed to Representative Debra Conrad by parents and advocacy groups who were concerned about public school </w:t>
            </w:r>
            <w:proofErr w:type="gramStart"/>
            <w:r w:rsidRPr="52FF1D7E">
              <w:rPr>
                <w:sz w:val="22"/>
                <w:szCs w:val="22"/>
              </w:rPr>
              <w:t>educators</w:t>
            </w:r>
            <w:proofErr w:type="gramEnd"/>
            <w:r w:rsidRPr="52FF1D7E">
              <w:rPr>
                <w:sz w:val="22"/>
                <w:szCs w:val="22"/>
              </w:rPr>
              <w:t xml:space="preserve"> awareness of characteristics of dyslexia and educational interventions</w:t>
            </w:r>
          </w:p>
          <w:p w14:paraId="07A42D77" w14:textId="6352578D" w:rsidR="00CF67D3" w:rsidRPr="003D1937" w:rsidRDefault="52FF1D7E" w:rsidP="52FF1D7E">
            <w:pPr>
              <w:pStyle w:val="ListParagraph"/>
              <w:numPr>
                <w:ilvl w:val="0"/>
                <w:numId w:val="6"/>
              </w:numPr>
              <w:spacing w:line="276" w:lineRule="auto"/>
              <w:rPr>
                <w:sz w:val="22"/>
                <w:szCs w:val="22"/>
              </w:rPr>
            </w:pPr>
            <w:r w:rsidRPr="52FF1D7E">
              <w:rPr>
                <w:sz w:val="22"/>
                <w:szCs w:val="22"/>
              </w:rPr>
              <w:t xml:space="preserve">bill passed both House and Senate with 100% of members of both chambers voting for the legislation. </w:t>
            </w:r>
          </w:p>
        </w:tc>
      </w:tr>
      <w:tr w:rsidR="004643F4" w14:paraId="2D41D579" w14:textId="77777777" w:rsidTr="4AC017B6">
        <w:tc>
          <w:tcPr>
            <w:tcW w:w="1070" w:type="dxa"/>
          </w:tcPr>
          <w:p w14:paraId="45700FD9" w14:textId="59447918" w:rsidR="00CF67D3" w:rsidRPr="000C6EEB" w:rsidRDefault="52FF1D7E">
            <w:r>
              <w:t>Slide 6</w:t>
            </w:r>
          </w:p>
        </w:tc>
        <w:tc>
          <w:tcPr>
            <w:tcW w:w="3456" w:type="dxa"/>
          </w:tcPr>
          <w:p w14:paraId="771CD830" w14:textId="2AD287A6" w:rsidR="00CF67D3" w:rsidRDefault="00A94EB1">
            <w:r w:rsidRPr="00D31379">
              <w:rPr>
                <w:noProof/>
              </w:rPr>
              <w:drawing>
                <wp:inline distT="0" distB="0" distL="0" distR="0" wp14:anchorId="69AAA6DF" wp14:editId="52D0A25C">
                  <wp:extent cx="1819180" cy="1023289"/>
                  <wp:effectExtent l="0" t="0" r="1016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37706" cy="1033710"/>
                          </a:xfrm>
                          <a:prstGeom prst="rect">
                            <a:avLst/>
                          </a:prstGeom>
                        </pic:spPr>
                      </pic:pic>
                    </a:graphicData>
                  </a:graphic>
                </wp:inline>
              </w:drawing>
            </w:r>
          </w:p>
          <w:p w14:paraId="289E99E8" w14:textId="0A89553B" w:rsidR="00CF67D3" w:rsidRDefault="00CF67D3"/>
        </w:tc>
        <w:tc>
          <w:tcPr>
            <w:tcW w:w="8352" w:type="dxa"/>
          </w:tcPr>
          <w:p w14:paraId="6783257B" w14:textId="163608DC" w:rsidR="00CF67D3" w:rsidRPr="00666947" w:rsidRDefault="00CF67D3" w:rsidP="00EF4205">
            <w:pPr>
              <w:spacing w:line="276" w:lineRule="auto"/>
              <w:rPr>
                <w:sz w:val="22"/>
                <w:szCs w:val="22"/>
              </w:rPr>
            </w:pPr>
          </w:p>
        </w:tc>
      </w:tr>
      <w:tr w:rsidR="004643F4" w14:paraId="23869A2A" w14:textId="77777777" w:rsidTr="4AC017B6">
        <w:tc>
          <w:tcPr>
            <w:tcW w:w="1070" w:type="dxa"/>
          </w:tcPr>
          <w:p w14:paraId="51A74B1D" w14:textId="77777777" w:rsidR="00CF67D3" w:rsidRPr="000C6EEB" w:rsidRDefault="52FF1D7E">
            <w:r>
              <w:t>Slide 7</w:t>
            </w:r>
          </w:p>
        </w:tc>
        <w:tc>
          <w:tcPr>
            <w:tcW w:w="3456" w:type="dxa"/>
          </w:tcPr>
          <w:p w14:paraId="19F96E4E" w14:textId="3F8E03EF" w:rsidR="00CF67D3" w:rsidRDefault="004643F4">
            <w:r w:rsidRPr="004643F4">
              <w:rPr>
                <w:noProof/>
              </w:rPr>
              <w:drawing>
                <wp:inline distT="0" distB="0" distL="0" distR="0" wp14:anchorId="4639C7BB" wp14:editId="1AB9D35B">
                  <wp:extent cx="1786255" cy="1004768"/>
                  <wp:effectExtent l="0" t="0" r="0"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44444" cy="1037499"/>
                          </a:xfrm>
                          <a:prstGeom prst="rect">
                            <a:avLst/>
                          </a:prstGeom>
                        </pic:spPr>
                      </pic:pic>
                    </a:graphicData>
                  </a:graphic>
                </wp:inline>
              </w:drawing>
            </w:r>
          </w:p>
          <w:p w14:paraId="110966DA" w14:textId="77777777" w:rsidR="00CF67D3" w:rsidRDefault="00CF67D3"/>
        </w:tc>
        <w:tc>
          <w:tcPr>
            <w:tcW w:w="8352" w:type="dxa"/>
          </w:tcPr>
          <w:p w14:paraId="106EFACF" w14:textId="68F59CE1" w:rsidR="00CF67D3" w:rsidRDefault="52FF1D7E" w:rsidP="52FF1D7E">
            <w:pPr>
              <w:pStyle w:val="ListParagraph"/>
              <w:numPr>
                <w:ilvl w:val="0"/>
                <w:numId w:val="7"/>
              </w:numPr>
              <w:spacing w:line="276" w:lineRule="auto"/>
              <w:rPr>
                <w:sz w:val="22"/>
                <w:szCs w:val="22"/>
              </w:rPr>
            </w:pPr>
            <w:r w:rsidRPr="52FF1D7E">
              <w:rPr>
                <w:sz w:val="22"/>
                <w:szCs w:val="22"/>
              </w:rPr>
              <w:t>signed into law by Governor Roy Cooper on July 20, 2017 and became effective immediately</w:t>
            </w:r>
          </w:p>
          <w:p w14:paraId="6AA4AC57" w14:textId="0768D37E" w:rsidR="00B827D5" w:rsidRPr="00B827D5" w:rsidRDefault="52FF1D7E" w:rsidP="52FF1D7E">
            <w:pPr>
              <w:pStyle w:val="ListParagraph"/>
              <w:widowControl w:val="0"/>
              <w:numPr>
                <w:ilvl w:val="0"/>
                <w:numId w:val="7"/>
              </w:numPr>
              <w:autoSpaceDE w:val="0"/>
              <w:autoSpaceDN w:val="0"/>
              <w:adjustRightInd w:val="0"/>
              <w:spacing w:after="240" w:line="276" w:lineRule="auto"/>
              <w:rPr>
                <w:rFonts w:cs="Times"/>
                <w:color w:val="000000" w:themeColor="text1"/>
                <w:sz w:val="20"/>
                <w:szCs w:val="20"/>
              </w:rPr>
            </w:pPr>
            <w:r w:rsidRPr="52FF1D7E">
              <w:rPr>
                <w:sz w:val="22"/>
                <w:szCs w:val="22"/>
              </w:rPr>
              <w:t>titled “</w:t>
            </w:r>
            <w:r w:rsidRPr="52FF1D7E">
              <w:rPr>
                <w:rFonts w:cs="Times New Roman"/>
                <w:color w:val="000000" w:themeColor="text1"/>
                <w:sz w:val="22"/>
                <w:szCs w:val="22"/>
              </w:rPr>
              <w:t>AN ACT TO REQUIRE THE STATE BOARD OF EDUCATION AND LOCAL BOARDS OF EDUCATION TO DEVELOP TOOLS TO ENSURE IDENTIFICATION OF STUDENTS WITH DYSLEXIA AND DYSCALCULIA.”</w:t>
            </w:r>
          </w:p>
          <w:p w14:paraId="5EF58493" w14:textId="4560D057" w:rsidR="00B827D5" w:rsidRPr="00B827D5" w:rsidRDefault="52FF1D7E" w:rsidP="52FF1D7E">
            <w:pPr>
              <w:pStyle w:val="ListParagraph"/>
              <w:widowControl w:val="0"/>
              <w:numPr>
                <w:ilvl w:val="0"/>
                <w:numId w:val="7"/>
              </w:numPr>
              <w:autoSpaceDE w:val="0"/>
              <w:autoSpaceDN w:val="0"/>
              <w:adjustRightInd w:val="0"/>
              <w:spacing w:line="276" w:lineRule="auto"/>
              <w:rPr>
                <w:rFonts w:cs="Times"/>
                <w:color w:val="000000" w:themeColor="text1"/>
                <w:sz w:val="22"/>
                <w:szCs w:val="22"/>
              </w:rPr>
            </w:pPr>
            <w:r w:rsidRPr="52FF1D7E">
              <w:rPr>
                <w:color w:val="000000" w:themeColor="text1"/>
                <w:sz w:val="22"/>
                <w:szCs w:val="22"/>
              </w:rPr>
              <w:t xml:space="preserve">primary purpose: </w:t>
            </w:r>
            <w:r w:rsidRPr="52FF1D7E">
              <w:rPr>
                <w:rFonts w:cs="Arial"/>
                <w:color w:val="000000" w:themeColor="text1"/>
                <w:sz w:val="22"/>
                <w:szCs w:val="22"/>
              </w:rPr>
              <w:t xml:space="preserve">to ensure </w:t>
            </w:r>
            <w:r w:rsidRPr="52FF1D7E">
              <w:rPr>
                <w:rFonts w:cs="Helvetica"/>
                <w:color w:val="000000" w:themeColor="text1"/>
                <w:sz w:val="22"/>
                <w:szCs w:val="22"/>
              </w:rPr>
              <w:t>all students with specific learning disabilities, including dyslexia and dyscalculia, receive necessary screenings, assessments and special education services by:</w:t>
            </w:r>
          </w:p>
          <w:p w14:paraId="6B57FC8C" w14:textId="6C6BFDDC" w:rsidR="00B827D5" w:rsidRPr="00B827D5" w:rsidRDefault="52FF1D7E" w:rsidP="52FF1D7E">
            <w:pPr>
              <w:pStyle w:val="ListParagraph"/>
              <w:widowControl w:val="0"/>
              <w:numPr>
                <w:ilvl w:val="1"/>
                <w:numId w:val="7"/>
              </w:numPr>
              <w:autoSpaceDE w:val="0"/>
              <w:autoSpaceDN w:val="0"/>
              <w:adjustRightInd w:val="0"/>
              <w:spacing w:line="276" w:lineRule="auto"/>
              <w:rPr>
                <w:rFonts w:cs="Times"/>
                <w:color w:val="000000" w:themeColor="text1"/>
                <w:sz w:val="22"/>
                <w:szCs w:val="22"/>
              </w:rPr>
            </w:pPr>
            <w:r w:rsidRPr="52FF1D7E">
              <w:rPr>
                <w:rFonts w:cs="Helvetica"/>
                <w:color w:val="000000" w:themeColor="text1"/>
                <w:sz w:val="22"/>
                <w:szCs w:val="22"/>
              </w:rPr>
              <w:t>define dyslexia as a part of policy</w:t>
            </w:r>
          </w:p>
          <w:p w14:paraId="05CC7B29" w14:textId="6BB15429" w:rsidR="00B827D5" w:rsidRPr="00B827D5" w:rsidRDefault="52FF1D7E" w:rsidP="52FF1D7E">
            <w:pPr>
              <w:pStyle w:val="ListParagraph"/>
              <w:widowControl w:val="0"/>
              <w:numPr>
                <w:ilvl w:val="1"/>
                <w:numId w:val="7"/>
              </w:numPr>
              <w:autoSpaceDE w:val="0"/>
              <w:autoSpaceDN w:val="0"/>
              <w:adjustRightInd w:val="0"/>
              <w:spacing w:line="276" w:lineRule="auto"/>
              <w:rPr>
                <w:rFonts w:cs="Times"/>
                <w:color w:val="000000" w:themeColor="text1"/>
                <w:sz w:val="22"/>
                <w:szCs w:val="22"/>
              </w:rPr>
            </w:pPr>
            <w:r w:rsidRPr="52FF1D7E">
              <w:rPr>
                <w:rFonts w:cs="Helvetica"/>
                <w:color w:val="000000" w:themeColor="text1"/>
                <w:sz w:val="22"/>
                <w:szCs w:val="22"/>
              </w:rPr>
              <w:t xml:space="preserve">ensure ongoing PD opportunities on identification &amp; intervention </w:t>
            </w:r>
          </w:p>
          <w:p w14:paraId="7457CEB8" w14:textId="6DD614FF" w:rsidR="00B827D5" w:rsidRPr="00B827D5" w:rsidRDefault="52FF1D7E" w:rsidP="52FF1D7E">
            <w:pPr>
              <w:pStyle w:val="ListParagraph"/>
              <w:widowControl w:val="0"/>
              <w:numPr>
                <w:ilvl w:val="1"/>
                <w:numId w:val="7"/>
              </w:numPr>
              <w:autoSpaceDE w:val="0"/>
              <w:autoSpaceDN w:val="0"/>
              <w:adjustRightInd w:val="0"/>
              <w:spacing w:line="276" w:lineRule="auto"/>
              <w:rPr>
                <w:rFonts w:cs="Times"/>
                <w:color w:val="000000" w:themeColor="text1"/>
                <w:sz w:val="22"/>
                <w:szCs w:val="22"/>
              </w:rPr>
            </w:pPr>
            <w:r w:rsidRPr="52FF1D7E">
              <w:rPr>
                <w:rFonts w:cs="Helvetica"/>
                <w:color w:val="000000" w:themeColor="text1"/>
                <w:sz w:val="22"/>
                <w:szCs w:val="22"/>
              </w:rPr>
              <w:t xml:space="preserve">provide electronic information for parents, educators &amp; others </w:t>
            </w:r>
          </w:p>
          <w:p w14:paraId="6EB8A0CD" w14:textId="2E7D3404" w:rsidR="00B827D5" w:rsidRPr="00B827D5" w:rsidRDefault="52FF1D7E" w:rsidP="52FF1D7E">
            <w:pPr>
              <w:pStyle w:val="ListParagraph"/>
              <w:widowControl w:val="0"/>
              <w:numPr>
                <w:ilvl w:val="1"/>
                <w:numId w:val="7"/>
              </w:numPr>
              <w:autoSpaceDE w:val="0"/>
              <w:autoSpaceDN w:val="0"/>
              <w:adjustRightInd w:val="0"/>
              <w:spacing w:line="276" w:lineRule="auto"/>
              <w:rPr>
                <w:rFonts w:cs="Times"/>
                <w:color w:val="000000" w:themeColor="text1"/>
                <w:sz w:val="22"/>
                <w:szCs w:val="22"/>
              </w:rPr>
            </w:pPr>
            <w:r w:rsidRPr="52FF1D7E">
              <w:rPr>
                <w:rFonts w:cs="Helvetica"/>
                <w:color w:val="000000" w:themeColor="text1"/>
                <w:sz w:val="22"/>
                <w:szCs w:val="22"/>
              </w:rPr>
              <w:t>requires that Local Boards of Education review diagnostic tools and screening instruments to determine if additional tools are needed</w:t>
            </w:r>
          </w:p>
          <w:p w14:paraId="30BB7BBC" w14:textId="20373C51" w:rsidR="00B827D5" w:rsidRPr="0089474E" w:rsidRDefault="00B827D5" w:rsidP="00EF4205">
            <w:pPr>
              <w:pStyle w:val="ListParagraph"/>
              <w:spacing w:line="276" w:lineRule="auto"/>
              <w:rPr>
                <w:sz w:val="22"/>
                <w:szCs w:val="22"/>
              </w:rPr>
            </w:pPr>
          </w:p>
        </w:tc>
      </w:tr>
      <w:tr w:rsidR="004643F4" w14:paraId="4D5C8DD9" w14:textId="77777777" w:rsidTr="4AC017B6">
        <w:tc>
          <w:tcPr>
            <w:tcW w:w="1070" w:type="dxa"/>
          </w:tcPr>
          <w:p w14:paraId="7DD4FFF1" w14:textId="0546F5CD" w:rsidR="00CF67D3" w:rsidRPr="008C70AE" w:rsidRDefault="52FF1D7E">
            <w:r>
              <w:lastRenderedPageBreak/>
              <w:t>Slide 8</w:t>
            </w:r>
          </w:p>
        </w:tc>
        <w:tc>
          <w:tcPr>
            <w:tcW w:w="3456" w:type="dxa"/>
          </w:tcPr>
          <w:p w14:paraId="6F6BB3B7" w14:textId="77777777" w:rsidR="00CF67D3" w:rsidRDefault="00CF67D3">
            <w:r w:rsidRPr="008C70AE">
              <w:rPr>
                <w:noProof/>
              </w:rPr>
              <w:drawing>
                <wp:inline distT="0" distB="0" distL="0" distR="0" wp14:anchorId="417799FC" wp14:editId="5B7F5AB1">
                  <wp:extent cx="1828800" cy="1028701"/>
                  <wp:effectExtent l="0" t="0" r="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28800" cy="1028701"/>
                          </a:xfrm>
                          <a:prstGeom prst="rect">
                            <a:avLst/>
                          </a:prstGeom>
                        </pic:spPr>
                      </pic:pic>
                    </a:graphicData>
                  </a:graphic>
                </wp:inline>
              </w:drawing>
            </w:r>
          </w:p>
          <w:p w14:paraId="11DA545E" w14:textId="77777777" w:rsidR="00CF67D3" w:rsidRDefault="00CF67D3"/>
        </w:tc>
        <w:tc>
          <w:tcPr>
            <w:tcW w:w="8352" w:type="dxa"/>
          </w:tcPr>
          <w:p w14:paraId="7EBD60F4" w14:textId="77777777" w:rsidR="00B827D5" w:rsidRDefault="52FF1D7E" w:rsidP="52FF1D7E">
            <w:pPr>
              <w:pStyle w:val="ListParagraph"/>
              <w:widowControl w:val="0"/>
              <w:numPr>
                <w:ilvl w:val="0"/>
                <w:numId w:val="1"/>
              </w:numPr>
              <w:autoSpaceDE w:val="0"/>
              <w:autoSpaceDN w:val="0"/>
              <w:adjustRightInd w:val="0"/>
              <w:spacing w:line="276" w:lineRule="auto"/>
              <w:rPr>
                <w:rFonts w:cs="Calibri"/>
                <w:color w:val="000000" w:themeColor="text1"/>
                <w:sz w:val="22"/>
                <w:szCs w:val="22"/>
              </w:rPr>
            </w:pPr>
            <w:r w:rsidRPr="52FF1D7E">
              <w:rPr>
                <w:rFonts w:cs="Calibri"/>
                <w:color w:val="000000" w:themeColor="text1"/>
                <w:sz w:val="22"/>
                <w:szCs w:val="22"/>
              </w:rPr>
              <w:t xml:space="preserve">definition provided in legislation is most widely recognized definition used in the United States, both by educational and research community  </w:t>
            </w:r>
          </w:p>
          <w:p w14:paraId="3DCBD24F" w14:textId="7FA447B5" w:rsidR="00EF19E5" w:rsidRPr="00B827D5" w:rsidRDefault="52FF1D7E" w:rsidP="52FF1D7E">
            <w:pPr>
              <w:pStyle w:val="ListParagraph"/>
              <w:widowControl w:val="0"/>
              <w:numPr>
                <w:ilvl w:val="0"/>
                <w:numId w:val="1"/>
              </w:numPr>
              <w:autoSpaceDE w:val="0"/>
              <w:autoSpaceDN w:val="0"/>
              <w:adjustRightInd w:val="0"/>
              <w:spacing w:line="276" w:lineRule="auto"/>
              <w:rPr>
                <w:rFonts w:cs="Calibri"/>
                <w:color w:val="000000" w:themeColor="text1"/>
                <w:sz w:val="22"/>
                <w:szCs w:val="22"/>
              </w:rPr>
            </w:pPr>
            <w:r w:rsidRPr="52FF1D7E">
              <w:rPr>
                <w:rFonts w:cs="Calibri"/>
                <w:color w:val="000000" w:themeColor="text1"/>
                <w:sz w:val="22"/>
                <w:szCs w:val="22"/>
              </w:rPr>
              <w:t>adopted by International Dyslexia Association (IDA) in 2002; also used by National Institutes of Child Health and Human Development (NICHD) </w:t>
            </w:r>
          </w:p>
          <w:p w14:paraId="3D0F6F2F" w14:textId="221054D5" w:rsidR="000F542E" w:rsidRPr="00666947" w:rsidRDefault="52FF1D7E" w:rsidP="52FF1D7E">
            <w:pPr>
              <w:pStyle w:val="ListParagraph"/>
              <w:widowControl w:val="0"/>
              <w:numPr>
                <w:ilvl w:val="0"/>
                <w:numId w:val="1"/>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included in NCDPI Dyslexia Topic Brief and unpacked within </w:t>
            </w:r>
            <w:r w:rsidRPr="52FF1D7E">
              <w:rPr>
                <w:rFonts w:cs="Calibri"/>
                <w:i/>
                <w:iCs/>
                <w:color w:val="000000" w:themeColor="text1"/>
                <w:sz w:val="22"/>
                <w:szCs w:val="22"/>
              </w:rPr>
              <w:t>Deep Dive into Dyslexia</w:t>
            </w:r>
            <w:r w:rsidRPr="52FF1D7E">
              <w:rPr>
                <w:rFonts w:cs="Calibri"/>
                <w:color w:val="000000" w:themeColor="text1"/>
                <w:sz w:val="22"/>
                <w:szCs w:val="22"/>
              </w:rPr>
              <w:t xml:space="preserve"> professional development.</w:t>
            </w:r>
          </w:p>
          <w:p w14:paraId="20DD0EDB" w14:textId="77777777" w:rsidR="00B827D5" w:rsidRPr="00B827D5" w:rsidRDefault="52FF1D7E" w:rsidP="52FF1D7E">
            <w:pPr>
              <w:pStyle w:val="ListParagraph"/>
              <w:widowControl w:val="0"/>
              <w:numPr>
                <w:ilvl w:val="0"/>
                <w:numId w:val="1"/>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has been included in definition of a Specific Learning Disability in Individuals with Disabilities Education Act (IDEA) since 1975</w:t>
            </w:r>
          </w:p>
          <w:p w14:paraId="09649F70" w14:textId="231612D4" w:rsidR="000F542E" w:rsidRPr="00666947" w:rsidRDefault="52FF1D7E" w:rsidP="52FF1D7E">
            <w:pPr>
              <w:pStyle w:val="ListParagraph"/>
              <w:widowControl w:val="0"/>
              <w:numPr>
                <w:ilvl w:val="0"/>
                <w:numId w:val="1"/>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does NOT create a new category of eligibility, but simply defines one of the subtypes of a learning disability.  </w:t>
            </w:r>
          </w:p>
          <w:p w14:paraId="44EBE7D6" w14:textId="77777777" w:rsidR="00EF19E5" w:rsidRPr="00666947" w:rsidRDefault="00EF19E5" w:rsidP="00EF4205">
            <w:pPr>
              <w:widowControl w:val="0"/>
              <w:autoSpaceDE w:val="0"/>
              <w:autoSpaceDN w:val="0"/>
              <w:adjustRightInd w:val="0"/>
              <w:spacing w:line="276" w:lineRule="auto"/>
              <w:rPr>
                <w:rFonts w:cs="Times"/>
                <w:color w:val="000000"/>
                <w:sz w:val="22"/>
                <w:szCs w:val="22"/>
              </w:rPr>
            </w:pPr>
          </w:p>
          <w:p w14:paraId="7FE34860" w14:textId="77777777" w:rsidR="00CF67D3" w:rsidRPr="00666947" w:rsidRDefault="00CF67D3" w:rsidP="00EF4205">
            <w:pPr>
              <w:pStyle w:val="ListParagraph"/>
              <w:widowControl w:val="0"/>
              <w:autoSpaceDE w:val="0"/>
              <w:autoSpaceDN w:val="0"/>
              <w:adjustRightInd w:val="0"/>
              <w:spacing w:line="276" w:lineRule="auto"/>
              <w:ind w:left="360"/>
              <w:rPr>
                <w:sz w:val="22"/>
                <w:szCs w:val="22"/>
              </w:rPr>
            </w:pPr>
          </w:p>
        </w:tc>
      </w:tr>
      <w:tr w:rsidR="004643F4" w14:paraId="611AC5B5" w14:textId="77777777" w:rsidTr="4AC017B6">
        <w:tc>
          <w:tcPr>
            <w:tcW w:w="1070" w:type="dxa"/>
          </w:tcPr>
          <w:p w14:paraId="72BAAB26" w14:textId="5B8FB81B" w:rsidR="00CF67D3" w:rsidRPr="008C70AE" w:rsidRDefault="52FF1D7E">
            <w:r>
              <w:t>Slide 9</w:t>
            </w:r>
          </w:p>
        </w:tc>
        <w:tc>
          <w:tcPr>
            <w:tcW w:w="3456" w:type="dxa"/>
          </w:tcPr>
          <w:p w14:paraId="7E44D187" w14:textId="77777777" w:rsidR="00CF67D3" w:rsidRDefault="00CF67D3">
            <w:r w:rsidRPr="008C70AE">
              <w:rPr>
                <w:noProof/>
              </w:rPr>
              <w:drawing>
                <wp:inline distT="0" distB="0" distL="0" distR="0" wp14:anchorId="5BA2BAE0" wp14:editId="0F6C69C3">
                  <wp:extent cx="1828800" cy="982969"/>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28800" cy="982969"/>
                          </a:xfrm>
                          <a:prstGeom prst="rect">
                            <a:avLst/>
                          </a:prstGeom>
                        </pic:spPr>
                      </pic:pic>
                    </a:graphicData>
                  </a:graphic>
                </wp:inline>
              </w:drawing>
            </w:r>
          </w:p>
          <w:p w14:paraId="31272AA5" w14:textId="77777777" w:rsidR="00CF67D3" w:rsidRDefault="00CF67D3"/>
        </w:tc>
        <w:tc>
          <w:tcPr>
            <w:tcW w:w="8352" w:type="dxa"/>
          </w:tcPr>
          <w:p w14:paraId="1DBAC46E" w14:textId="3396C7C4" w:rsidR="00EF19E5" w:rsidRPr="00666947" w:rsidRDefault="52FF1D7E" w:rsidP="52FF1D7E">
            <w:pPr>
              <w:widowControl w:val="0"/>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Within the definition, we find that </w:t>
            </w:r>
            <w:r w:rsidRPr="52FF1D7E">
              <w:rPr>
                <w:rFonts w:cs="Calibri"/>
                <w:i/>
                <w:iCs/>
                <w:color w:val="000000" w:themeColor="text1"/>
                <w:sz w:val="22"/>
                <w:szCs w:val="22"/>
              </w:rPr>
              <w:t xml:space="preserve">dyslexia </w:t>
            </w:r>
            <w:proofErr w:type="gramStart"/>
            <w:r w:rsidRPr="52FF1D7E">
              <w:rPr>
                <w:rFonts w:cs="Calibri"/>
                <w:color w:val="000000" w:themeColor="text1"/>
                <w:sz w:val="22"/>
                <w:szCs w:val="22"/>
              </w:rPr>
              <w:t>is</w:t>
            </w:r>
            <w:proofErr w:type="gramEnd"/>
            <w:r w:rsidRPr="52FF1D7E">
              <w:rPr>
                <w:rFonts w:cs="Calibri"/>
                <w:color w:val="000000" w:themeColor="text1"/>
                <w:sz w:val="22"/>
                <w:szCs w:val="22"/>
              </w:rPr>
              <w:t xml:space="preserve">: </w:t>
            </w:r>
          </w:p>
          <w:p w14:paraId="210E6CA8" w14:textId="26B3ACF8" w:rsidR="00EF19E5" w:rsidRPr="00EF4205" w:rsidRDefault="52FF1D7E" w:rsidP="52FF1D7E">
            <w:pPr>
              <w:pStyle w:val="ListParagraph"/>
              <w:widowControl w:val="0"/>
              <w:numPr>
                <w:ilvl w:val="0"/>
                <w:numId w:val="32"/>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a language-based learning disability </w:t>
            </w:r>
          </w:p>
          <w:p w14:paraId="416B2174" w14:textId="40AEA11E" w:rsidR="00EF19E5" w:rsidRPr="00EF4205" w:rsidRDefault="52FF1D7E" w:rsidP="52FF1D7E">
            <w:pPr>
              <w:pStyle w:val="ListParagraph"/>
              <w:widowControl w:val="0"/>
              <w:numPr>
                <w:ilvl w:val="0"/>
                <w:numId w:val="32"/>
              </w:numPr>
              <w:autoSpaceDE w:val="0"/>
              <w:autoSpaceDN w:val="0"/>
              <w:adjustRightInd w:val="0"/>
              <w:spacing w:line="276" w:lineRule="auto"/>
              <w:rPr>
                <w:rFonts w:cs="Calibri"/>
                <w:color w:val="000000" w:themeColor="text1"/>
                <w:sz w:val="22"/>
                <w:szCs w:val="22"/>
              </w:rPr>
            </w:pPr>
            <w:r w:rsidRPr="52FF1D7E">
              <w:rPr>
                <w:rFonts w:cs="Calibri"/>
                <w:color w:val="000000" w:themeColor="text1"/>
                <w:sz w:val="22"/>
                <w:szCs w:val="22"/>
              </w:rPr>
              <w:t xml:space="preserve">characterized by difficulties with word recognition, poor spelling and decoding, is directly influenced by a core deficit in the phonological component of language (in other words processing the sounds of spoken and written language) </w:t>
            </w:r>
          </w:p>
          <w:p w14:paraId="45EF305D" w14:textId="55AE05CB" w:rsidR="00EF19E5" w:rsidRPr="00EF4205" w:rsidRDefault="52FF1D7E" w:rsidP="52FF1D7E">
            <w:pPr>
              <w:pStyle w:val="ListParagraph"/>
              <w:widowControl w:val="0"/>
              <w:numPr>
                <w:ilvl w:val="0"/>
                <w:numId w:val="32"/>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unexpected; not a generalized developmental delay or disability; IQ is not a factor in diagnosing dyslexia; it is an equal-opportunity disability</w:t>
            </w:r>
          </w:p>
          <w:p w14:paraId="041F35BB" w14:textId="60246D65" w:rsidR="00EF19E5" w:rsidRPr="00EF4205" w:rsidRDefault="52FF1D7E" w:rsidP="52FF1D7E">
            <w:pPr>
              <w:pStyle w:val="ListParagraph"/>
              <w:widowControl w:val="0"/>
              <w:numPr>
                <w:ilvl w:val="0"/>
                <w:numId w:val="32"/>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many reasons why a student may have difficulties learning to read; dyslexia </w:t>
            </w:r>
            <w:proofErr w:type="gramStart"/>
            <w:r w:rsidRPr="52FF1D7E">
              <w:rPr>
                <w:rFonts w:cs="Calibri"/>
                <w:color w:val="000000" w:themeColor="text1"/>
                <w:sz w:val="22"/>
                <w:szCs w:val="22"/>
              </w:rPr>
              <w:t>is</w:t>
            </w:r>
            <w:proofErr w:type="gramEnd"/>
            <w:r w:rsidRPr="52FF1D7E">
              <w:rPr>
                <w:rFonts w:cs="Calibri"/>
                <w:color w:val="000000" w:themeColor="text1"/>
                <w:sz w:val="22"/>
                <w:szCs w:val="22"/>
              </w:rPr>
              <w:t xml:space="preserve"> unexpected when students are provided effective instruction.</w:t>
            </w:r>
          </w:p>
          <w:p w14:paraId="3C5D0786" w14:textId="53A60776" w:rsidR="00EF19E5" w:rsidRPr="00EF4205" w:rsidRDefault="52FF1D7E" w:rsidP="52FF1D7E">
            <w:pPr>
              <w:pStyle w:val="ListParagraph"/>
              <w:widowControl w:val="0"/>
              <w:numPr>
                <w:ilvl w:val="0"/>
                <w:numId w:val="32"/>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students with dyslexia typically have adequate reading comprehension, however, as a result of reducing reading experience, may develop difficulty with reading comprehension.</w:t>
            </w:r>
          </w:p>
          <w:p w14:paraId="57F6692F" w14:textId="77777777" w:rsidR="00EF19E5" w:rsidRPr="00666947" w:rsidRDefault="00EF19E5" w:rsidP="00EF4205">
            <w:pPr>
              <w:widowControl w:val="0"/>
              <w:autoSpaceDE w:val="0"/>
              <w:autoSpaceDN w:val="0"/>
              <w:adjustRightInd w:val="0"/>
              <w:spacing w:line="276" w:lineRule="auto"/>
              <w:rPr>
                <w:rFonts w:cs="Times"/>
                <w:color w:val="000000"/>
                <w:sz w:val="22"/>
                <w:szCs w:val="22"/>
              </w:rPr>
            </w:pPr>
          </w:p>
          <w:p w14:paraId="232E112F" w14:textId="77777777" w:rsidR="00EF19E5" w:rsidRPr="00666947" w:rsidRDefault="52FF1D7E" w:rsidP="52FF1D7E">
            <w:pPr>
              <w:widowControl w:val="0"/>
              <w:autoSpaceDE w:val="0"/>
              <w:autoSpaceDN w:val="0"/>
              <w:adjustRightInd w:val="0"/>
              <w:spacing w:line="276" w:lineRule="auto"/>
              <w:rPr>
                <w:rFonts w:cs="Calibri"/>
                <w:color w:val="000000" w:themeColor="text1"/>
                <w:sz w:val="22"/>
                <w:szCs w:val="22"/>
              </w:rPr>
            </w:pPr>
            <w:r w:rsidRPr="52FF1D7E">
              <w:rPr>
                <w:rFonts w:cs="Calibri"/>
                <w:color w:val="000000" w:themeColor="text1"/>
                <w:sz w:val="22"/>
                <w:szCs w:val="22"/>
              </w:rPr>
              <w:t>In addition:</w:t>
            </w:r>
          </w:p>
          <w:p w14:paraId="3955FB23" w14:textId="77777777" w:rsidR="00EF19E5" w:rsidRPr="00666947" w:rsidRDefault="52FF1D7E" w:rsidP="52FF1D7E">
            <w:pPr>
              <w:pStyle w:val="ListParagraph"/>
              <w:widowControl w:val="0"/>
              <w:numPr>
                <w:ilvl w:val="0"/>
                <w:numId w:val="2"/>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runs in families; parents with dyslexia are very likely to have children with dyslexia.</w:t>
            </w:r>
          </w:p>
          <w:p w14:paraId="329036FF" w14:textId="238FD2CE" w:rsidR="00EF19E5" w:rsidRPr="00666947" w:rsidRDefault="52FF1D7E" w:rsidP="52FF1D7E">
            <w:pPr>
              <w:pStyle w:val="ListParagraph"/>
              <w:widowControl w:val="0"/>
              <w:numPr>
                <w:ilvl w:val="0"/>
                <w:numId w:val="2"/>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exists on a continuum from mild to severe; early identification and intervention is critical.  </w:t>
            </w:r>
          </w:p>
          <w:p w14:paraId="469BC67F" w14:textId="0DB5A656" w:rsidR="00CF67D3" w:rsidRPr="00EF4205" w:rsidRDefault="52FF1D7E" w:rsidP="52FF1D7E">
            <w:pPr>
              <w:pStyle w:val="ListParagraph"/>
              <w:widowControl w:val="0"/>
              <w:numPr>
                <w:ilvl w:val="0"/>
                <w:numId w:val="2"/>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lastRenderedPageBreak/>
              <w:t>not all students with dyslexia will qualify for special education, but do benefit from systematic, explicit, instruction in reading, writing, and language.</w:t>
            </w:r>
          </w:p>
        </w:tc>
      </w:tr>
      <w:tr w:rsidR="004643F4" w14:paraId="0B1C4945" w14:textId="77777777" w:rsidTr="4AC017B6">
        <w:tc>
          <w:tcPr>
            <w:tcW w:w="1070" w:type="dxa"/>
          </w:tcPr>
          <w:p w14:paraId="5B1FAD35" w14:textId="77777777" w:rsidR="00CF67D3" w:rsidRPr="008C70AE" w:rsidRDefault="52FF1D7E">
            <w:r>
              <w:lastRenderedPageBreak/>
              <w:t>Slide 10</w:t>
            </w:r>
          </w:p>
        </w:tc>
        <w:tc>
          <w:tcPr>
            <w:tcW w:w="3456" w:type="dxa"/>
          </w:tcPr>
          <w:p w14:paraId="6944BF24" w14:textId="77777777" w:rsidR="00CF67D3" w:rsidRDefault="00CF67D3">
            <w:r w:rsidRPr="008C70AE">
              <w:rPr>
                <w:noProof/>
              </w:rPr>
              <w:drawing>
                <wp:inline distT="0" distB="0" distL="0" distR="0" wp14:anchorId="3B62B339" wp14:editId="4FB34643">
                  <wp:extent cx="1828800" cy="1028701"/>
                  <wp:effectExtent l="0" t="0" r="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28800" cy="1028701"/>
                          </a:xfrm>
                          <a:prstGeom prst="rect">
                            <a:avLst/>
                          </a:prstGeom>
                        </pic:spPr>
                      </pic:pic>
                    </a:graphicData>
                  </a:graphic>
                </wp:inline>
              </w:drawing>
            </w:r>
          </w:p>
          <w:p w14:paraId="0D65AFB5" w14:textId="77777777" w:rsidR="00CF67D3" w:rsidRDefault="00CF67D3"/>
        </w:tc>
        <w:tc>
          <w:tcPr>
            <w:tcW w:w="8352" w:type="dxa"/>
          </w:tcPr>
          <w:p w14:paraId="11126E40" w14:textId="77777777" w:rsidR="00CF67D3" w:rsidRPr="00666947" w:rsidRDefault="00CF67D3" w:rsidP="00EF4205">
            <w:pPr>
              <w:spacing w:line="276" w:lineRule="auto"/>
              <w:rPr>
                <w:sz w:val="22"/>
                <w:szCs w:val="22"/>
              </w:rPr>
            </w:pPr>
          </w:p>
        </w:tc>
      </w:tr>
      <w:tr w:rsidR="004643F4" w14:paraId="5C080446" w14:textId="77777777" w:rsidTr="4AC017B6">
        <w:tc>
          <w:tcPr>
            <w:tcW w:w="1070" w:type="dxa"/>
          </w:tcPr>
          <w:p w14:paraId="5733A27F" w14:textId="77777777" w:rsidR="00CF67D3" w:rsidRPr="008C70AE" w:rsidRDefault="52FF1D7E">
            <w:r>
              <w:t>Slide 11</w:t>
            </w:r>
          </w:p>
        </w:tc>
        <w:tc>
          <w:tcPr>
            <w:tcW w:w="3456" w:type="dxa"/>
          </w:tcPr>
          <w:p w14:paraId="72EDD872" w14:textId="77777777" w:rsidR="00CF67D3" w:rsidRDefault="00CF67D3">
            <w:r w:rsidRPr="008C70AE">
              <w:rPr>
                <w:noProof/>
              </w:rPr>
              <w:drawing>
                <wp:inline distT="0" distB="0" distL="0" distR="0" wp14:anchorId="27624E31" wp14:editId="36FFFDED">
                  <wp:extent cx="1828800" cy="1028701"/>
                  <wp:effectExtent l="0" t="0" r="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28800" cy="1028701"/>
                          </a:xfrm>
                          <a:prstGeom prst="rect">
                            <a:avLst/>
                          </a:prstGeom>
                        </pic:spPr>
                      </pic:pic>
                    </a:graphicData>
                  </a:graphic>
                </wp:inline>
              </w:drawing>
            </w:r>
          </w:p>
          <w:p w14:paraId="2995865A" w14:textId="77777777" w:rsidR="00CF67D3" w:rsidRDefault="00CF67D3"/>
        </w:tc>
        <w:tc>
          <w:tcPr>
            <w:tcW w:w="8352" w:type="dxa"/>
          </w:tcPr>
          <w:p w14:paraId="53EAD553" w14:textId="521BE453" w:rsidR="00EF19E5" w:rsidRPr="00B827D5" w:rsidRDefault="52FF1D7E" w:rsidP="52FF1D7E">
            <w:pPr>
              <w:pStyle w:val="ListParagraph"/>
              <w:widowControl w:val="0"/>
              <w:numPr>
                <w:ilvl w:val="0"/>
                <w:numId w:val="3"/>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NC has been a leader in the provision of professional development for students with persistent reading difficulties  </w:t>
            </w:r>
          </w:p>
          <w:p w14:paraId="540A4EAD" w14:textId="623B98A3" w:rsidR="00EF19E5" w:rsidRPr="00666947" w:rsidRDefault="4AC017B6" w:rsidP="4AC017B6">
            <w:pPr>
              <w:pStyle w:val="ListParagraph"/>
              <w:widowControl w:val="0"/>
              <w:numPr>
                <w:ilvl w:val="0"/>
                <w:numId w:val="3"/>
              </w:numPr>
              <w:autoSpaceDE w:val="0"/>
              <w:autoSpaceDN w:val="0"/>
              <w:adjustRightInd w:val="0"/>
              <w:spacing w:line="276" w:lineRule="auto"/>
              <w:rPr>
                <w:rFonts w:cs="Calibri"/>
                <w:color w:val="000000" w:themeColor="text1"/>
                <w:sz w:val="22"/>
                <w:szCs w:val="22"/>
              </w:rPr>
            </w:pPr>
            <w:r w:rsidRPr="4AC017B6">
              <w:rPr>
                <w:rFonts w:cs="Calibri"/>
                <w:color w:val="000000" w:themeColor="text1"/>
                <w:sz w:val="22"/>
                <w:szCs w:val="22"/>
              </w:rPr>
              <w:t>NC State Improvement Project’s </w:t>
            </w:r>
            <w:r w:rsidRPr="4AC017B6">
              <w:rPr>
                <w:rFonts w:cs="Calibri"/>
                <w:i/>
                <w:iCs/>
                <w:color w:val="000000" w:themeColor="text1"/>
                <w:sz w:val="22"/>
                <w:szCs w:val="22"/>
              </w:rPr>
              <w:t>Reading Research to Classroom Practice (</w:t>
            </w:r>
            <w:proofErr w:type="spellStart"/>
            <w:r w:rsidRPr="4AC017B6">
              <w:rPr>
                <w:rFonts w:cs="Calibri"/>
                <w:i/>
                <w:iCs/>
                <w:color w:val="000000" w:themeColor="text1"/>
                <w:sz w:val="22"/>
                <w:szCs w:val="22"/>
              </w:rPr>
              <w:t>RRtCP</w:t>
            </w:r>
            <w:proofErr w:type="spellEnd"/>
            <w:r w:rsidRPr="4AC017B6">
              <w:rPr>
                <w:rFonts w:cs="Calibri"/>
                <w:i/>
                <w:iCs/>
                <w:color w:val="000000" w:themeColor="text1"/>
                <w:sz w:val="22"/>
                <w:szCs w:val="22"/>
              </w:rPr>
              <w:t>)</w:t>
            </w:r>
            <w:r w:rsidRPr="4AC017B6">
              <w:rPr>
                <w:rFonts w:cs="Calibri"/>
                <w:color w:val="000000" w:themeColor="text1"/>
                <w:sz w:val="22"/>
                <w:szCs w:val="22"/>
              </w:rPr>
              <w:t xml:space="preserve"> professional development, has been provided in NC for the past 16 years; reflects an extensive body of instructional research that includes students with reading difficulties and dyslexia.</w:t>
            </w:r>
          </w:p>
          <w:p w14:paraId="25BE318E" w14:textId="77777777" w:rsidR="006E31D9" w:rsidRPr="006E31D9" w:rsidRDefault="52FF1D7E" w:rsidP="006E31D9">
            <w:pPr>
              <w:pStyle w:val="ListParagraph"/>
              <w:widowControl w:val="0"/>
              <w:numPr>
                <w:ilvl w:val="0"/>
                <w:numId w:val="3"/>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principles of reading instruction gleaned from the research and reflected in the NCSIP training include the use of direct, explicit, and systematic instructional techniques and strategies. </w:t>
            </w:r>
          </w:p>
          <w:p w14:paraId="022C886D" w14:textId="0C7FE626" w:rsidR="00C215BE" w:rsidRPr="006E31D9" w:rsidRDefault="4AC017B6" w:rsidP="006E31D9">
            <w:pPr>
              <w:pStyle w:val="ListParagraph"/>
              <w:widowControl w:val="0"/>
              <w:numPr>
                <w:ilvl w:val="0"/>
                <w:numId w:val="3"/>
              </w:numPr>
              <w:autoSpaceDE w:val="0"/>
              <w:autoSpaceDN w:val="0"/>
              <w:adjustRightInd w:val="0"/>
              <w:spacing w:line="276" w:lineRule="auto"/>
              <w:rPr>
                <w:rFonts w:cs="Times"/>
                <w:color w:val="000000" w:themeColor="text1"/>
                <w:sz w:val="22"/>
                <w:szCs w:val="22"/>
              </w:rPr>
            </w:pPr>
            <w:r w:rsidRPr="006E31D9">
              <w:rPr>
                <w:rFonts w:cs="Calibri"/>
                <w:color w:val="000000" w:themeColor="text1"/>
                <w:sz w:val="22"/>
                <w:szCs w:val="22"/>
              </w:rPr>
              <w:t xml:space="preserve">260 </w:t>
            </w:r>
            <w:proofErr w:type="spellStart"/>
            <w:r w:rsidRPr="006E31D9">
              <w:rPr>
                <w:rFonts w:cs="Calibri"/>
                <w:color w:val="000000" w:themeColor="text1"/>
                <w:sz w:val="22"/>
                <w:szCs w:val="22"/>
              </w:rPr>
              <w:t>RRtCP</w:t>
            </w:r>
            <w:proofErr w:type="spellEnd"/>
            <w:r w:rsidRPr="006E31D9">
              <w:rPr>
                <w:rFonts w:cs="Calibri"/>
                <w:color w:val="000000" w:themeColor="text1"/>
                <w:sz w:val="22"/>
                <w:szCs w:val="22"/>
              </w:rPr>
              <w:t xml:space="preserve"> instructors </w:t>
            </w:r>
          </w:p>
          <w:p w14:paraId="0BCEC8CB" w14:textId="7A77A668" w:rsidR="00EF19E5" w:rsidRPr="00F0156D" w:rsidRDefault="52FF1D7E" w:rsidP="52FF1D7E">
            <w:pPr>
              <w:pStyle w:val="ListParagraph"/>
              <w:widowControl w:val="0"/>
              <w:numPr>
                <w:ilvl w:val="0"/>
                <w:numId w:val="4"/>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in 2016,</w:t>
            </w:r>
            <w:r w:rsidRPr="52FF1D7E">
              <w:rPr>
                <w:rFonts w:cs="Calibri"/>
                <w:i/>
                <w:iCs/>
                <w:color w:val="000000" w:themeColor="text1"/>
                <w:sz w:val="22"/>
                <w:szCs w:val="22"/>
              </w:rPr>
              <w:t xml:space="preserve"> Deep Dive into Dyslexia: The Science of Reading and Expert Teaching</w:t>
            </w:r>
            <w:r w:rsidRPr="52FF1D7E">
              <w:rPr>
                <w:rFonts w:cs="Calibri"/>
                <w:color w:val="000000" w:themeColor="text1"/>
                <w:sz w:val="22"/>
                <w:szCs w:val="22"/>
              </w:rPr>
              <w:t xml:space="preserve"> was developed in collaboration with Nancy Hennessy, past president of the International Dyslexia Association and Director of Academic &amp; Professional Practices at the AIM Institute. NC currently has 51 dyslexia delegates across all 8 regions, as well as 9 consultants at the NC Department of Public Instruction able to provide this training.  </w:t>
            </w:r>
          </w:p>
          <w:p w14:paraId="0A1FC791" w14:textId="0CCA1C17" w:rsidR="00EF19E5" w:rsidRPr="00F0156D" w:rsidRDefault="52FF1D7E" w:rsidP="52FF1D7E">
            <w:pPr>
              <w:pStyle w:val="ListParagraph"/>
              <w:widowControl w:val="0"/>
              <w:numPr>
                <w:ilvl w:val="0"/>
                <w:numId w:val="4"/>
              </w:numPr>
              <w:autoSpaceDE w:val="0"/>
              <w:autoSpaceDN w:val="0"/>
              <w:adjustRightInd w:val="0"/>
              <w:spacing w:line="276" w:lineRule="auto"/>
              <w:rPr>
                <w:rFonts w:cs="Times"/>
                <w:color w:val="000000" w:themeColor="text1"/>
                <w:sz w:val="22"/>
                <w:szCs w:val="22"/>
              </w:rPr>
            </w:pPr>
            <w:r w:rsidRPr="52FF1D7E">
              <w:rPr>
                <w:rFonts w:cs="Calibri"/>
                <w:i/>
                <w:iCs/>
                <w:color w:val="000000" w:themeColor="text1"/>
                <w:sz w:val="22"/>
                <w:szCs w:val="22"/>
              </w:rPr>
              <w:t xml:space="preserve">What Works:  Supporting Students with Word Level Written Expression Difficulties </w:t>
            </w:r>
            <w:r w:rsidRPr="52FF1D7E">
              <w:rPr>
                <w:rFonts w:cs="Calibri"/>
                <w:color w:val="000000" w:themeColor="text1"/>
                <w:sz w:val="22"/>
                <w:szCs w:val="22"/>
              </w:rPr>
              <w:t xml:space="preserve">was developed by consultants in the Exceptional Children Division and is available for delivery statewide through the Exceptional Children Division request process </w:t>
            </w:r>
          </w:p>
          <w:p w14:paraId="684FE4C3" w14:textId="4AAD4F14" w:rsidR="00CF67D3" w:rsidRPr="00E7199B" w:rsidRDefault="52FF1D7E" w:rsidP="52FF1D7E">
            <w:pPr>
              <w:pStyle w:val="ListParagraph"/>
              <w:widowControl w:val="0"/>
              <w:numPr>
                <w:ilvl w:val="0"/>
                <w:numId w:val="4"/>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professional development for students who have a learning disability in the area of math, including dyscalculia, is currently in development for statewide </w:t>
            </w:r>
            <w:r w:rsidRPr="52FF1D7E">
              <w:rPr>
                <w:rFonts w:cs="Calibri"/>
                <w:color w:val="000000" w:themeColor="text1"/>
                <w:sz w:val="22"/>
                <w:szCs w:val="22"/>
              </w:rPr>
              <w:lastRenderedPageBreak/>
              <w:t xml:space="preserve">dissemination.  </w:t>
            </w:r>
          </w:p>
        </w:tc>
      </w:tr>
      <w:tr w:rsidR="004643F4" w14:paraId="0C218823" w14:textId="77777777" w:rsidTr="4AC017B6">
        <w:tc>
          <w:tcPr>
            <w:tcW w:w="1070" w:type="dxa"/>
          </w:tcPr>
          <w:p w14:paraId="3A98DFCD" w14:textId="77777777" w:rsidR="00CF67D3" w:rsidRPr="008C70AE" w:rsidRDefault="52FF1D7E">
            <w:r>
              <w:lastRenderedPageBreak/>
              <w:t>Slide 12</w:t>
            </w:r>
          </w:p>
        </w:tc>
        <w:tc>
          <w:tcPr>
            <w:tcW w:w="3456" w:type="dxa"/>
          </w:tcPr>
          <w:p w14:paraId="15CE844E" w14:textId="77777777" w:rsidR="00CF67D3" w:rsidRDefault="00CF67D3">
            <w:r w:rsidRPr="008C70AE">
              <w:rPr>
                <w:noProof/>
              </w:rPr>
              <w:drawing>
                <wp:inline distT="0" distB="0" distL="0" distR="0" wp14:anchorId="213EBEFF" wp14:editId="5813EB16">
                  <wp:extent cx="1828800" cy="1028701"/>
                  <wp:effectExtent l="0" t="0" r="0"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28800" cy="1028701"/>
                          </a:xfrm>
                          <a:prstGeom prst="rect">
                            <a:avLst/>
                          </a:prstGeom>
                        </pic:spPr>
                      </pic:pic>
                    </a:graphicData>
                  </a:graphic>
                </wp:inline>
              </w:drawing>
            </w:r>
          </w:p>
          <w:p w14:paraId="2EB66D18" w14:textId="77777777" w:rsidR="00CF67D3" w:rsidRDefault="00CF67D3"/>
        </w:tc>
        <w:tc>
          <w:tcPr>
            <w:tcW w:w="8352" w:type="dxa"/>
          </w:tcPr>
          <w:p w14:paraId="2783F382" w14:textId="77777777" w:rsidR="00CF67D3" w:rsidRPr="00666947" w:rsidRDefault="00CF67D3" w:rsidP="00EF4205">
            <w:pPr>
              <w:widowControl w:val="0"/>
              <w:autoSpaceDE w:val="0"/>
              <w:autoSpaceDN w:val="0"/>
              <w:adjustRightInd w:val="0"/>
              <w:spacing w:line="276" w:lineRule="auto"/>
              <w:rPr>
                <w:sz w:val="22"/>
                <w:szCs w:val="22"/>
              </w:rPr>
            </w:pPr>
          </w:p>
        </w:tc>
      </w:tr>
      <w:tr w:rsidR="004643F4" w14:paraId="5FA8D185" w14:textId="77777777" w:rsidTr="4AC017B6">
        <w:tc>
          <w:tcPr>
            <w:tcW w:w="1070" w:type="dxa"/>
          </w:tcPr>
          <w:p w14:paraId="7D706C3F" w14:textId="77777777" w:rsidR="00CF67D3" w:rsidRPr="008C70AE" w:rsidRDefault="52FF1D7E">
            <w:r>
              <w:t>Slide 13</w:t>
            </w:r>
          </w:p>
        </w:tc>
        <w:tc>
          <w:tcPr>
            <w:tcW w:w="3456" w:type="dxa"/>
          </w:tcPr>
          <w:p w14:paraId="5CF59C4E" w14:textId="77777777" w:rsidR="00CF67D3" w:rsidRDefault="00CF67D3">
            <w:r w:rsidRPr="008C70AE">
              <w:rPr>
                <w:noProof/>
              </w:rPr>
              <w:drawing>
                <wp:inline distT="0" distB="0" distL="0" distR="0" wp14:anchorId="3B2E5631" wp14:editId="12FADE59">
                  <wp:extent cx="1828800" cy="1028701"/>
                  <wp:effectExtent l="0" t="0" r="0"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28800" cy="1028701"/>
                          </a:xfrm>
                          <a:prstGeom prst="rect">
                            <a:avLst/>
                          </a:prstGeom>
                        </pic:spPr>
                      </pic:pic>
                    </a:graphicData>
                  </a:graphic>
                </wp:inline>
              </w:drawing>
            </w:r>
          </w:p>
          <w:p w14:paraId="557A3A12" w14:textId="77777777" w:rsidR="00CF67D3" w:rsidRDefault="00CF67D3"/>
        </w:tc>
        <w:tc>
          <w:tcPr>
            <w:tcW w:w="8352" w:type="dxa"/>
          </w:tcPr>
          <w:p w14:paraId="7EBF2A52" w14:textId="5970A593" w:rsidR="00EF19E5" w:rsidRPr="00666947" w:rsidRDefault="52FF1D7E" w:rsidP="52FF1D7E">
            <w:pPr>
              <w:widowControl w:val="0"/>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The main page of the NC DPI Exceptional Children website has a link to a page with materials of interest to parents and educators including:</w:t>
            </w:r>
          </w:p>
          <w:p w14:paraId="2F8EE9D1" w14:textId="0F84F40D" w:rsidR="00EF19E5" w:rsidRPr="006312E0" w:rsidRDefault="52FF1D7E" w:rsidP="52FF1D7E">
            <w:pPr>
              <w:pStyle w:val="ListParagraph"/>
              <w:widowControl w:val="0"/>
              <w:numPr>
                <w:ilvl w:val="0"/>
                <w:numId w:val="5"/>
              </w:numPr>
              <w:autoSpaceDE w:val="0"/>
              <w:autoSpaceDN w:val="0"/>
              <w:adjustRightInd w:val="0"/>
              <w:spacing w:line="276" w:lineRule="auto"/>
              <w:rPr>
                <w:rFonts w:cs="Times"/>
                <w:color w:val="000000" w:themeColor="text1"/>
                <w:sz w:val="22"/>
                <w:szCs w:val="22"/>
              </w:rPr>
            </w:pPr>
            <w:r w:rsidRPr="52FF1D7E">
              <w:rPr>
                <w:rFonts w:cs="Calibri"/>
                <w:i/>
                <w:iCs/>
                <w:color w:val="000000" w:themeColor="text1"/>
                <w:sz w:val="22"/>
                <w:szCs w:val="22"/>
              </w:rPr>
              <w:t>Dyslexia Topic Brief</w:t>
            </w:r>
            <w:r w:rsidRPr="52FF1D7E">
              <w:rPr>
                <w:rFonts w:cs="Calibri"/>
                <w:color w:val="000000" w:themeColor="text1"/>
                <w:sz w:val="22"/>
                <w:szCs w:val="22"/>
              </w:rPr>
              <w:t>-  This document provides information regarding the evaluation, identification and instruction of students with dyslexia within the school setting in a myths and facts format.  This is also available in Spanish.</w:t>
            </w:r>
          </w:p>
          <w:p w14:paraId="35CC83AA" w14:textId="27B66DAA" w:rsidR="00EF19E5" w:rsidRPr="006312E0" w:rsidRDefault="52FF1D7E" w:rsidP="52FF1D7E">
            <w:pPr>
              <w:pStyle w:val="ListParagraph"/>
              <w:widowControl w:val="0"/>
              <w:numPr>
                <w:ilvl w:val="0"/>
                <w:numId w:val="5"/>
              </w:numPr>
              <w:autoSpaceDE w:val="0"/>
              <w:autoSpaceDN w:val="0"/>
              <w:adjustRightInd w:val="0"/>
              <w:spacing w:line="276" w:lineRule="auto"/>
              <w:rPr>
                <w:rFonts w:cs="Times"/>
                <w:color w:val="000000" w:themeColor="text1"/>
                <w:sz w:val="22"/>
                <w:szCs w:val="22"/>
              </w:rPr>
            </w:pPr>
            <w:r w:rsidRPr="52FF1D7E">
              <w:rPr>
                <w:rFonts w:cs="Calibri"/>
                <w:i/>
                <w:iCs/>
                <w:color w:val="000000" w:themeColor="text1"/>
                <w:sz w:val="22"/>
                <w:szCs w:val="22"/>
              </w:rPr>
              <w:t>Dyslexia Guidance letter</w:t>
            </w:r>
            <w:r w:rsidRPr="52FF1D7E">
              <w:rPr>
                <w:rFonts w:cs="Calibri"/>
                <w:color w:val="000000" w:themeColor="text1"/>
                <w:sz w:val="22"/>
                <w:szCs w:val="22"/>
              </w:rPr>
              <w:t xml:space="preserve"> from the US Department of Education clarifying that there is nothing in the IDEA that would prohibit the use of the terms dyslexia, dyscalculia, and dysgraphia in IDEA evaluation, eligibility determinations or IEP documents.” October 23, 2015</w:t>
            </w:r>
          </w:p>
          <w:p w14:paraId="1F0228E3" w14:textId="112AE718" w:rsidR="00EF19E5" w:rsidRPr="006312E0" w:rsidRDefault="52FF1D7E" w:rsidP="52FF1D7E">
            <w:pPr>
              <w:pStyle w:val="ListParagraph"/>
              <w:widowControl w:val="0"/>
              <w:numPr>
                <w:ilvl w:val="0"/>
                <w:numId w:val="5"/>
              </w:numPr>
              <w:autoSpaceDE w:val="0"/>
              <w:autoSpaceDN w:val="0"/>
              <w:adjustRightInd w:val="0"/>
              <w:spacing w:line="276" w:lineRule="auto"/>
              <w:rPr>
                <w:rFonts w:cs="Times"/>
                <w:color w:val="000000" w:themeColor="text1"/>
                <w:sz w:val="22"/>
                <w:szCs w:val="22"/>
              </w:rPr>
            </w:pPr>
            <w:r w:rsidRPr="52FF1D7E">
              <w:rPr>
                <w:rFonts w:cs="Calibri"/>
                <w:i/>
                <w:iCs/>
                <w:color w:val="000000" w:themeColor="text1"/>
                <w:sz w:val="22"/>
                <w:szCs w:val="22"/>
              </w:rPr>
              <w:t>Dyslexia Fact Sheets</w:t>
            </w:r>
            <w:r w:rsidRPr="52FF1D7E">
              <w:rPr>
                <w:rFonts w:cs="Calibri"/>
                <w:color w:val="000000" w:themeColor="text1"/>
                <w:sz w:val="22"/>
                <w:szCs w:val="22"/>
              </w:rPr>
              <w:t xml:space="preserve"> from the International Dyslexia Association</w:t>
            </w:r>
          </w:p>
          <w:p w14:paraId="30E74C75" w14:textId="1B70D4A4" w:rsidR="00EF19E5" w:rsidRPr="00666947" w:rsidRDefault="52FF1D7E" w:rsidP="52FF1D7E">
            <w:pPr>
              <w:pStyle w:val="ListParagraph"/>
              <w:widowControl w:val="0"/>
              <w:numPr>
                <w:ilvl w:val="0"/>
                <w:numId w:val="5"/>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The Exceptional Children Division is partnering with ECAC to develop additional electronic accessible materials.</w:t>
            </w:r>
          </w:p>
          <w:p w14:paraId="4D12A74B" w14:textId="77777777" w:rsidR="00CF67D3" w:rsidRPr="00666947" w:rsidRDefault="00CF67D3" w:rsidP="00EF4205">
            <w:pPr>
              <w:spacing w:line="276" w:lineRule="auto"/>
              <w:rPr>
                <w:sz w:val="22"/>
                <w:szCs w:val="22"/>
              </w:rPr>
            </w:pPr>
          </w:p>
        </w:tc>
      </w:tr>
      <w:tr w:rsidR="004643F4" w14:paraId="1E5DB91B" w14:textId="77777777" w:rsidTr="4AC017B6">
        <w:tc>
          <w:tcPr>
            <w:tcW w:w="1070" w:type="dxa"/>
          </w:tcPr>
          <w:p w14:paraId="6A7ABD05" w14:textId="77777777" w:rsidR="00CF67D3" w:rsidRPr="008C70AE" w:rsidRDefault="52FF1D7E">
            <w:r>
              <w:t>Slide 14</w:t>
            </w:r>
          </w:p>
        </w:tc>
        <w:tc>
          <w:tcPr>
            <w:tcW w:w="3456" w:type="dxa"/>
          </w:tcPr>
          <w:p w14:paraId="01B263A1" w14:textId="77777777" w:rsidR="00CF67D3" w:rsidRDefault="00CF67D3">
            <w:r w:rsidRPr="008C70AE">
              <w:rPr>
                <w:noProof/>
              </w:rPr>
              <w:drawing>
                <wp:inline distT="0" distB="0" distL="0" distR="0" wp14:anchorId="44A41AA7" wp14:editId="2093184B">
                  <wp:extent cx="1828800" cy="1083672"/>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28800" cy="1083672"/>
                          </a:xfrm>
                          <a:prstGeom prst="rect">
                            <a:avLst/>
                          </a:prstGeom>
                        </pic:spPr>
                      </pic:pic>
                    </a:graphicData>
                  </a:graphic>
                </wp:inline>
              </w:drawing>
            </w:r>
          </w:p>
          <w:p w14:paraId="33A4BFCD" w14:textId="77777777" w:rsidR="00CF67D3" w:rsidRDefault="00CF67D3"/>
        </w:tc>
        <w:tc>
          <w:tcPr>
            <w:tcW w:w="8352" w:type="dxa"/>
          </w:tcPr>
          <w:p w14:paraId="525EEAAC" w14:textId="77777777" w:rsidR="00CF67D3" w:rsidRPr="00666947" w:rsidRDefault="00CF67D3" w:rsidP="00EF4205">
            <w:pPr>
              <w:spacing w:line="276" w:lineRule="auto"/>
              <w:rPr>
                <w:sz w:val="22"/>
                <w:szCs w:val="22"/>
              </w:rPr>
            </w:pPr>
          </w:p>
        </w:tc>
      </w:tr>
      <w:tr w:rsidR="004643F4" w14:paraId="1E19A368" w14:textId="77777777" w:rsidTr="4AC017B6">
        <w:tc>
          <w:tcPr>
            <w:tcW w:w="1070" w:type="dxa"/>
          </w:tcPr>
          <w:p w14:paraId="0C92F483" w14:textId="77777777" w:rsidR="00CF67D3" w:rsidRPr="008C70AE" w:rsidRDefault="52FF1D7E">
            <w:r>
              <w:lastRenderedPageBreak/>
              <w:t>Slide 15</w:t>
            </w:r>
          </w:p>
        </w:tc>
        <w:tc>
          <w:tcPr>
            <w:tcW w:w="3456" w:type="dxa"/>
          </w:tcPr>
          <w:p w14:paraId="7CBB05CD" w14:textId="77777777" w:rsidR="00CF67D3" w:rsidRDefault="00CF67D3">
            <w:r w:rsidRPr="008C70AE">
              <w:rPr>
                <w:noProof/>
              </w:rPr>
              <w:drawing>
                <wp:inline distT="0" distB="0" distL="0" distR="0" wp14:anchorId="06A933DF" wp14:editId="270BDB50">
                  <wp:extent cx="1828800" cy="1028700"/>
                  <wp:effectExtent l="0" t="0" r="0"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28800" cy="1028700"/>
                          </a:xfrm>
                          <a:prstGeom prst="rect">
                            <a:avLst/>
                          </a:prstGeom>
                        </pic:spPr>
                      </pic:pic>
                    </a:graphicData>
                  </a:graphic>
                </wp:inline>
              </w:drawing>
            </w:r>
          </w:p>
          <w:p w14:paraId="2DDA7CDD" w14:textId="77777777" w:rsidR="00CF67D3" w:rsidRDefault="00CF67D3"/>
        </w:tc>
        <w:tc>
          <w:tcPr>
            <w:tcW w:w="8352" w:type="dxa"/>
          </w:tcPr>
          <w:p w14:paraId="4761C6D1" w14:textId="728E4068" w:rsidR="00F74B60" w:rsidRDefault="52FF1D7E" w:rsidP="52FF1D7E">
            <w:pPr>
              <w:pStyle w:val="ListParagraph"/>
              <w:widowControl w:val="0"/>
              <w:numPr>
                <w:ilvl w:val="0"/>
                <w:numId w:val="8"/>
              </w:numPr>
              <w:autoSpaceDE w:val="0"/>
              <w:autoSpaceDN w:val="0"/>
              <w:adjustRightInd w:val="0"/>
              <w:spacing w:line="276" w:lineRule="auto"/>
              <w:rPr>
                <w:rFonts w:cs="Calibri"/>
                <w:color w:val="000000" w:themeColor="text1"/>
                <w:sz w:val="22"/>
                <w:szCs w:val="22"/>
              </w:rPr>
            </w:pPr>
            <w:r w:rsidRPr="52FF1D7E">
              <w:rPr>
                <w:rFonts w:cs="Calibri"/>
                <w:color w:val="000000" w:themeColor="text1"/>
                <w:sz w:val="22"/>
                <w:szCs w:val="22"/>
              </w:rPr>
              <w:t xml:space="preserve">definition of screening within </w:t>
            </w:r>
            <w:r w:rsidRPr="52FF1D7E">
              <w:rPr>
                <w:rFonts w:cs="Calibri"/>
                <w:i/>
                <w:iCs/>
                <w:color w:val="000000" w:themeColor="text1"/>
                <w:sz w:val="22"/>
                <w:szCs w:val="22"/>
              </w:rPr>
              <w:t>NC Policies Governing Services for Children with Disabilities</w:t>
            </w:r>
            <w:r w:rsidRPr="52FF1D7E">
              <w:rPr>
                <w:rFonts w:cs="Calibri"/>
                <w:color w:val="000000" w:themeColor="text1"/>
                <w:sz w:val="22"/>
                <w:szCs w:val="22"/>
              </w:rPr>
              <w:t xml:space="preserve"> includes a definition of screening.  This definition includes mass or universal screening that is conducted with all students to identify students at risk of future academic, behavioral or emotional difficulties. </w:t>
            </w:r>
          </w:p>
          <w:p w14:paraId="53F29F76" w14:textId="4E581189" w:rsidR="004D7972" w:rsidRDefault="52FF1D7E" w:rsidP="52FF1D7E">
            <w:pPr>
              <w:pStyle w:val="ListParagraph"/>
              <w:widowControl w:val="0"/>
              <w:numPr>
                <w:ilvl w:val="0"/>
                <w:numId w:val="8"/>
              </w:numPr>
              <w:autoSpaceDE w:val="0"/>
              <w:autoSpaceDN w:val="0"/>
              <w:adjustRightInd w:val="0"/>
              <w:spacing w:line="276" w:lineRule="auto"/>
              <w:rPr>
                <w:rFonts w:cs="Calibri"/>
                <w:color w:val="000000" w:themeColor="text1"/>
                <w:sz w:val="22"/>
                <w:szCs w:val="22"/>
              </w:rPr>
            </w:pPr>
            <w:r w:rsidRPr="52FF1D7E">
              <w:rPr>
                <w:rFonts w:cs="Calibri"/>
                <w:color w:val="000000" w:themeColor="text1"/>
                <w:sz w:val="22"/>
                <w:szCs w:val="22"/>
              </w:rPr>
              <w:t>evaluations for Specific Learning Disabilities have screenings that are required as part of the evaluation process</w:t>
            </w:r>
          </w:p>
          <w:p w14:paraId="6A1C8F46" w14:textId="388F7C4E" w:rsidR="006312E0" w:rsidRDefault="52FF1D7E" w:rsidP="52FF1D7E">
            <w:pPr>
              <w:pStyle w:val="ListParagraph"/>
              <w:widowControl w:val="0"/>
              <w:numPr>
                <w:ilvl w:val="0"/>
                <w:numId w:val="8"/>
              </w:numPr>
              <w:autoSpaceDE w:val="0"/>
              <w:autoSpaceDN w:val="0"/>
              <w:adjustRightInd w:val="0"/>
              <w:spacing w:line="276" w:lineRule="auto"/>
              <w:rPr>
                <w:rFonts w:cs="Calibri"/>
                <w:color w:val="000000" w:themeColor="text1"/>
                <w:sz w:val="22"/>
                <w:szCs w:val="22"/>
              </w:rPr>
            </w:pPr>
            <w:r w:rsidRPr="52FF1D7E">
              <w:rPr>
                <w:rFonts w:cs="Calibri"/>
                <w:color w:val="000000" w:themeColor="text1"/>
                <w:sz w:val="22"/>
                <w:szCs w:val="22"/>
              </w:rPr>
              <w:t>early identification of students with indicators of risk through a universal screening system is critical.</w:t>
            </w:r>
          </w:p>
          <w:p w14:paraId="4BAB4199" w14:textId="77777777" w:rsidR="006312E0" w:rsidRPr="006312E0" w:rsidRDefault="52FF1D7E" w:rsidP="52FF1D7E">
            <w:pPr>
              <w:pStyle w:val="ListParagraph"/>
              <w:widowControl w:val="0"/>
              <w:numPr>
                <w:ilvl w:val="0"/>
                <w:numId w:val="8"/>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NC Public Schools are required through the Excellent Public Schools Act (HB 950/ S.L. 2102-142) to assess all kindergarten, first, second and third grade students with valid, reliable, formative and diagnostic reading assessments. Screening assessments required for use by all North Carolina schools in grades K-3 include the Dynamic Indicators of Basic Early Literacy Skills (DIBELS) components named below:</w:t>
            </w:r>
          </w:p>
          <w:p w14:paraId="04005849" w14:textId="17263B96" w:rsidR="006312E0" w:rsidRPr="006312E0" w:rsidRDefault="52FF1D7E" w:rsidP="52FF1D7E">
            <w:pPr>
              <w:pStyle w:val="ListParagraph"/>
              <w:widowControl w:val="0"/>
              <w:numPr>
                <w:ilvl w:val="1"/>
                <w:numId w:val="8"/>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First Sound Fluency and Phoneme Segmentation Fluency</w:t>
            </w:r>
          </w:p>
          <w:p w14:paraId="1C47A9DC" w14:textId="3E152C3D" w:rsidR="006312E0" w:rsidRPr="006312E0" w:rsidRDefault="52FF1D7E" w:rsidP="52FF1D7E">
            <w:pPr>
              <w:pStyle w:val="ListParagraph"/>
              <w:widowControl w:val="0"/>
              <w:numPr>
                <w:ilvl w:val="1"/>
                <w:numId w:val="8"/>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Nonsense Word Fluency</w:t>
            </w:r>
          </w:p>
          <w:p w14:paraId="044C1F63" w14:textId="05A0C484" w:rsidR="006312E0" w:rsidRPr="006312E0" w:rsidRDefault="52FF1D7E" w:rsidP="52FF1D7E">
            <w:pPr>
              <w:pStyle w:val="ListParagraph"/>
              <w:widowControl w:val="0"/>
              <w:numPr>
                <w:ilvl w:val="1"/>
                <w:numId w:val="8"/>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Letter Naming Fluency</w:t>
            </w:r>
          </w:p>
          <w:p w14:paraId="775CD0DC" w14:textId="5F21E05A" w:rsidR="006312E0" w:rsidRPr="006312E0" w:rsidRDefault="52FF1D7E" w:rsidP="52FF1D7E">
            <w:pPr>
              <w:pStyle w:val="ListParagraph"/>
              <w:widowControl w:val="0"/>
              <w:numPr>
                <w:ilvl w:val="1"/>
                <w:numId w:val="8"/>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Oral Reading Fluency and</w:t>
            </w:r>
          </w:p>
          <w:p w14:paraId="3829E639" w14:textId="4420BC11" w:rsidR="006312E0" w:rsidRPr="003D113F" w:rsidRDefault="52FF1D7E" w:rsidP="52FF1D7E">
            <w:pPr>
              <w:pStyle w:val="ListParagraph"/>
              <w:widowControl w:val="0"/>
              <w:numPr>
                <w:ilvl w:val="1"/>
                <w:numId w:val="8"/>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Oral Reading Accuracy</w:t>
            </w:r>
          </w:p>
          <w:p w14:paraId="3D50BA9D" w14:textId="70F08210" w:rsidR="006312E0" w:rsidRPr="006312E0" w:rsidRDefault="52FF1D7E" w:rsidP="52FF1D7E">
            <w:pPr>
              <w:pStyle w:val="ListParagraph"/>
              <w:widowControl w:val="0"/>
              <w:numPr>
                <w:ilvl w:val="0"/>
                <w:numId w:val="11"/>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these assessments address generally regarded areas that should be screened to detect students with risk factors; our current K-3 assessment system is sufficient for screening purposes of identifying students with risk indicators of dyslexia.  </w:t>
            </w:r>
          </w:p>
          <w:p w14:paraId="7D5C47F1" w14:textId="050C6145" w:rsidR="00F74B60" w:rsidRPr="00E7199B" w:rsidRDefault="52FF1D7E" w:rsidP="52FF1D7E">
            <w:pPr>
              <w:pStyle w:val="ListParagraph"/>
              <w:widowControl w:val="0"/>
              <w:numPr>
                <w:ilvl w:val="0"/>
                <w:numId w:val="8"/>
              </w:numPr>
              <w:autoSpaceDE w:val="0"/>
              <w:autoSpaceDN w:val="0"/>
              <w:adjustRightInd w:val="0"/>
              <w:spacing w:line="276" w:lineRule="auto"/>
              <w:rPr>
                <w:rFonts w:cs="Calibri"/>
                <w:color w:val="000000" w:themeColor="text1"/>
                <w:sz w:val="22"/>
                <w:szCs w:val="22"/>
              </w:rPr>
            </w:pPr>
            <w:r w:rsidRPr="52FF1D7E">
              <w:rPr>
                <w:rFonts w:cs="Calibri"/>
                <w:color w:val="000000" w:themeColor="text1"/>
                <w:sz w:val="22"/>
                <w:szCs w:val="22"/>
              </w:rPr>
              <w:t>the NC Early Numeracy Skills Indicator offered by the NC Department of Public Instruction (NCENSI) is a free optional tool offered to districts for students in Grades K-3 that can provide indicators of risk for math difficulty, including dyscalculia.</w:t>
            </w:r>
          </w:p>
          <w:p w14:paraId="31F4F9A3" w14:textId="77777777" w:rsidR="00CF67D3" w:rsidRPr="00666947" w:rsidRDefault="00CF67D3" w:rsidP="00EF4205">
            <w:pPr>
              <w:spacing w:line="276" w:lineRule="auto"/>
              <w:rPr>
                <w:sz w:val="22"/>
                <w:szCs w:val="22"/>
              </w:rPr>
            </w:pPr>
          </w:p>
        </w:tc>
      </w:tr>
      <w:tr w:rsidR="004643F4" w14:paraId="756159E5" w14:textId="77777777" w:rsidTr="4AC017B6">
        <w:tc>
          <w:tcPr>
            <w:tcW w:w="1070" w:type="dxa"/>
          </w:tcPr>
          <w:p w14:paraId="589E814E" w14:textId="73D4F440" w:rsidR="00CF67D3" w:rsidRPr="008C70AE" w:rsidRDefault="52FF1D7E">
            <w:r>
              <w:lastRenderedPageBreak/>
              <w:t>Slide 16</w:t>
            </w:r>
          </w:p>
        </w:tc>
        <w:tc>
          <w:tcPr>
            <w:tcW w:w="3456" w:type="dxa"/>
          </w:tcPr>
          <w:p w14:paraId="53D373D6" w14:textId="77777777" w:rsidR="00CF67D3" w:rsidRDefault="00CF67D3">
            <w:r w:rsidRPr="008C70AE">
              <w:rPr>
                <w:noProof/>
              </w:rPr>
              <w:drawing>
                <wp:inline distT="0" distB="0" distL="0" distR="0" wp14:anchorId="061F3AB9" wp14:editId="1444F09E">
                  <wp:extent cx="1828800" cy="1028700"/>
                  <wp:effectExtent l="0" t="0" r="0" b="12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28800" cy="1028700"/>
                          </a:xfrm>
                          <a:prstGeom prst="rect">
                            <a:avLst/>
                          </a:prstGeom>
                        </pic:spPr>
                      </pic:pic>
                    </a:graphicData>
                  </a:graphic>
                </wp:inline>
              </w:drawing>
            </w:r>
          </w:p>
          <w:p w14:paraId="720FC529" w14:textId="77777777" w:rsidR="00CF67D3" w:rsidRDefault="00CF67D3"/>
        </w:tc>
        <w:tc>
          <w:tcPr>
            <w:tcW w:w="8352" w:type="dxa"/>
          </w:tcPr>
          <w:p w14:paraId="35A2326A" w14:textId="77777777" w:rsidR="006312E0" w:rsidRPr="006312E0" w:rsidRDefault="52FF1D7E" w:rsidP="52FF1D7E">
            <w:pPr>
              <w:pStyle w:val="ListParagraph"/>
              <w:widowControl w:val="0"/>
              <w:numPr>
                <w:ilvl w:val="0"/>
                <w:numId w:val="9"/>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IEP team determines assessments needed as part of a comprehensive evaluation.  </w:t>
            </w:r>
          </w:p>
          <w:p w14:paraId="674C30D7" w14:textId="77777777" w:rsidR="006312E0" w:rsidRPr="006312E0" w:rsidRDefault="52FF1D7E" w:rsidP="52FF1D7E">
            <w:pPr>
              <w:pStyle w:val="ListParagraph"/>
              <w:widowControl w:val="0"/>
              <w:numPr>
                <w:ilvl w:val="0"/>
                <w:numId w:val="9"/>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an important function of a comprehensive assessment is to provide diagnostic information that supports the design and delivery of specially designed instruction</w:t>
            </w:r>
          </w:p>
          <w:p w14:paraId="6592002B" w14:textId="77777777" w:rsidR="006312E0" w:rsidRPr="006312E0" w:rsidRDefault="52FF1D7E" w:rsidP="52FF1D7E">
            <w:pPr>
              <w:pStyle w:val="ListParagraph"/>
              <w:widowControl w:val="0"/>
              <w:numPr>
                <w:ilvl w:val="0"/>
                <w:numId w:val="9"/>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diagnostic information allows instruction to be focused on the sets of skills that will increase overall academic or behavioral competency, so the student can realize the greatest gains in achievement</w:t>
            </w:r>
          </w:p>
          <w:p w14:paraId="46ACF18E" w14:textId="77777777" w:rsidR="006312E0" w:rsidRPr="006312E0" w:rsidRDefault="52FF1D7E" w:rsidP="52FF1D7E">
            <w:pPr>
              <w:pStyle w:val="ListParagraph"/>
              <w:widowControl w:val="0"/>
              <w:numPr>
                <w:ilvl w:val="0"/>
                <w:numId w:val="9"/>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when the SLD policy becomes effective in 2020, diagnostic assessments will be a required component of an evaluation. </w:t>
            </w:r>
          </w:p>
          <w:p w14:paraId="77417082" w14:textId="77777777" w:rsidR="006312E0" w:rsidRPr="006312E0" w:rsidRDefault="52FF1D7E" w:rsidP="52FF1D7E">
            <w:pPr>
              <w:pStyle w:val="ListParagraph"/>
              <w:widowControl w:val="0"/>
              <w:numPr>
                <w:ilvl w:val="0"/>
                <w:numId w:val="9"/>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diagnostic assessments for identification of dyslexia would include tests of phonological awareness, including advanced phonemic awareness tasks such as segmenting, blending and manipulation of phonemes, decoding assessments for word identification, spelling inventories, and fluency assessments. </w:t>
            </w:r>
          </w:p>
          <w:p w14:paraId="78364820" w14:textId="66B73386" w:rsidR="006027EA" w:rsidRPr="006312E0" w:rsidRDefault="52FF1D7E" w:rsidP="52FF1D7E">
            <w:pPr>
              <w:pStyle w:val="ListParagraph"/>
              <w:widowControl w:val="0"/>
              <w:numPr>
                <w:ilvl w:val="0"/>
                <w:numId w:val="9"/>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data obtained from diagnostic assessments can help determine underlying causes, determine the instructional focus and, inform decisions about how to adapt and individualize interventions </w:t>
            </w:r>
          </w:p>
          <w:p w14:paraId="620BAFBA" w14:textId="77777777" w:rsidR="00CF67D3" w:rsidRPr="00666947" w:rsidRDefault="00CF67D3" w:rsidP="00EF4205">
            <w:pPr>
              <w:widowControl w:val="0"/>
              <w:autoSpaceDE w:val="0"/>
              <w:autoSpaceDN w:val="0"/>
              <w:adjustRightInd w:val="0"/>
              <w:spacing w:line="276" w:lineRule="auto"/>
              <w:rPr>
                <w:sz w:val="22"/>
                <w:szCs w:val="22"/>
              </w:rPr>
            </w:pPr>
          </w:p>
        </w:tc>
      </w:tr>
      <w:tr w:rsidR="004643F4" w14:paraId="03703986" w14:textId="77777777" w:rsidTr="4AC017B6">
        <w:tc>
          <w:tcPr>
            <w:tcW w:w="1070" w:type="dxa"/>
          </w:tcPr>
          <w:p w14:paraId="32C2928A" w14:textId="24861181" w:rsidR="00CF67D3" w:rsidRPr="008C70AE" w:rsidRDefault="52FF1D7E">
            <w:r>
              <w:t>Slide 17</w:t>
            </w:r>
          </w:p>
        </w:tc>
        <w:tc>
          <w:tcPr>
            <w:tcW w:w="3456" w:type="dxa"/>
          </w:tcPr>
          <w:p w14:paraId="6D7C84C8" w14:textId="77777777" w:rsidR="00CF67D3" w:rsidRDefault="00CF67D3">
            <w:r w:rsidRPr="008C70AE">
              <w:rPr>
                <w:noProof/>
              </w:rPr>
              <w:drawing>
                <wp:inline distT="0" distB="0" distL="0" distR="0" wp14:anchorId="1C544451" wp14:editId="0212356F">
                  <wp:extent cx="1828800" cy="1028700"/>
                  <wp:effectExtent l="0" t="0" r="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28800" cy="1028700"/>
                          </a:xfrm>
                          <a:prstGeom prst="rect">
                            <a:avLst/>
                          </a:prstGeom>
                        </pic:spPr>
                      </pic:pic>
                    </a:graphicData>
                  </a:graphic>
                </wp:inline>
              </w:drawing>
            </w:r>
          </w:p>
          <w:p w14:paraId="5CFEE5E4" w14:textId="77777777" w:rsidR="00CF67D3" w:rsidRDefault="00CF67D3"/>
        </w:tc>
        <w:tc>
          <w:tcPr>
            <w:tcW w:w="8352" w:type="dxa"/>
          </w:tcPr>
          <w:p w14:paraId="582B34C9" w14:textId="6A7CE5D3" w:rsidR="006312E0" w:rsidRPr="006312E0" w:rsidRDefault="52FF1D7E" w:rsidP="52FF1D7E">
            <w:pPr>
              <w:pStyle w:val="ListParagraph"/>
              <w:widowControl w:val="0"/>
              <w:numPr>
                <w:ilvl w:val="0"/>
                <w:numId w:val="10"/>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screening and diagnostic assessments should be utilized within a system that supports their use and interpretation.</w:t>
            </w:r>
          </w:p>
          <w:p w14:paraId="4548BCD6" w14:textId="77777777" w:rsidR="006312E0" w:rsidRPr="006312E0" w:rsidRDefault="52FF1D7E" w:rsidP="52FF1D7E">
            <w:pPr>
              <w:pStyle w:val="ListParagraph"/>
              <w:widowControl w:val="0"/>
              <w:numPr>
                <w:ilvl w:val="0"/>
                <w:numId w:val="10"/>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NC Department of Public Instruction Multi-Tiered System of Support (MTSS) model includes a comprehensive and efficient assessment system that is balanced, uses multiple sources of data and is culturally appropriate.  </w:t>
            </w:r>
          </w:p>
          <w:p w14:paraId="010A05A6" w14:textId="22A2B3A6" w:rsidR="006312E0" w:rsidRPr="006312E0" w:rsidRDefault="52FF1D7E" w:rsidP="52FF1D7E">
            <w:pPr>
              <w:pStyle w:val="ListParagraph"/>
              <w:widowControl w:val="0"/>
              <w:numPr>
                <w:ilvl w:val="0"/>
                <w:numId w:val="10"/>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a comprehensive assessment system is integral to data-based problem solving to ensure students identified as having indicators of risk receive appropriate instruction and intervention quickly and efficiently.  </w:t>
            </w:r>
          </w:p>
          <w:p w14:paraId="395ECF0B" w14:textId="5489B4E1" w:rsidR="003D113F" w:rsidRPr="003D113F" w:rsidRDefault="52FF1D7E" w:rsidP="52FF1D7E">
            <w:pPr>
              <w:pStyle w:val="ListParagraph"/>
              <w:widowControl w:val="0"/>
              <w:numPr>
                <w:ilvl w:val="0"/>
                <w:numId w:val="10"/>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recommended that all staff and local boards of education carefully read the </w:t>
            </w:r>
            <w:r w:rsidRPr="52FF1D7E">
              <w:rPr>
                <w:rFonts w:cs="Calibri"/>
                <w:i/>
                <w:iCs/>
                <w:color w:val="000000" w:themeColor="text1"/>
                <w:sz w:val="22"/>
                <w:szCs w:val="22"/>
              </w:rPr>
              <w:t>NCDPI MTSS Comprehensive Assessment Guidelines</w:t>
            </w:r>
            <w:r w:rsidRPr="52FF1D7E">
              <w:rPr>
                <w:rFonts w:cs="Calibri"/>
                <w:color w:val="000000" w:themeColor="text1"/>
                <w:sz w:val="22"/>
                <w:szCs w:val="22"/>
              </w:rPr>
              <w:t xml:space="preserve"> as the basis of their review of locally used diagnostic and screening instruments for dyslexia, dyscalculia, or other specific learning disabilities.  </w:t>
            </w:r>
          </w:p>
          <w:p w14:paraId="39C631C6" w14:textId="77777777" w:rsidR="00CF67D3" w:rsidRPr="00666947" w:rsidRDefault="00CF67D3" w:rsidP="00EF4205">
            <w:pPr>
              <w:widowControl w:val="0"/>
              <w:autoSpaceDE w:val="0"/>
              <w:autoSpaceDN w:val="0"/>
              <w:adjustRightInd w:val="0"/>
              <w:spacing w:line="276" w:lineRule="auto"/>
              <w:rPr>
                <w:sz w:val="22"/>
                <w:szCs w:val="22"/>
              </w:rPr>
            </w:pPr>
          </w:p>
        </w:tc>
      </w:tr>
      <w:tr w:rsidR="004643F4" w14:paraId="01692DEB" w14:textId="77777777" w:rsidTr="4AC017B6">
        <w:tc>
          <w:tcPr>
            <w:tcW w:w="1070" w:type="dxa"/>
          </w:tcPr>
          <w:p w14:paraId="035B6CD3" w14:textId="54499D6C" w:rsidR="00CF67D3" w:rsidRPr="008C70AE" w:rsidRDefault="52FF1D7E">
            <w:r>
              <w:lastRenderedPageBreak/>
              <w:t>Slide 18</w:t>
            </w:r>
          </w:p>
        </w:tc>
        <w:tc>
          <w:tcPr>
            <w:tcW w:w="3456" w:type="dxa"/>
          </w:tcPr>
          <w:p w14:paraId="656A9565" w14:textId="77777777" w:rsidR="00CF67D3" w:rsidRDefault="00CF67D3">
            <w:r w:rsidRPr="008C70AE">
              <w:rPr>
                <w:noProof/>
              </w:rPr>
              <w:drawing>
                <wp:inline distT="0" distB="0" distL="0" distR="0" wp14:anchorId="54C68109" wp14:editId="76F842EF">
                  <wp:extent cx="1828800" cy="1028700"/>
                  <wp:effectExtent l="0" t="0" r="0" b="1270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28800" cy="1028700"/>
                          </a:xfrm>
                          <a:prstGeom prst="rect">
                            <a:avLst/>
                          </a:prstGeom>
                        </pic:spPr>
                      </pic:pic>
                    </a:graphicData>
                  </a:graphic>
                </wp:inline>
              </w:drawing>
            </w:r>
          </w:p>
          <w:p w14:paraId="44F22D1E" w14:textId="77777777" w:rsidR="00CF67D3" w:rsidRDefault="00CF67D3"/>
        </w:tc>
        <w:tc>
          <w:tcPr>
            <w:tcW w:w="8352" w:type="dxa"/>
          </w:tcPr>
          <w:p w14:paraId="2A382905" w14:textId="77777777" w:rsidR="003D113F" w:rsidRDefault="52FF1D7E" w:rsidP="52FF1D7E">
            <w:pPr>
              <w:pStyle w:val="ListParagraph"/>
              <w:widowControl w:val="0"/>
              <w:numPr>
                <w:ilvl w:val="0"/>
                <w:numId w:val="12"/>
              </w:numPr>
              <w:autoSpaceDE w:val="0"/>
              <w:autoSpaceDN w:val="0"/>
              <w:adjustRightInd w:val="0"/>
              <w:spacing w:line="276" w:lineRule="auto"/>
              <w:rPr>
                <w:rFonts w:cs="Calibri"/>
                <w:color w:val="000000" w:themeColor="text1"/>
                <w:sz w:val="22"/>
                <w:szCs w:val="22"/>
              </w:rPr>
            </w:pPr>
            <w:r w:rsidRPr="52FF1D7E">
              <w:rPr>
                <w:rFonts w:cs="Calibri"/>
                <w:color w:val="000000" w:themeColor="text1"/>
                <w:sz w:val="22"/>
                <w:szCs w:val="22"/>
              </w:rPr>
              <w:t xml:space="preserve">screening assessments are limited to identifying students with </w:t>
            </w:r>
            <w:r w:rsidRPr="52FF1D7E">
              <w:rPr>
                <w:rFonts w:cs="Calibri"/>
                <w:b/>
                <w:bCs/>
                <w:color w:val="000000" w:themeColor="text1"/>
                <w:sz w:val="22"/>
                <w:szCs w:val="22"/>
              </w:rPr>
              <w:t>indicators of risk</w:t>
            </w:r>
            <w:r w:rsidRPr="52FF1D7E">
              <w:rPr>
                <w:rFonts w:cs="Calibri"/>
                <w:color w:val="000000" w:themeColor="text1"/>
                <w:sz w:val="22"/>
                <w:szCs w:val="22"/>
              </w:rPr>
              <w:t>; they may or may not indicate dyslexia, dyscalculia or other specific learning disabilities.</w:t>
            </w:r>
          </w:p>
          <w:p w14:paraId="1320ABB4" w14:textId="64D54E97" w:rsidR="003D113F" w:rsidRPr="003D113F" w:rsidRDefault="52FF1D7E" w:rsidP="52FF1D7E">
            <w:pPr>
              <w:pStyle w:val="ListParagraph"/>
              <w:widowControl w:val="0"/>
              <w:numPr>
                <w:ilvl w:val="0"/>
                <w:numId w:val="12"/>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screeners do not diagnose or identify.</w:t>
            </w:r>
          </w:p>
          <w:p w14:paraId="117037AF" w14:textId="77777777" w:rsidR="003D113F" w:rsidRPr="003D113F" w:rsidRDefault="52FF1D7E" w:rsidP="52FF1D7E">
            <w:pPr>
              <w:pStyle w:val="ListParagraph"/>
              <w:widowControl w:val="0"/>
              <w:numPr>
                <w:ilvl w:val="0"/>
                <w:numId w:val="12"/>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screening assessment alone does not improve reading performance- the data must be used to drive instruction</w:t>
            </w:r>
          </w:p>
          <w:p w14:paraId="19B9A12E" w14:textId="49B3492D" w:rsidR="00CF67D3" w:rsidRPr="003D113F" w:rsidRDefault="52FF1D7E" w:rsidP="52FF1D7E">
            <w:pPr>
              <w:pStyle w:val="ListParagraph"/>
              <w:widowControl w:val="0"/>
              <w:numPr>
                <w:ilvl w:val="0"/>
                <w:numId w:val="12"/>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once students are identified as having indicators of risk, effective core instruction and appropriate research-based intervention should begin; it is only when difficulties persist after effective instruction and intervention has been provided that we may begin to suspect dyslexia, dyscalculia or other specific learning disabilities</w:t>
            </w:r>
          </w:p>
        </w:tc>
      </w:tr>
      <w:tr w:rsidR="004643F4" w14:paraId="29BE3AC9" w14:textId="77777777" w:rsidTr="4AC017B6">
        <w:tc>
          <w:tcPr>
            <w:tcW w:w="1070" w:type="dxa"/>
          </w:tcPr>
          <w:p w14:paraId="3B13396F" w14:textId="1914E129" w:rsidR="00CF67D3" w:rsidRPr="008C70AE" w:rsidRDefault="52FF1D7E">
            <w:r>
              <w:t>Slide 19</w:t>
            </w:r>
          </w:p>
        </w:tc>
        <w:tc>
          <w:tcPr>
            <w:tcW w:w="3456" w:type="dxa"/>
          </w:tcPr>
          <w:p w14:paraId="6B8F1F7B" w14:textId="77777777" w:rsidR="00CF67D3" w:rsidRDefault="00CF67D3">
            <w:r w:rsidRPr="008C70AE">
              <w:rPr>
                <w:noProof/>
              </w:rPr>
              <w:drawing>
                <wp:inline distT="0" distB="0" distL="0" distR="0" wp14:anchorId="68428410" wp14:editId="2EC6B251">
                  <wp:extent cx="1828800" cy="1028700"/>
                  <wp:effectExtent l="0" t="0" r="0" b="127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28800" cy="1028700"/>
                          </a:xfrm>
                          <a:prstGeom prst="rect">
                            <a:avLst/>
                          </a:prstGeom>
                        </pic:spPr>
                      </pic:pic>
                    </a:graphicData>
                  </a:graphic>
                </wp:inline>
              </w:drawing>
            </w:r>
          </w:p>
          <w:p w14:paraId="6CB793EA" w14:textId="77777777" w:rsidR="00CF67D3" w:rsidRPr="008C70AE" w:rsidRDefault="00CF67D3"/>
        </w:tc>
        <w:tc>
          <w:tcPr>
            <w:tcW w:w="8352" w:type="dxa"/>
          </w:tcPr>
          <w:p w14:paraId="59B256F1" w14:textId="77777777" w:rsidR="00CF67D3" w:rsidRPr="00666947" w:rsidRDefault="00CF67D3" w:rsidP="00EF4205">
            <w:pPr>
              <w:spacing w:line="276" w:lineRule="auto"/>
              <w:rPr>
                <w:sz w:val="22"/>
                <w:szCs w:val="22"/>
              </w:rPr>
            </w:pPr>
          </w:p>
        </w:tc>
      </w:tr>
      <w:tr w:rsidR="004643F4" w14:paraId="3FD61C25" w14:textId="77777777" w:rsidTr="4AC017B6">
        <w:tc>
          <w:tcPr>
            <w:tcW w:w="1070" w:type="dxa"/>
          </w:tcPr>
          <w:p w14:paraId="01E205B1" w14:textId="77777777" w:rsidR="00CF67D3" w:rsidRPr="008C70AE" w:rsidRDefault="52FF1D7E">
            <w:r>
              <w:t>Slide 20</w:t>
            </w:r>
          </w:p>
        </w:tc>
        <w:tc>
          <w:tcPr>
            <w:tcW w:w="3456" w:type="dxa"/>
          </w:tcPr>
          <w:p w14:paraId="57011484" w14:textId="77777777" w:rsidR="00CF67D3" w:rsidRDefault="00CF67D3">
            <w:r w:rsidRPr="008C70AE">
              <w:rPr>
                <w:noProof/>
              </w:rPr>
              <w:drawing>
                <wp:inline distT="0" distB="0" distL="0" distR="0" wp14:anchorId="2BCAA4E3" wp14:editId="7D0A68E0">
                  <wp:extent cx="1828800" cy="1028700"/>
                  <wp:effectExtent l="0" t="0" r="0"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28800" cy="1028700"/>
                          </a:xfrm>
                          <a:prstGeom prst="rect">
                            <a:avLst/>
                          </a:prstGeom>
                        </pic:spPr>
                      </pic:pic>
                    </a:graphicData>
                  </a:graphic>
                </wp:inline>
              </w:drawing>
            </w:r>
          </w:p>
          <w:p w14:paraId="5F7CF527" w14:textId="77777777" w:rsidR="00CF67D3" w:rsidRPr="008C70AE" w:rsidRDefault="00CF67D3"/>
        </w:tc>
        <w:tc>
          <w:tcPr>
            <w:tcW w:w="8352" w:type="dxa"/>
          </w:tcPr>
          <w:p w14:paraId="57D5CAE8" w14:textId="77777777" w:rsidR="00CF67D3" w:rsidRPr="00666947" w:rsidRDefault="00CF67D3" w:rsidP="00EF4205">
            <w:pPr>
              <w:spacing w:line="276" w:lineRule="auto"/>
              <w:rPr>
                <w:sz w:val="22"/>
                <w:szCs w:val="22"/>
              </w:rPr>
            </w:pPr>
          </w:p>
        </w:tc>
      </w:tr>
      <w:tr w:rsidR="004643F4" w14:paraId="580894B6" w14:textId="77777777" w:rsidTr="4AC017B6">
        <w:tc>
          <w:tcPr>
            <w:tcW w:w="1070" w:type="dxa"/>
          </w:tcPr>
          <w:p w14:paraId="14028692" w14:textId="77777777" w:rsidR="00CF67D3" w:rsidRPr="008C70AE" w:rsidRDefault="52FF1D7E">
            <w:r>
              <w:t>Slide 21</w:t>
            </w:r>
          </w:p>
        </w:tc>
        <w:tc>
          <w:tcPr>
            <w:tcW w:w="3456" w:type="dxa"/>
          </w:tcPr>
          <w:p w14:paraId="3FF13B52" w14:textId="77777777" w:rsidR="00CF67D3" w:rsidRDefault="00CF67D3">
            <w:r w:rsidRPr="008C70AE">
              <w:rPr>
                <w:noProof/>
              </w:rPr>
              <w:drawing>
                <wp:inline distT="0" distB="0" distL="0" distR="0" wp14:anchorId="46005183" wp14:editId="6E9A556F">
                  <wp:extent cx="1828800" cy="989192"/>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28800" cy="989192"/>
                          </a:xfrm>
                          <a:prstGeom prst="rect">
                            <a:avLst/>
                          </a:prstGeom>
                        </pic:spPr>
                      </pic:pic>
                    </a:graphicData>
                  </a:graphic>
                </wp:inline>
              </w:drawing>
            </w:r>
          </w:p>
          <w:p w14:paraId="247DA00B" w14:textId="77777777" w:rsidR="00CF67D3" w:rsidRPr="008C70AE" w:rsidRDefault="00CF67D3"/>
        </w:tc>
        <w:tc>
          <w:tcPr>
            <w:tcW w:w="8352" w:type="dxa"/>
          </w:tcPr>
          <w:p w14:paraId="0A8D8C25" w14:textId="768C3581" w:rsidR="00147135" w:rsidRPr="00147135" w:rsidRDefault="52FF1D7E" w:rsidP="52FF1D7E">
            <w:pPr>
              <w:pStyle w:val="ListParagraph"/>
              <w:widowControl w:val="0"/>
              <w:numPr>
                <w:ilvl w:val="0"/>
                <w:numId w:val="14"/>
              </w:numPr>
              <w:autoSpaceDE w:val="0"/>
              <w:autoSpaceDN w:val="0"/>
              <w:adjustRightInd w:val="0"/>
              <w:spacing w:line="276" w:lineRule="auto"/>
              <w:rPr>
                <w:rFonts w:ascii="Times" w:hAnsi="Times" w:cs="Times"/>
                <w:color w:val="000000" w:themeColor="text1"/>
              </w:rPr>
            </w:pPr>
            <w:r w:rsidRPr="52FF1D7E">
              <w:rPr>
                <w:rFonts w:cs="Calibri"/>
                <w:color w:val="000000" w:themeColor="text1"/>
                <w:sz w:val="22"/>
                <w:szCs w:val="22"/>
              </w:rPr>
              <w:t xml:space="preserve">legislation proposed by parent to Representative Conrad was modeled after West Virginia; </w:t>
            </w:r>
            <w:r w:rsidRPr="52FF1D7E">
              <w:rPr>
                <w:rFonts w:eastAsiaTheme="minorEastAsia"/>
                <w:color w:val="000000" w:themeColor="text1"/>
                <w:sz w:val="22"/>
                <w:szCs w:val="22"/>
              </w:rPr>
              <w:t>WV's legislation includes dyscalculia as well as dyslexia.</w:t>
            </w:r>
            <w:r w:rsidRPr="52FF1D7E">
              <w:rPr>
                <w:rFonts w:cs="Helvetica"/>
                <w:color w:val="000000" w:themeColor="text1"/>
                <w:sz w:val="22"/>
                <w:szCs w:val="22"/>
              </w:rPr>
              <w:t> </w:t>
            </w:r>
            <w:r w:rsidRPr="52FF1D7E">
              <w:rPr>
                <w:rFonts w:eastAsiaTheme="minorEastAsia"/>
                <w:color w:val="000000" w:themeColor="text1"/>
                <w:sz w:val="22"/>
                <w:szCs w:val="22"/>
              </w:rPr>
              <w:t xml:space="preserve"> (West Virginia H. B. 4608) </w:t>
            </w:r>
          </w:p>
          <w:p w14:paraId="4B42E106" w14:textId="64DF3921" w:rsidR="00666947" w:rsidRPr="00147135" w:rsidRDefault="52FF1D7E" w:rsidP="52FF1D7E">
            <w:pPr>
              <w:pStyle w:val="ListParagraph"/>
              <w:widowControl w:val="0"/>
              <w:numPr>
                <w:ilvl w:val="0"/>
                <w:numId w:val="13"/>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while students with dyslexia/dyscalculia may have additional challenges with comprehension/math problem-solving, these are usually the direct result of the underlying difficulties with the foundational skills. </w:t>
            </w:r>
          </w:p>
          <w:p w14:paraId="3F65AF59" w14:textId="2056E610" w:rsidR="00147135" w:rsidRPr="00147135" w:rsidRDefault="52FF1D7E" w:rsidP="52FF1D7E">
            <w:pPr>
              <w:pStyle w:val="ListParagraph"/>
              <w:widowControl w:val="0"/>
              <w:numPr>
                <w:ilvl w:val="0"/>
                <w:numId w:val="13"/>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lastRenderedPageBreak/>
              <w:t>both are alternative terms for LD</w:t>
            </w:r>
          </w:p>
          <w:p w14:paraId="45B563E0" w14:textId="56C22BFB" w:rsidR="00147135" w:rsidRPr="00147135" w:rsidRDefault="52FF1D7E" w:rsidP="52FF1D7E">
            <w:pPr>
              <w:pStyle w:val="ListParagraph"/>
              <w:widowControl w:val="0"/>
              <w:numPr>
                <w:ilvl w:val="0"/>
                <w:numId w:val="13"/>
              </w:numPr>
              <w:autoSpaceDE w:val="0"/>
              <w:autoSpaceDN w:val="0"/>
              <w:adjustRightInd w:val="0"/>
              <w:spacing w:line="276" w:lineRule="auto"/>
              <w:rPr>
                <w:rFonts w:cs="Times"/>
                <w:color w:val="000000" w:themeColor="text1"/>
                <w:sz w:val="22"/>
                <w:szCs w:val="22"/>
              </w:rPr>
            </w:pPr>
            <w:r w:rsidRPr="52FF1D7E">
              <w:rPr>
                <w:rFonts w:eastAsiaTheme="minorEastAsia"/>
                <w:color w:val="000000" w:themeColor="text1"/>
                <w:sz w:val="22"/>
                <w:szCs w:val="22"/>
              </w:rPr>
              <w:t>diagnostic assessments are used to allow instruction and interventions to be focused on the specific target skill and sets of skills that will increase overall academic or behavioral competency</w:t>
            </w:r>
          </w:p>
          <w:p w14:paraId="02718504" w14:textId="77777777" w:rsidR="00CF67D3" w:rsidRPr="00666947" w:rsidRDefault="00CF67D3" w:rsidP="00EF4205">
            <w:pPr>
              <w:spacing w:line="276" w:lineRule="auto"/>
              <w:rPr>
                <w:sz w:val="22"/>
                <w:szCs w:val="22"/>
              </w:rPr>
            </w:pPr>
          </w:p>
        </w:tc>
      </w:tr>
      <w:tr w:rsidR="004643F4" w14:paraId="498BC7C5" w14:textId="77777777" w:rsidTr="4AC017B6">
        <w:tc>
          <w:tcPr>
            <w:tcW w:w="1070" w:type="dxa"/>
          </w:tcPr>
          <w:p w14:paraId="5C3DF50A" w14:textId="5AC566EC" w:rsidR="00CF67D3" w:rsidRPr="008C70AE" w:rsidRDefault="52FF1D7E">
            <w:r>
              <w:lastRenderedPageBreak/>
              <w:t>Slide 22</w:t>
            </w:r>
          </w:p>
        </w:tc>
        <w:tc>
          <w:tcPr>
            <w:tcW w:w="3456" w:type="dxa"/>
          </w:tcPr>
          <w:p w14:paraId="4FEE7931" w14:textId="77777777" w:rsidR="00CF67D3" w:rsidRDefault="00CF67D3">
            <w:r w:rsidRPr="008C70AE">
              <w:rPr>
                <w:noProof/>
              </w:rPr>
              <w:drawing>
                <wp:inline distT="0" distB="0" distL="0" distR="0" wp14:anchorId="6A078C52" wp14:editId="12F15D56">
                  <wp:extent cx="1828800" cy="1028701"/>
                  <wp:effectExtent l="0" t="0" r="0" b="127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28800" cy="1028701"/>
                          </a:xfrm>
                          <a:prstGeom prst="rect">
                            <a:avLst/>
                          </a:prstGeom>
                        </pic:spPr>
                      </pic:pic>
                    </a:graphicData>
                  </a:graphic>
                </wp:inline>
              </w:drawing>
            </w:r>
          </w:p>
          <w:p w14:paraId="0AAC309C" w14:textId="77777777" w:rsidR="00CF67D3" w:rsidRDefault="00CF67D3"/>
          <w:p w14:paraId="0AD1820E" w14:textId="77777777" w:rsidR="00CF67D3" w:rsidRPr="008C70AE" w:rsidRDefault="00CF67D3"/>
        </w:tc>
        <w:tc>
          <w:tcPr>
            <w:tcW w:w="8352" w:type="dxa"/>
          </w:tcPr>
          <w:p w14:paraId="2276FB1A" w14:textId="77777777" w:rsidR="00CF67D3" w:rsidRPr="00666947" w:rsidRDefault="00CF67D3" w:rsidP="00EF4205">
            <w:pPr>
              <w:spacing w:line="276" w:lineRule="auto"/>
              <w:rPr>
                <w:sz w:val="22"/>
                <w:szCs w:val="22"/>
              </w:rPr>
            </w:pPr>
          </w:p>
        </w:tc>
      </w:tr>
      <w:tr w:rsidR="004643F4" w14:paraId="5830D4AD" w14:textId="77777777" w:rsidTr="4AC017B6">
        <w:tc>
          <w:tcPr>
            <w:tcW w:w="1070" w:type="dxa"/>
          </w:tcPr>
          <w:p w14:paraId="127BBAAB" w14:textId="77777777" w:rsidR="00CF67D3" w:rsidRDefault="52FF1D7E">
            <w:r>
              <w:t>Slide 23</w:t>
            </w:r>
          </w:p>
        </w:tc>
        <w:tc>
          <w:tcPr>
            <w:tcW w:w="3456" w:type="dxa"/>
          </w:tcPr>
          <w:p w14:paraId="2FB4ED64" w14:textId="77777777" w:rsidR="00CF67D3" w:rsidRDefault="00CF67D3">
            <w:r w:rsidRPr="008C70AE">
              <w:rPr>
                <w:noProof/>
              </w:rPr>
              <w:drawing>
                <wp:inline distT="0" distB="0" distL="0" distR="0" wp14:anchorId="76374458" wp14:editId="770CA365">
                  <wp:extent cx="1828800" cy="1028700"/>
                  <wp:effectExtent l="0" t="0" r="0" b="127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28800" cy="1028700"/>
                          </a:xfrm>
                          <a:prstGeom prst="rect">
                            <a:avLst/>
                          </a:prstGeom>
                        </pic:spPr>
                      </pic:pic>
                    </a:graphicData>
                  </a:graphic>
                </wp:inline>
              </w:drawing>
            </w:r>
          </w:p>
          <w:p w14:paraId="4B03E2CE" w14:textId="77777777" w:rsidR="00CF67D3" w:rsidRPr="008C70AE" w:rsidRDefault="00CF67D3"/>
        </w:tc>
        <w:tc>
          <w:tcPr>
            <w:tcW w:w="8352" w:type="dxa"/>
          </w:tcPr>
          <w:p w14:paraId="41ED2A2D" w14:textId="1B347F2B" w:rsidR="00147135" w:rsidRPr="00147135" w:rsidRDefault="52FF1D7E" w:rsidP="52FF1D7E">
            <w:pPr>
              <w:pStyle w:val="ListParagraph"/>
              <w:widowControl w:val="0"/>
              <w:numPr>
                <w:ilvl w:val="0"/>
                <w:numId w:val="15"/>
              </w:numPr>
              <w:autoSpaceDE w:val="0"/>
              <w:autoSpaceDN w:val="0"/>
              <w:adjustRightInd w:val="0"/>
              <w:spacing w:line="276" w:lineRule="auto"/>
              <w:rPr>
                <w:rFonts w:cs="Times"/>
                <w:color w:val="000000" w:themeColor="text1"/>
                <w:sz w:val="22"/>
                <w:szCs w:val="22"/>
              </w:rPr>
            </w:pPr>
            <w:r w:rsidRPr="52FF1D7E">
              <w:rPr>
                <w:rFonts w:cs="Helvetica"/>
                <w:color w:val="000000" w:themeColor="text1"/>
                <w:sz w:val="22"/>
                <w:szCs w:val="22"/>
              </w:rPr>
              <w:t>dyscalculia is not as well-researched, and a universal definition does not exist</w:t>
            </w:r>
          </w:p>
          <w:p w14:paraId="4277DC23" w14:textId="30675D21" w:rsidR="00147135" w:rsidRPr="00147135" w:rsidRDefault="52FF1D7E" w:rsidP="52FF1D7E">
            <w:pPr>
              <w:pStyle w:val="ListParagraph"/>
              <w:widowControl w:val="0"/>
              <w:numPr>
                <w:ilvl w:val="0"/>
                <w:numId w:val="15"/>
              </w:numPr>
              <w:autoSpaceDE w:val="0"/>
              <w:autoSpaceDN w:val="0"/>
              <w:adjustRightInd w:val="0"/>
              <w:spacing w:line="276" w:lineRule="auto"/>
              <w:rPr>
                <w:rFonts w:cs="Times"/>
                <w:color w:val="000000" w:themeColor="text1"/>
                <w:sz w:val="22"/>
                <w:szCs w:val="22"/>
              </w:rPr>
            </w:pPr>
            <w:r w:rsidRPr="52FF1D7E">
              <w:rPr>
                <w:rFonts w:cs="Helvetica"/>
                <w:color w:val="000000" w:themeColor="text1"/>
                <w:sz w:val="22"/>
                <w:szCs w:val="22"/>
              </w:rPr>
              <w:t>consider a student who may have dyscalculia to be a student who has not responded to empirically-validated core instruction in math</w:t>
            </w:r>
          </w:p>
          <w:p w14:paraId="0B44F1C0" w14:textId="086C7D3B" w:rsidR="00147135" w:rsidRPr="00147135" w:rsidRDefault="52FF1D7E" w:rsidP="52FF1D7E">
            <w:pPr>
              <w:pStyle w:val="ListParagraph"/>
              <w:widowControl w:val="0"/>
              <w:numPr>
                <w:ilvl w:val="0"/>
                <w:numId w:val="15"/>
              </w:numPr>
              <w:autoSpaceDE w:val="0"/>
              <w:autoSpaceDN w:val="0"/>
              <w:adjustRightInd w:val="0"/>
              <w:spacing w:line="276" w:lineRule="auto"/>
              <w:rPr>
                <w:rFonts w:cs="Times"/>
                <w:color w:val="000000" w:themeColor="text1"/>
                <w:sz w:val="22"/>
                <w:szCs w:val="22"/>
              </w:rPr>
            </w:pPr>
            <w:r w:rsidRPr="52FF1D7E">
              <w:rPr>
                <w:rFonts w:cs="Helvetica"/>
                <w:color w:val="000000" w:themeColor="text1"/>
                <w:sz w:val="22"/>
                <w:szCs w:val="22"/>
              </w:rPr>
              <w:t>student with dyscalculia characteristics may qualify as a student with a learning disability under the area of math calculation and/or mathematics problem-solving</w:t>
            </w:r>
          </w:p>
          <w:p w14:paraId="6F20CBA1" w14:textId="77777777" w:rsidR="00CF67D3" w:rsidRPr="00666947" w:rsidRDefault="00CF67D3" w:rsidP="00EF4205">
            <w:pPr>
              <w:spacing w:line="276" w:lineRule="auto"/>
              <w:rPr>
                <w:sz w:val="22"/>
                <w:szCs w:val="22"/>
              </w:rPr>
            </w:pPr>
          </w:p>
        </w:tc>
      </w:tr>
      <w:tr w:rsidR="004643F4" w14:paraId="4F769C9F" w14:textId="77777777" w:rsidTr="4AC017B6">
        <w:tc>
          <w:tcPr>
            <w:tcW w:w="1070" w:type="dxa"/>
          </w:tcPr>
          <w:p w14:paraId="645BCDFB" w14:textId="77777777" w:rsidR="00CF67D3" w:rsidRPr="001A74A3" w:rsidRDefault="52FF1D7E" w:rsidP="52FF1D7E">
            <w:pPr>
              <w:rPr>
                <w:noProof/>
              </w:rPr>
            </w:pPr>
            <w:r>
              <w:t>Slide 24</w:t>
            </w:r>
          </w:p>
        </w:tc>
        <w:tc>
          <w:tcPr>
            <w:tcW w:w="3456" w:type="dxa"/>
          </w:tcPr>
          <w:p w14:paraId="30FA0DEC" w14:textId="77777777" w:rsidR="00CF67D3" w:rsidRDefault="00CF67D3">
            <w:r w:rsidRPr="001A74A3">
              <w:rPr>
                <w:noProof/>
              </w:rPr>
              <w:drawing>
                <wp:inline distT="0" distB="0" distL="0" distR="0" wp14:anchorId="3171BC2E" wp14:editId="724F1D76">
                  <wp:extent cx="1828800" cy="102869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28800" cy="1028699"/>
                          </a:xfrm>
                          <a:prstGeom prst="rect">
                            <a:avLst/>
                          </a:prstGeom>
                        </pic:spPr>
                      </pic:pic>
                    </a:graphicData>
                  </a:graphic>
                </wp:inline>
              </w:drawing>
            </w:r>
          </w:p>
          <w:p w14:paraId="03F4D441" w14:textId="77777777" w:rsidR="00CF67D3" w:rsidRDefault="00CF67D3"/>
        </w:tc>
        <w:tc>
          <w:tcPr>
            <w:tcW w:w="8352" w:type="dxa"/>
          </w:tcPr>
          <w:p w14:paraId="627F79F5" w14:textId="77777777" w:rsidR="00CF67D3" w:rsidRPr="00666947" w:rsidRDefault="00CF67D3" w:rsidP="00EF4205">
            <w:pPr>
              <w:spacing w:line="276" w:lineRule="auto"/>
              <w:rPr>
                <w:sz w:val="22"/>
                <w:szCs w:val="22"/>
              </w:rPr>
            </w:pPr>
          </w:p>
        </w:tc>
      </w:tr>
      <w:tr w:rsidR="004643F4" w14:paraId="429FF188" w14:textId="77777777" w:rsidTr="4AC017B6">
        <w:tc>
          <w:tcPr>
            <w:tcW w:w="1070" w:type="dxa"/>
          </w:tcPr>
          <w:p w14:paraId="146359D4" w14:textId="77777777" w:rsidR="00CF67D3" w:rsidRPr="008C70AE" w:rsidRDefault="52FF1D7E">
            <w:r>
              <w:t>Slide 25</w:t>
            </w:r>
          </w:p>
        </w:tc>
        <w:tc>
          <w:tcPr>
            <w:tcW w:w="3456" w:type="dxa"/>
          </w:tcPr>
          <w:p w14:paraId="4279DA3B" w14:textId="77777777" w:rsidR="00CF67D3" w:rsidRDefault="00CF67D3">
            <w:r w:rsidRPr="008C70AE">
              <w:rPr>
                <w:noProof/>
              </w:rPr>
              <w:drawing>
                <wp:inline distT="0" distB="0" distL="0" distR="0" wp14:anchorId="6CEB3CC8" wp14:editId="524BADA7">
                  <wp:extent cx="1828800" cy="102869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28800" cy="1028699"/>
                          </a:xfrm>
                          <a:prstGeom prst="rect">
                            <a:avLst/>
                          </a:prstGeom>
                        </pic:spPr>
                      </pic:pic>
                    </a:graphicData>
                  </a:graphic>
                </wp:inline>
              </w:drawing>
            </w:r>
          </w:p>
          <w:p w14:paraId="57B5D675" w14:textId="77777777" w:rsidR="00CF67D3" w:rsidRDefault="00CF67D3"/>
        </w:tc>
        <w:tc>
          <w:tcPr>
            <w:tcW w:w="8352" w:type="dxa"/>
          </w:tcPr>
          <w:p w14:paraId="3BE3AD62" w14:textId="77777777" w:rsidR="00147135" w:rsidRPr="00147135" w:rsidRDefault="52FF1D7E" w:rsidP="52FF1D7E">
            <w:pPr>
              <w:pStyle w:val="ListParagraph"/>
              <w:widowControl w:val="0"/>
              <w:numPr>
                <w:ilvl w:val="0"/>
                <w:numId w:val="16"/>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lastRenderedPageBreak/>
              <w:t>primary issue for dyslexia resides in phonological processing</w:t>
            </w:r>
          </w:p>
          <w:p w14:paraId="7EB2F7DF" w14:textId="75AB4484" w:rsidR="00147135" w:rsidRPr="00551B48" w:rsidRDefault="52FF1D7E" w:rsidP="52FF1D7E">
            <w:pPr>
              <w:pStyle w:val="ListParagraph"/>
              <w:widowControl w:val="0"/>
              <w:numPr>
                <w:ilvl w:val="0"/>
                <w:numId w:val="16"/>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dyslexia </w:t>
            </w:r>
            <w:proofErr w:type="gramStart"/>
            <w:r w:rsidRPr="52FF1D7E">
              <w:rPr>
                <w:rFonts w:cs="Calibri"/>
                <w:color w:val="000000" w:themeColor="text1"/>
                <w:sz w:val="22"/>
                <w:szCs w:val="22"/>
              </w:rPr>
              <w:t>is</w:t>
            </w:r>
            <w:proofErr w:type="gramEnd"/>
            <w:r w:rsidRPr="52FF1D7E">
              <w:rPr>
                <w:rFonts w:cs="Calibri"/>
                <w:color w:val="000000" w:themeColor="text1"/>
                <w:sz w:val="22"/>
                <w:szCs w:val="22"/>
              </w:rPr>
              <w:t xml:space="preserve"> primarily a disorder of language and word retrieval; it is not a vocabulary or knowledge-based deficit; is a sound or phonological encoding difficulty; problems with phonemic awareness are the hallmark of dyslexia</w:t>
            </w:r>
          </w:p>
          <w:p w14:paraId="416B55E2" w14:textId="77777777" w:rsidR="00147135" w:rsidRPr="00147135" w:rsidRDefault="52FF1D7E" w:rsidP="52FF1D7E">
            <w:pPr>
              <w:pStyle w:val="ListParagraph"/>
              <w:widowControl w:val="0"/>
              <w:numPr>
                <w:ilvl w:val="0"/>
                <w:numId w:val="16"/>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orthographic processing is enabled by phonemic awareness and grapheme-</w:t>
            </w:r>
            <w:r w:rsidRPr="52FF1D7E">
              <w:rPr>
                <w:rFonts w:cs="Calibri"/>
                <w:color w:val="000000" w:themeColor="text1"/>
                <w:sz w:val="22"/>
                <w:szCs w:val="22"/>
              </w:rPr>
              <w:lastRenderedPageBreak/>
              <w:t xml:space="preserve">phoneme knowledge, which are primary need areas for a person with dyslexia. </w:t>
            </w:r>
          </w:p>
          <w:p w14:paraId="0A46129A" w14:textId="4C1B05D3" w:rsidR="00147135" w:rsidRPr="00147135" w:rsidRDefault="52FF1D7E" w:rsidP="52FF1D7E">
            <w:pPr>
              <w:pStyle w:val="ListParagraph"/>
              <w:widowControl w:val="0"/>
              <w:numPr>
                <w:ilvl w:val="0"/>
                <w:numId w:val="16"/>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student has to connect the letters and letter strings to the sounds of spoken language; must be aware that spoken words can be pulled apart into the elemental particles of speech  </w:t>
            </w:r>
          </w:p>
          <w:p w14:paraId="7FCA7C3D" w14:textId="77777777" w:rsidR="00147135" w:rsidRPr="00147135" w:rsidRDefault="52FF1D7E" w:rsidP="52FF1D7E">
            <w:pPr>
              <w:pStyle w:val="ListParagraph"/>
              <w:widowControl w:val="0"/>
              <w:numPr>
                <w:ilvl w:val="0"/>
                <w:numId w:val="16"/>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common misconception is that it is a visual, “seeing letters backwards” issue. </w:t>
            </w:r>
          </w:p>
          <w:p w14:paraId="16344C19" w14:textId="77777777" w:rsidR="00147135" w:rsidRPr="00147135" w:rsidRDefault="52FF1D7E" w:rsidP="52FF1D7E">
            <w:pPr>
              <w:pStyle w:val="ListParagraph"/>
              <w:widowControl w:val="0"/>
              <w:numPr>
                <w:ilvl w:val="0"/>
                <w:numId w:val="16"/>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to form connections and retain words in memory, readers must have phonemic awareness (the ability to focus on and manipulate phonemes in speech) and grapheme-phoneme correspondences of the writing system. </w:t>
            </w:r>
          </w:p>
          <w:p w14:paraId="1FFBF46B" w14:textId="77777777" w:rsidR="00147135" w:rsidRPr="00147135" w:rsidRDefault="52FF1D7E" w:rsidP="52FF1D7E">
            <w:pPr>
              <w:pStyle w:val="ListParagraph"/>
              <w:widowControl w:val="0"/>
              <w:numPr>
                <w:ilvl w:val="0"/>
                <w:numId w:val="16"/>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application of these strategies will develop the orthographic mapping to retain the words’ spellings, pronunciations, and meanings in memory</w:t>
            </w:r>
          </w:p>
          <w:p w14:paraId="75F13C37" w14:textId="0CE430F0" w:rsidR="00CF67D3" w:rsidRPr="00147135" w:rsidRDefault="52FF1D7E" w:rsidP="52FF1D7E">
            <w:pPr>
              <w:pStyle w:val="ListParagraph"/>
              <w:widowControl w:val="0"/>
              <w:numPr>
                <w:ilvl w:val="0"/>
                <w:numId w:val="16"/>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although orthographic processing is not directly referenced in the definition, the portion of the definition that states, "It is characterized by difficulties with accurate and/or fluent word recognition and by poor spelling and decoding abilities" refers to orthographic processing and its impact on automatic word recognition, fluency and spelling.</w:t>
            </w:r>
            <w:r w:rsidRPr="52FF1D7E">
              <w:rPr>
                <w:rFonts w:ascii="MS Mincho" w:eastAsia="MS Mincho" w:hAnsi="MS Mincho" w:cs="MS Mincho"/>
                <w:color w:val="000000" w:themeColor="text1"/>
                <w:sz w:val="22"/>
                <w:szCs w:val="22"/>
              </w:rPr>
              <w:t> </w:t>
            </w:r>
          </w:p>
        </w:tc>
      </w:tr>
      <w:tr w:rsidR="004643F4" w14:paraId="5746C9D5" w14:textId="77777777" w:rsidTr="4AC017B6">
        <w:tc>
          <w:tcPr>
            <w:tcW w:w="1070" w:type="dxa"/>
          </w:tcPr>
          <w:p w14:paraId="0D01C973" w14:textId="1FDC66DE" w:rsidR="00CF67D3" w:rsidRPr="00BE28BD" w:rsidRDefault="52FF1D7E">
            <w:r>
              <w:lastRenderedPageBreak/>
              <w:t>Slide 26</w:t>
            </w:r>
          </w:p>
        </w:tc>
        <w:tc>
          <w:tcPr>
            <w:tcW w:w="3456" w:type="dxa"/>
          </w:tcPr>
          <w:p w14:paraId="1899E87E" w14:textId="77777777" w:rsidR="00CF67D3" w:rsidRDefault="00CF67D3">
            <w:r w:rsidRPr="00BE28BD">
              <w:rPr>
                <w:noProof/>
              </w:rPr>
              <w:drawing>
                <wp:inline distT="0" distB="0" distL="0" distR="0" wp14:anchorId="4BF75BEE" wp14:editId="7D2E5D3E">
                  <wp:extent cx="1828800" cy="1028700"/>
                  <wp:effectExtent l="0" t="0" r="0" b="127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828800" cy="1028700"/>
                          </a:xfrm>
                          <a:prstGeom prst="rect">
                            <a:avLst/>
                          </a:prstGeom>
                        </pic:spPr>
                      </pic:pic>
                    </a:graphicData>
                  </a:graphic>
                </wp:inline>
              </w:drawing>
            </w:r>
          </w:p>
          <w:p w14:paraId="6378E796" w14:textId="77777777" w:rsidR="00CF67D3" w:rsidRDefault="00CF67D3"/>
          <w:p w14:paraId="30596013" w14:textId="77777777" w:rsidR="00CF67D3" w:rsidRDefault="00CF67D3"/>
        </w:tc>
        <w:tc>
          <w:tcPr>
            <w:tcW w:w="8352" w:type="dxa"/>
          </w:tcPr>
          <w:p w14:paraId="6FC79908" w14:textId="77777777" w:rsidR="00CF67D3" w:rsidRPr="00666947" w:rsidRDefault="00CF67D3" w:rsidP="00EF4205">
            <w:pPr>
              <w:spacing w:line="276" w:lineRule="auto"/>
              <w:rPr>
                <w:sz w:val="22"/>
                <w:szCs w:val="22"/>
              </w:rPr>
            </w:pPr>
          </w:p>
        </w:tc>
      </w:tr>
      <w:tr w:rsidR="004643F4" w14:paraId="52517883" w14:textId="77777777" w:rsidTr="4AC017B6">
        <w:tc>
          <w:tcPr>
            <w:tcW w:w="1070" w:type="dxa"/>
          </w:tcPr>
          <w:p w14:paraId="51B9C905" w14:textId="77777777" w:rsidR="00CF67D3" w:rsidRDefault="52FF1D7E">
            <w:r>
              <w:t>Slide 27</w:t>
            </w:r>
          </w:p>
        </w:tc>
        <w:tc>
          <w:tcPr>
            <w:tcW w:w="3456" w:type="dxa"/>
          </w:tcPr>
          <w:p w14:paraId="5F619A15" w14:textId="77777777" w:rsidR="00CF67D3" w:rsidRDefault="00CF67D3">
            <w:r w:rsidRPr="00BE28BD">
              <w:rPr>
                <w:noProof/>
              </w:rPr>
              <w:drawing>
                <wp:inline distT="0" distB="0" distL="0" distR="0" wp14:anchorId="7CC8415F" wp14:editId="151E70BF">
                  <wp:extent cx="1828800" cy="1028700"/>
                  <wp:effectExtent l="0" t="0" r="0"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828800" cy="1028700"/>
                          </a:xfrm>
                          <a:prstGeom prst="rect">
                            <a:avLst/>
                          </a:prstGeom>
                        </pic:spPr>
                      </pic:pic>
                    </a:graphicData>
                  </a:graphic>
                </wp:inline>
              </w:drawing>
            </w:r>
          </w:p>
          <w:p w14:paraId="3E610C98" w14:textId="77777777" w:rsidR="00CF67D3" w:rsidRPr="00BE28BD" w:rsidRDefault="00CF67D3"/>
        </w:tc>
        <w:tc>
          <w:tcPr>
            <w:tcW w:w="8352" w:type="dxa"/>
          </w:tcPr>
          <w:p w14:paraId="0BBEAC39" w14:textId="07EC2E19" w:rsidR="00551B48" w:rsidRPr="00551B48" w:rsidRDefault="52FF1D7E" w:rsidP="52FF1D7E">
            <w:pPr>
              <w:pStyle w:val="ListParagraph"/>
              <w:widowControl w:val="0"/>
              <w:numPr>
                <w:ilvl w:val="0"/>
                <w:numId w:val="17"/>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again, we will return to the definition of screening within </w:t>
            </w:r>
            <w:r w:rsidRPr="52FF1D7E">
              <w:rPr>
                <w:rFonts w:cs="Calibri"/>
                <w:i/>
                <w:iCs/>
                <w:color w:val="000000" w:themeColor="text1"/>
                <w:sz w:val="22"/>
                <w:szCs w:val="22"/>
              </w:rPr>
              <w:t>NC Policies Governing Services for Children with Disabilities</w:t>
            </w:r>
          </w:p>
          <w:p w14:paraId="5128298B" w14:textId="77777777" w:rsidR="00E7199B" w:rsidRPr="00E7199B" w:rsidRDefault="52FF1D7E" w:rsidP="52FF1D7E">
            <w:pPr>
              <w:pStyle w:val="ListParagraph"/>
              <w:widowControl w:val="0"/>
              <w:numPr>
                <w:ilvl w:val="0"/>
                <w:numId w:val="17"/>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item (a) within policy refers to the universal screening system that is conducted with all students </w:t>
            </w:r>
          </w:p>
          <w:p w14:paraId="229FF101" w14:textId="0CCEA58C" w:rsidR="006027EA" w:rsidRPr="00E7199B" w:rsidRDefault="52FF1D7E" w:rsidP="52FF1D7E">
            <w:pPr>
              <w:pStyle w:val="ListParagraph"/>
              <w:widowControl w:val="0"/>
              <w:numPr>
                <w:ilvl w:val="0"/>
                <w:numId w:val="17"/>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 </w:t>
            </w:r>
            <w:r w:rsidRPr="52FF1D7E">
              <w:rPr>
                <w:rFonts w:cs="Calibri"/>
                <w:i/>
                <w:iCs/>
                <w:color w:val="000000" w:themeColor="text1"/>
                <w:sz w:val="22"/>
                <w:szCs w:val="22"/>
              </w:rPr>
              <w:t>MTSS Comprehensive Assessment Guidelines</w:t>
            </w:r>
            <w:r w:rsidRPr="52FF1D7E">
              <w:rPr>
                <w:rFonts w:cs="Calibri"/>
                <w:color w:val="000000" w:themeColor="text1"/>
                <w:sz w:val="22"/>
                <w:szCs w:val="22"/>
              </w:rPr>
              <w:t xml:space="preserve"> state, “Districts and schools will consider the needs of the student population alongside the efficacy of direct academic skill screening of all students when developing their universal screening </w:t>
            </w:r>
            <w:r w:rsidRPr="52FF1D7E">
              <w:rPr>
                <w:rFonts w:cs="Calibri"/>
                <w:color w:val="000000" w:themeColor="text1"/>
                <w:sz w:val="22"/>
                <w:szCs w:val="22"/>
              </w:rPr>
              <w:lastRenderedPageBreak/>
              <w:t>system. Current research indicates that historical data along with other risk factors associated with dropout be analyzed for all students on an ongoing basis should be included in a universal screening system in middle and high schools.”</w:t>
            </w:r>
          </w:p>
          <w:p w14:paraId="34B5EBAE" w14:textId="77777777" w:rsidR="00E7199B" w:rsidRPr="00E7199B" w:rsidRDefault="52FF1D7E" w:rsidP="52FF1D7E">
            <w:pPr>
              <w:pStyle w:val="ListParagraph"/>
              <w:widowControl w:val="0"/>
              <w:numPr>
                <w:ilvl w:val="0"/>
                <w:numId w:val="17"/>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for additional information on universal screening systems, we refer you to the MTSS Assessment guidelines and your MTSS Regional Consultant</w:t>
            </w:r>
          </w:p>
          <w:p w14:paraId="479BD0D1" w14:textId="160D51A9" w:rsidR="00CF67D3" w:rsidRPr="00E7199B" w:rsidRDefault="4AC017B6" w:rsidP="4AC017B6">
            <w:pPr>
              <w:pStyle w:val="ListParagraph"/>
              <w:widowControl w:val="0"/>
              <w:numPr>
                <w:ilvl w:val="0"/>
                <w:numId w:val="17"/>
              </w:numPr>
              <w:autoSpaceDE w:val="0"/>
              <w:autoSpaceDN w:val="0"/>
              <w:adjustRightInd w:val="0"/>
              <w:spacing w:line="276" w:lineRule="auto"/>
              <w:rPr>
                <w:rFonts w:cs="Times"/>
                <w:color w:val="000000" w:themeColor="text1"/>
                <w:sz w:val="22"/>
                <w:szCs w:val="22"/>
              </w:rPr>
            </w:pPr>
            <w:r w:rsidRPr="4AC017B6">
              <w:rPr>
                <w:rFonts w:cs="Calibri"/>
                <w:color w:val="000000" w:themeColor="text1"/>
                <w:sz w:val="22"/>
                <w:szCs w:val="22"/>
              </w:rPr>
              <w:t xml:space="preserve">NC Public Schools currently has a system that screens all K-3 students for risk of reading difficulty through </w:t>
            </w:r>
            <w:proofErr w:type="spellStart"/>
            <w:r w:rsidRPr="4AC017B6">
              <w:rPr>
                <w:rFonts w:cs="Calibri"/>
                <w:color w:val="000000" w:themeColor="text1"/>
                <w:sz w:val="22"/>
                <w:szCs w:val="22"/>
              </w:rPr>
              <w:t>Dibels</w:t>
            </w:r>
            <w:proofErr w:type="spellEnd"/>
            <w:r w:rsidRPr="4AC017B6">
              <w:rPr>
                <w:rFonts w:cs="Calibri"/>
                <w:color w:val="000000" w:themeColor="text1"/>
                <w:sz w:val="22"/>
                <w:szCs w:val="22"/>
              </w:rPr>
              <w:t xml:space="preserve"> Next; these assessments are sufficient to identify students with risk indicators of dyslexia. </w:t>
            </w:r>
          </w:p>
          <w:p w14:paraId="2C2CEB73" w14:textId="78CC1057" w:rsidR="00551B48" w:rsidRPr="00551B48" w:rsidRDefault="00551B48" w:rsidP="00EF4205">
            <w:pPr>
              <w:pStyle w:val="ListParagraph"/>
              <w:widowControl w:val="0"/>
              <w:autoSpaceDE w:val="0"/>
              <w:autoSpaceDN w:val="0"/>
              <w:adjustRightInd w:val="0"/>
              <w:spacing w:line="276" w:lineRule="auto"/>
              <w:rPr>
                <w:rFonts w:cs="Times"/>
                <w:color w:val="000000"/>
                <w:sz w:val="22"/>
                <w:szCs w:val="22"/>
              </w:rPr>
            </w:pPr>
          </w:p>
        </w:tc>
      </w:tr>
      <w:tr w:rsidR="004643F4" w14:paraId="7A928A69" w14:textId="77777777" w:rsidTr="4AC017B6">
        <w:trPr>
          <w:trHeight w:val="1728"/>
        </w:trPr>
        <w:tc>
          <w:tcPr>
            <w:tcW w:w="1070" w:type="dxa"/>
          </w:tcPr>
          <w:p w14:paraId="1A891C59" w14:textId="77777777" w:rsidR="00CF67D3" w:rsidRPr="00BE28BD" w:rsidRDefault="52FF1D7E">
            <w:r>
              <w:lastRenderedPageBreak/>
              <w:t>Slide 28</w:t>
            </w:r>
          </w:p>
        </w:tc>
        <w:tc>
          <w:tcPr>
            <w:tcW w:w="3456" w:type="dxa"/>
          </w:tcPr>
          <w:p w14:paraId="1911453F" w14:textId="77777777" w:rsidR="00CF67D3" w:rsidRDefault="00CF67D3">
            <w:r w:rsidRPr="00BE28BD">
              <w:rPr>
                <w:noProof/>
              </w:rPr>
              <w:drawing>
                <wp:inline distT="0" distB="0" distL="0" distR="0" wp14:anchorId="6507244B" wp14:editId="47182A90">
                  <wp:extent cx="1828800" cy="102869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28800" cy="1028699"/>
                          </a:xfrm>
                          <a:prstGeom prst="rect">
                            <a:avLst/>
                          </a:prstGeom>
                        </pic:spPr>
                      </pic:pic>
                    </a:graphicData>
                  </a:graphic>
                </wp:inline>
              </w:drawing>
            </w:r>
          </w:p>
          <w:p w14:paraId="469A3D3B" w14:textId="77777777" w:rsidR="00CF67D3" w:rsidRPr="008C70AE" w:rsidRDefault="00CF67D3"/>
        </w:tc>
        <w:tc>
          <w:tcPr>
            <w:tcW w:w="8352" w:type="dxa"/>
          </w:tcPr>
          <w:p w14:paraId="262BD4E1" w14:textId="77777777" w:rsidR="00CF67D3" w:rsidRPr="00666947" w:rsidRDefault="00CF67D3" w:rsidP="00EF4205">
            <w:pPr>
              <w:spacing w:line="276" w:lineRule="auto"/>
              <w:rPr>
                <w:sz w:val="22"/>
                <w:szCs w:val="22"/>
              </w:rPr>
            </w:pPr>
          </w:p>
        </w:tc>
      </w:tr>
      <w:tr w:rsidR="004643F4" w14:paraId="1B487E2A" w14:textId="77777777" w:rsidTr="4AC017B6">
        <w:trPr>
          <w:trHeight w:val="4751"/>
        </w:trPr>
        <w:tc>
          <w:tcPr>
            <w:tcW w:w="1070" w:type="dxa"/>
          </w:tcPr>
          <w:p w14:paraId="62D4D3B5" w14:textId="77777777" w:rsidR="00CF67D3" w:rsidRPr="00BE28BD" w:rsidRDefault="52FF1D7E">
            <w:r>
              <w:lastRenderedPageBreak/>
              <w:t>Slide 29</w:t>
            </w:r>
          </w:p>
        </w:tc>
        <w:tc>
          <w:tcPr>
            <w:tcW w:w="3456" w:type="dxa"/>
          </w:tcPr>
          <w:p w14:paraId="19CAA072" w14:textId="77777777" w:rsidR="00CF67D3" w:rsidRDefault="00CF67D3">
            <w:r w:rsidRPr="00BE28BD">
              <w:rPr>
                <w:noProof/>
              </w:rPr>
              <w:drawing>
                <wp:inline distT="0" distB="0" distL="0" distR="0" wp14:anchorId="39E037CE" wp14:editId="43C5529D">
                  <wp:extent cx="1828800" cy="1028700"/>
                  <wp:effectExtent l="0" t="0" r="0" b="127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828800" cy="1028700"/>
                          </a:xfrm>
                          <a:prstGeom prst="rect">
                            <a:avLst/>
                          </a:prstGeom>
                        </pic:spPr>
                      </pic:pic>
                    </a:graphicData>
                  </a:graphic>
                </wp:inline>
              </w:drawing>
            </w:r>
          </w:p>
          <w:p w14:paraId="0D79F927" w14:textId="77777777" w:rsidR="00CF67D3" w:rsidRPr="008C70AE" w:rsidRDefault="00CF67D3"/>
        </w:tc>
        <w:tc>
          <w:tcPr>
            <w:tcW w:w="8352" w:type="dxa"/>
          </w:tcPr>
          <w:p w14:paraId="3549FC1D" w14:textId="0868A087" w:rsidR="00551B48" w:rsidRPr="00551B48" w:rsidRDefault="4FE6B477" w:rsidP="4FE6B477">
            <w:pPr>
              <w:pStyle w:val="ListParagraph"/>
              <w:widowControl w:val="0"/>
              <w:numPr>
                <w:ilvl w:val="0"/>
                <w:numId w:val="18"/>
              </w:numPr>
              <w:autoSpaceDE w:val="0"/>
              <w:autoSpaceDN w:val="0"/>
              <w:adjustRightInd w:val="0"/>
              <w:spacing w:line="276" w:lineRule="auto"/>
              <w:rPr>
                <w:rFonts w:cs="Times"/>
                <w:color w:val="000000" w:themeColor="text1"/>
                <w:sz w:val="22"/>
                <w:szCs w:val="22"/>
              </w:rPr>
            </w:pPr>
            <w:r w:rsidRPr="4FE6B477">
              <w:rPr>
                <w:rFonts w:cs="Calibri"/>
                <w:color w:val="000000" w:themeColor="text1"/>
                <w:sz w:val="22"/>
                <w:szCs w:val="22"/>
              </w:rPr>
              <w:t>students with dyslexia will continue to be found eligible as a student with a Specific Learning Disability under IDEA</w:t>
            </w:r>
            <w:r w:rsidR="006E31D9">
              <w:rPr>
                <w:rFonts w:cs="Calibri"/>
                <w:color w:val="000000" w:themeColor="text1"/>
                <w:sz w:val="22"/>
                <w:szCs w:val="22"/>
              </w:rPr>
              <w:t xml:space="preserve">, if there is an adverse effect to progress in the general curriculum and a need for special education and related services.  </w:t>
            </w:r>
            <w:r w:rsidRPr="4FE6B477">
              <w:rPr>
                <w:rFonts w:cs="Calibri"/>
                <w:color w:val="000000" w:themeColor="text1"/>
                <w:sz w:val="22"/>
                <w:szCs w:val="22"/>
              </w:rPr>
              <w:t xml:space="preserve">Dyslexia is NOT a new area of eligibility. Dyslexia, Dysgraphia, and Dyscalculia are all subtypes of a Specific Learning Disability. </w:t>
            </w:r>
          </w:p>
          <w:p w14:paraId="769EA96B" w14:textId="50E3589C" w:rsidR="00551B48" w:rsidRPr="00551B48" w:rsidRDefault="52FF1D7E" w:rsidP="52FF1D7E">
            <w:pPr>
              <w:pStyle w:val="ListParagraph"/>
              <w:widowControl w:val="0"/>
              <w:numPr>
                <w:ilvl w:val="0"/>
                <w:numId w:val="18"/>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although, they not their own eligibility area, the Office of Special Education Programs (OSEP) has clearly stated that there is no need to avoid using terms like dyslexia, dysgraphia, and dyscalculia.  </w:t>
            </w:r>
          </w:p>
          <w:p w14:paraId="63831739" w14:textId="5DF29401" w:rsidR="00551B48" w:rsidRPr="00551B48" w:rsidRDefault="52FF1D7E" w:rsidP="52FF1D7E">
            <w:pPr>
              <w:pStyle w:val="ListParagraph"/>
              <w:widowControl w:val="0"/>
              <w:numPr>
                <w:ilvl w:val="0"/>
                <w:numId w:val="18"/>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in fact, it is appropriate and encouraged to include characteristics of these three terms in the PLAAFP, Prior Written Notice, and Reevaluation forms. This more detailed information leads to the “special” in specially designed instruction and helps identify precise evidenced-based practices known to be effective. </w:t>
            </w:r>
          </w:p>
          <w:p w14:paraId="247481C4" w14:textId="0F974E2D" w:rsidR="00F67E88" w:rsidRPr="00551B48" w:rsidRDefault="52FF1D7E" w:rsidP="52FF1D7E">
            <w:pPr>
              <w:pStyle w:val="ListParagraph"/>
              <w:widowControl w:val="0"/>
              <w:numPr>
                <w:ilvl w:val="0"/>
                <w:numId w:val="18"/>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terms give more specific information abou</w:t>
            </w:r>
            <w:r w:rsidR="006E31D9">
              <w:rPr>
                <w:rFonts w:cs="Calibri"/>
                <w:color w:val="000000" w:themeColor="text1"/>
                <w:sz w:val="22"/>
                <w:szCs w:val="22"/>
              </w:rPr>
              <w:t>t the disability. For example, </w:t>
            </w:r>
            <w:r w:rsidRPr="52FF1D7E">
              <w:rPr>
                <w:rFonts w:cs="Calibri"/>
                <w:color w:val="000000" w:themeColor="text1"/>
                <w:sz w:val="22"/>
                <w:szCs w:val="22"/>
              </w:rPr>
              <w:t xml:space="preserve">knowing that a student has dyslexia, will help a teacher understand that the learning disability occurs at the word recognition level and intervention should focus on phonological awareness, systematic phonics instruction, spelling and automaticity of reading. </w:t>
            </w:r>
          </w:p>
          <w:p w14:paraId="1B580870" w14:textId="77777777" w:rsidR="00CF67D3" w:rsidRPr="00666947" w:rsidRDefault="00CF67D3" w:rsidP="00EF4205">
            <w:pPr>
              <w:widowControl w:val="0"/>
              <w:autoSpaceDE w:val="0"/>
              <w:autoSpaceDN w:val="0"/>
              <w:adjustRightInd w:val="0"/>
              <w:spacing w:line="276" w:lineRule="auto"/>
              <w:rPr>
                <w:sz w:val="22"/>
                <w:szCs w:val="22"/>
              </w:rPr>
            </w:pPr>
          </w:p>
        </w:tc>
      </w:tr>
      <w:tr w:rsidR="004643F4" w14:paraId="2A183893" w14:textId="77777777" w:rsidTr="4AC017B6">
        <w:tc>
          <w:tcPr>
            <w:tcW w:w="1070" w:type="dxa"/>
          </w:tcPr>
          <w:p w14:paraId="471CE40E" w14:textId="77777777" w:rsidR="00CF67D3" w:rsidRPr="00BE28BD" w:rsidRDefault="52FF1D7E">
            <w:r>
              <w:t>Slide 30</w:t>
            </w:r>
          </w:p>
        </w:tc>
        <w:tc>
          <w:tcPr>
            <w:tcW w:w="3456" w:type="dxa"/>
          </w:tcPr>
          <w:p w14:paraId="3A65BBE9" w14:textId="77777777" w:rsidR="00CF67D3" w:rsidRDefault="00CF67D3">
            <w:r w:rsidRPr="00BE28BD">
              <w:rPr>
                <w:noProof/>
              </w:rPr>
              <w:drawing>
                <wp:inline distT="0" distB="0" distL="0" distR="0" wp14:anchorId="789A558E" wp14:editId="1A315D59">
                  <wp:extent cx="1828800" cy="102869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828800" cy="1028699"/>
                          </a:xfrm>
                          <a:prstGeom prst="rect">
                            <a:avLst/>
                          </a:prstGeom>
                        </pic:spPr>
                      </pic:pic>
                    </a:graphicData>
                  </a:graphic>
                </wp:inline>
              </w:drawing>
            </w:r>
          </w:p>
          <w:p w14:paraId="6BE6B6C7" w14:textId="77777777" w:rsidR="00CF67D3" w:rsidRPr="008C70AE" w:rsidRDefault="00CF67D3"/>
        </w:tc>
        <w:tc>
          <w:tcPr>
            <w:tcW w:w="8352" w:type="dxa"/>
          </w:tcPr>
          <w:p w14:paraId="0CFEE808" w14:textId="77777777" w:rsidR="00CF67D3" w:rsidRPr="00666947" w:rsidRDefault="00CF67D3" w:rsidP="00EF4205">
            <w:pPr>
              <w:spacing w:line="276" w:lineRule="auto"/>
              <w:rPr>
                <w:sz w:val="22"/>
                <w:szCs w:val="22"/>
              </w:rPr>
            </w:pPr>
          </w:p>
        </w:tc>
      </w:tr>
      <w:tr w:rsidR="004643F4" w14:paraId="6504D2E5" w14:textId="77777777" w:rsidTr="4AC017B6">
        <w:tc>
          <w:tcPr>
            <w:tcW w:w="1070" w:type="dxa"/>
          </w:tcPr>
          <w:p w14:paraId="7E3F25AE" w14:textId="77777777" w:rsidR="00CF67D3" w:rsidRPr="00BE28BD" w:rsidRDefault="52FF1D7E">
            <w:r>
              <w:t>Slide 31</w:t>
            </w:r>
          </w:p>
        </w:tc>
        <w:tc>
          <w:tcPr>
            <w:tcW w:w="3456" w:type="dxa"/>
          </w:tcPr>
          <w:p w14:paraId="579592F3" w14:textId="77777777" w:rsidR="00CF67D3" w:rsidRDefault="00CF67D3">
            <w:r w:rsidRPr="00BE28BD">
              <w:rPr>
                <w:noProof/>
              </w:rPr>
              <w:drawing>
                <wp:inline distT="0" distB="0" distL="0" distR="0" wp14:anchorId="161D0CEA" wp14:editId="6B1EA254">
                  <wp:extent cx="1828800" cy="1028700"/>
                  <wp:effectExtent l="0" t="0" r="0" b="127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828800" cy="1028700"/>
                          </a:xfrm>
                          <a:prstGeom prst="rect">
                            <a:avLst/>
                          </a:prstGeom>
                        </pic:spPr>
                      </pic:pic>
                    </a:graphicData>
                  </a:graphic>
                </wp:inline>
              </w:drawing>
            </w:r>
          </w:p>
          <w:p w14:paraId="20334F2B" w14:textId="77777777" w:rsidR="00CF67D3" w:rsidRPr="008C70AE" w:rsidRDefault="00CF67D3"/>
        </w:tc>
        <w:tc>
          <w:tcPr>
            <w:tcW w:w="8352" w:type="dxa"/>
          </w:tcPr>
          <w:p w14:paraId="1C391471" w14:textId="27AC80D8" w:rsidR="00E416F1" w:rsidRPr="00E416F1" w:rsidRDefault="52FF1D7E" w:rsidP="52FF1D7E">
            <w:pPr>
              <w:pStyle w:val="ListParagraph"/>
              <w:widowControl w:val="0"/>
              <w:numPr>
                <w:ilvl w:val="0"/>
                <w:numId w:val="20"/>
              </w:numPr>
              <w:autoSpaceDE w:val="0"/>
              <w:autoSpaceDN w:val="0"/>
              <w:adjustRightInd w:val="0"/>
              <w:spacing w:line="276" w:lineRule="auto"/>
              <w:rPr>
                <w:rFonts w:ascii="Times" w:hAnsi="Times" w:cs="Times"/>
                <w:color w:val="000000" w:themeColor="text1"/>
                <w:sz w:val="22"/>
                <w:szCs w:val="22"/>
              </w:rPr>
            </w:pPr>
            <w:r w:rsidRPr="52FF1D7E">
              <w:rPr>
                <w:rFonts w:eastAsiaTheme="minorEastAsia"/>
                <w:color w:val="000000" w:themeColor="text1"/>
                <w:sz w:val="22"/>
                <w:szCs w:val="22"/>
              </w:rPr>
              <w:lastRenderedPageBreak/>
              <w:t>dyslexia, dyscalculia and dysgraphia are considered alternate terms for Specific Learning Disabilities under the IDEA and NC Policies</w:t>
            </w:r>
          </w:p>
          <w:p w14:paraId="2F45A484" w14:textId="77777777" w:rsidR="00551B48" w:rsidRPr="00551B48" w:rsidRDefault="52FF1D7E" w:rsidP="52FF1D7E">
            <w:pPr>
              <w:pStyle w:val="ListParagraph"/>
              <w:widowControl w:val="0"/>
              <w:numPr>
                <w:ilvl w:val="0"/>
                <w:numId w:val="19"/>
              </w:numPr>
              <w:autoSpaceDE w:val="0"/>
              <w:autoSpaceDN w:val="0"/>
              <w:adjustRightInd w:val="0"/>
              <w:spacing w:line="276" w:lineRule="auto"/>
              <w:rPr>
                <w:rFonts w:cs="Calibri"/>
                <w:color w:val="000000" w:themeColor="text1"/>
                <w:sz w:val="22"/>
                <w:szCs w:val="22"/>
              </w:rPr>
            </w:pPr>
            <w:r w:rsidRPr="52FF1D7E">
              <w:rPr>
                <w:rFonts w:cs="Calibri"/>
                <w:color w:val="000000" w:themeColor="text1"/>
                <w:sz w:val="22"/>
                <w:szCs w:val="22"/>
              </w:rPr>
              <w:t>will not impact eligibility decisions</w:t>
            </w:r>
          </w:p>
          <w:p w14:paraId="72C6E844" w14:textId="118E2D60" w:rsidR="00551B48" w:rsidRPr="00551B48" w:rsidRDefault="52FF1D7E" w:rsidP="52FF1D7E">
            <w:pPr>
              <w:pStyle w:val="ListParagraph"/>
              <w:widowControl w:val="0"/>
              <w:numPr>
                <w:ilvl w:val="0"/>
                <w:numId w:val="19"/>
              </w:numPr>
              <w:autoSpaceDE w:val="0"/>
              <w:autoSpaceDN w:val="0"/>
              <w:adjustRightInd w:val="0"/>
              <w:spacing w:line="276" w:lineRule="auto"/>
              <w:rPr>
                <w:rFonts w:cs="Calibri"/>
                <w:color w:val="000000" w:themeColor="text1"/>
                <w:sz w:val="22"/>
                <w:szCs w:val="22"/>
              </w:rPr>
            </w:pPr>
            <w:r w:rsidRPr="52FF1D7E">
              <w:rPr>
                <w:rFonts w:cs="Calibri"/>
                <w:color w:val="000000" w:themeColor="text1"/>
                <w:sz w:val="22"/>
                <w:szCs w:val="22"/>
              </w:rPr>
              <w:t xml:space="preserve">dyslexia </w:t>
            </w:r>
            <w:proofErr w:type="gramStart"/>
            <w:r w:rsidRPr="52FF1D7E">
              <w:rPr>
                <w:rFonts w:cs="Calibri"/>
                <w:color w:val="000000" w:themeColor="text1"/>
                <w:sz w:val="22"/>
                <w:szCs w:val="22"/>
              </w:rPr>
              <w:t>falls</w:t>
            </w:r>
            <w:proofErr w:type="gramEnd"/>
            <w:r w:rsidRPr="52FF1D7E">
              <w:rPr>
                <w:rFonts w:cs="Calibri"/>
                <w:color w:val="000000" w:themeColor="text1"/>
                <w:sz w:val="22"/>
                <w:szCs w:val="22"/>
              </w:rPr>
              <w:t xml:space="preserve"> under Specific Learning disability; it is not its own eligibility category. </w:t>
            </w:r>
          </w:p>
          <w:p w14:paraId="70FFA72B" w14:textId="4EC46233" w:rsidR="00551B48" w:rsidRPr="00551B48" w:rsidRDefault="52FF1D7E" w:rsidP="52FF1D7E">
            <w:pPr>
              <w:pStyle w:val="ListParagraph"/>
              <w:widowControl w:val="0"/>
              <w:numPr>
                <w:ilvl w:val="0"/>
                <w:numId w:val="19"/>
              </w:numPr>
              <w:autoSpaceDE w:val="0"/>
              <w:autoSpaceDN w:val="0"/>
              <w:adjustRightInd w:val="0"/>
              <w:spacing w:line="276" w:lineRule="auto"/>
              <w:rPr>
                <w:rFonts w:cs="Calibri"/>
                <w:color w:val="000000" w:themeColor="text1"/>
                <w:sz w:val="22"/>
                <w:szCs w:val="22"/>
              </w:rPr>
            </w:pPr>
            <w:r w:rsidRPr="52FF1D7E">
              <w:rPr>
                <w:rFonts w:cs="Calibri"/>
                <w:color w:val="000000" w:themeColor="text1"/>
                <w:sz w:val="22"/>
                <w:szCs w:val="22"/>
              </w:rPr>
              <w:t xml:space="preserve">within the 8 areas of an LD, a student with dyslexia will typically present with </w:t>
            </w:r>
            <w:r w:rsidRPr="52FF1D7E">
              <w:rPr>
                <w:rFonts w:cs="Calibri"/>
                <w:color w:val="000000" w:themeColor="text1"/>
                <w:sz w:val="22"/>
                <w:szCs w:val="22"/>
              </w:rPr>
              <w:lastRenderedPageBreak/>
              <w:t xml:space="preserve">primary weaknesses in basic reading skills and/or reading fluency, and may show secondary consequences in reading comprehension.  </w:t>
            </w:r>
          </w:p>
          <w:p w14:paraId="300320D0" w14:textId="4EC39855" w:rsidR="00551B48" w:rsidRPr="00551B48" w:rsidRDefault="52FF1D7E" w:rsidP="52FF1D7E">
            <w:pPr>
              <w:pStyle w:val="ListParagraph"/>
              <w:widowControl w:val="0"/>
              <w:numPr>
                <w:ilvl w:val="0"/>
                <w:numId w:val="19"/>
              </w:numPr>
              <w:autoSpaceDE w:val="0"/>
              <w:autoSpaceDN w:val="0"/>
              <w:adjustRightInd w:val="0"/>
              <w:spacing w:line="276" w:lineRule="auto"/>
              <w:rPr>
                <w:rFonts w:cs="Calibri"/>
                <w:color w:val="000000" w:themeColor="text1"/>
                <w:sz w:val="22"/>
                <w:szCs w:val="22"/>
              </w:rPr>
            </w:pPr>
            <w:r w:rsidRPr="52FF1D7E">
              <w:rPr>
                <w:rFonts w:cs="Calibri"/>
                <w:color w:val="000000" w:themeColor="text1"/>
                <w:sz w:val="22"/>
                <w:szCs w:val="22"/>
              </w:rPr>
              <w:t xml:space="preserve">written expression may also be impacted due to weaknesses with spelling and writing fluency.  </w:t>
            </w:r>
          </w:p>
          <w:p w14:paraId="21F6F52F" w14:textId="5CF9A144" w:rsidR="00F67E88" w:rsidRPr="00551B48" w:rsidRDefault="52FF1D7E" w:rsidP="52FF1D7E">
            <w:pPr>
              <w:pStyle w:val="ListParagraph"/>
              <w:widowControl w:val="0"/>
              <w:numPr>
                <w:ilvl w:val="0"/>
                <w:numId w:val="19"/>
              </w:numPr>
              <w:autoSpaceDE w:val="0"/>
              <w:autoSpaceDN w:val="0"/>
              <w:adjustRightInd w:val="0"/>
              <w:spacing w:line="276" w:lineRule="auto"/>
              <w:rPr>
                <w:rFonts w:cs="Calibri"/>
                <w:color w:val="000000" w:themeColor="text1"/>
                <w:sz w:val="22"/>
                <w:szCs w:val="22"/>
              </w:rPr>
            </w:pPr>
            <w:r w:rsidRPr="52FF1D7E">
              <w:rPr>
                <w:rFonts w:cs="Calibri"/>
                <w:color w:val="000000" w:themeColor="text1"/>
                <w:sz w:val="22"/>
                <w:szCs w:val="22"/>
              </w:rPr>
              <w:t xml:space="preserve">while the IDEA definition of a learning disability contains a list of conditions under the definition “specific learning disability,” which includes dyslexia, the list is not exhaustive; dyscalculia is not specifically referenced in the IDEA definition of Specific Learning Disability, however a student with dyscalculia may meet criteria under the area of math calculation and/or mathematics problem solving. </w:t>
            </w:r>
          </w:p>
          <w:p w14:paraId="69DFDD4C" w14:textId="2BB91C0C" w:rsidR="00F67E88" w:rsidRPr="00D4052E" w:rsidRDefault="52FF1D7E" w:rsidP="52FF1D7E">
            <w:pPr>
              <w:pStyle w:val="ListParagraph"/>
              <w:widowControl w:val="0"/>
              <w:numPr>
                <w:ilvl w:val="0"/>
                <w:numId w:val="19"/>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identification of dyslexia, dysgraphia or dyscalculia does not equate to eligibility for special education and related services; in addition to an identification of a disability, it must be documented that the student experiences adverse effects as a result of the disability AND requires special education services.  </w:t>
            </w:r>
          </w:p>
          <w:p w14:paraId="5899B36A" w14:textId="349A4883" w:rsidR="00F67E88" w:rsidRPr="00D4052E" w:rsidRDefault="52FF1D7E" w:rsidP="52FF1D7E">
            <w:pPr>
              <w:pStyle w:val="ListParagraph"/>
              <w:widowControl w:val="0"/>
              <w:numPr>
                <w:ilvl w:val="0"/>
                <w:numId w:val="19"/>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outside evaluation information must be considered, as an identification may be sufficient information to suspect a disability, triggering Child Find obligations.</w:t>
            </w:r>
          </w:p>
          <w:p w14:paraId="6B70E4C2" w14:textId="77777777" w:rsidR="00CF67D3" w:rsidRPr="00666947" w:rsidRDefault="00CF67D3" w:rsidP="00EF4205">
            <w:pPr>
              <w:spacing w:line="276" w:lineRule="auto"/>
              <w:rPr>
                <w:sz w:val="22"/>
                <w:szCs w:val="22"/>
              </w:rPr>
            </w:pPr>
          </w:p>
        </w:tc>
      </w:tr>
      <w:tr w:rsidR="004643F4" w14:paraId="51BD2429" w14:textId="77777777" w:rsidTr="4AC017B6">
        <w:trPr>
          <w:trHeight w:val="1728"/>
        </w:trPr>
        <w:tc>
          <w:tcPr>
            <w:tcW w:w="1070" w:type="dxa"/>
          </w:tcPr>
          <w:p w14:paraId="051B951B" w14:textId="1DC51F2B" w:rsidR="00CF67D3" w:rsidRPr="00BE28BD" w:rsidRDefault="52FF1D7E">
            <w:r>
              <w:lastRenderedPageBreak/>
              <w:t>Slide 32</w:t>
            </w:r>
          </w:p>
        </w:tc>
        <w:tc>
          <w:tcPr>
            <w:tcW w:w="3456" w:type="dxa"/>
          </w:tcPr>
          <w:p w14:paraId="0E33CE3B" w14:textId="77777777" w:rsidR="00CF67D3" w:rsidRDefault="00CF67D3">
            <w:r w:rsidRPr="00BE28BD">
              <w:rPr>
                <w:noProof/>
              </w:rPr>
              <w:drawing>
                <wp:inline distT="0" distB="0" distL="0" distR="0" wp14:anchorId="27A06B03" wp14:editId="54847942">
                  <wp:extent cx="1828800" cy="97009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828800" cy="970099"/>
                          </a:xfrm>
                          <a:prstGeom prst="rect">
                            <a:avLst/>
                          </a:prstGeom>
                        </pic:spPr>
                      </pic:pic>
                    </a:graphicData>
                  </a:graphic>
                </wp:inline>
              </w:drawing>
            </w:r>
          </w:p>
          <w:p w14:paraId="747B615B" w14:textId="77777777" w:rsidR="00CF67D3" w:rsidRPr="008C70AE" w:rsidRDefault="00CF67D3"/>
        </w:tc>
        <w:tc>
          <w:tcPr>
            <w:tcW w:w="8352" w:type="dxa"/>
          </w:tcPr>
          <w:p w14:paraId="3C52DB8A" w14:textId="77777777" w:rsidR="00CF67D3" w:rsidRPr="00666947" w:rsidRDefault="00CF67D3" w:rsidP="00EF4205">
            <w:pPr>
              <w:spacing w:line="276" w:lineRule="auto"/>
              <w:rPr>
                <w:sz w:val="22"/>
                <w:szCs w:val="22"/>
              </w:rPr>
            </w:pPr>
          </w:p>
        </w:tc>
      </w:tr>
      <w:tr w:rsidR="004643F4" w14:paraId="02D51510" w14:textId="77777777" w:rsidTr="4AC017B6">
        <w:trPr>
          <w:trHeight w:val="1728"/>
        </w:trPr>
        <w:tc>
          <w:tcPr>
            <w:tcW w:w="1070" w:type="dxa"/>
          </w:tcPr>
          <w:p w14:paraId="6021095E" w14:textId="77777777" w:rsidR="00CF67D3" w:rsidRPr="00BE28BD" w:rsidRDefault="52FF1D7E">
            <w:r>
              <w:t>Slide 33</w:t>
            </w:r>
          </w:p>
        </w:tc>
        <w:tc>
          <w:tcPr>
            <w:tcW w:w="3456" w:type="dxa"/>
          </w:tcPr>
          <w:p w14:paraId="6E713822" w14:textId="77777777" w:rsidR="00CF67D3" w:rsidRDefault="00CF67D3">
            <w:r w:rsidRPr="00BE28BD">
              <w:rPr>
                <w:noProof/>
              </w:rPr>
              <w:drawing>
                <wp:inline distT="0" distB="0" distL="0" distR="0" wp14:anchorId="73151579" wp14:editId="5CF36625">
                  <wp:extent cx="1828800" cy="9740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28800" cy="974025"/>
                          </a:xfrm>
                          <a:prstGeom prst="rect">
                            <a:avLst/>
                          </a:prstGeom>
                        </pic:spPr>
                      </pic:pic>
                    </a:graphicData>
                  </a:graphic>
                </wp:inline>
              </w:drawing>
            </w:r>
          </w:p>
          <w:p w14:paraId="08835A27" w14:textId="77777777" w:rsidR="00CF67D3" w:rsidRPr="008C70AE" w:rsidRDefault="00CF67D3"/>
        </w:tc>
        <w:tc>
          <w:tcPr>
            <w:tcW w:w="8352" w:type="dxa"/>
          </w:tcPr>
          <w:p w14:paraId="235A8107" w14:textId="77777777" w:rsidR="00E416F1" w:rsidRPr="00E416F1" w:rsidRDefault="52FF1D7E" w:rsidP="52FF1D7E">
            <w:pPr>
              <w:pStyle w:val="ListParagraph"/>
              <w:widowControl w:val="0"/>
              <w:numPr>
                <w:ilvl w:val="0"/>
                <w:numId w:val="21"/>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we cannot predetermine eligibility status</w:t>
            </w:r>
          </w:p>
          <w:p w14:paraId="0ED40366" w14:textId="77777777" w:rsidR="00E416F1" w:rsidRPr="00E416F1" w:rsidRDefault="52FF1D7E" w:rsidP="52FF1D7E">
            <w:pPr>
              <w:pStyle w:val="ListParagraph"/>
              <w:widowControl w:val="0"/>
              <w:numPr>
                <w:ilvl w:val="0"/>
                <w:numId w:val="21"/>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students who demonstrate indicators of risk for academics or behavior should receive supplemental and/or intensive interventions matched to their needs; response to the intervention should be closely monitored. </w:t>
            </w:r>
          </w:p>
          <w:p w14:paraId="6D7C4069" w14:textId="77777777" w:rsidR="00E416F1" w:rsidRPr="00E416F1" w:rsidRDefault="52FF1D7E" w:rsidP="52FF1D7E">
            <w:pPr>
              <w:pStyle w:val="ListParagraph"/>
              <w:widowControl w:val="0"/>
              <w:numPr>
                <w:ilvl w:val="0"/>
                <w:numId w:val="21"/>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if at any time a suspicion of a disability exists, then IEP team must meet to consider the available evidence and determine if a comprehensive evaluation is warranted.</w:t>
            </w:r>
          </w:p>
          <w:p w14:paraId="4BB51EA8" w14:textId="77777777" w:rsidR="00E416F1" w:rsidRPr="00E416F1" w:rsidRDefault="52FF1D7E" w:rsidP="52FF1D7E">
            <w:pPr>
              <w:pStyle w:val="ListParagraph"/>
              <w:widowControl w:val="0"/>
              <w:numPr>
                <w:ilvl w:val="0"/>
                <w:numId w:val="21"/>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lastRenderedPageBreak/>
              <w:t xml:space="preserve">best course of action for a student who does not meet the eligibility requirements, but shows skill deficits similar to a student with dyslexia would be </w:t>
            </w:r>
            <w:r w:rsidRPr="52FF1D7E">
              <w:rPr>
                <w:rFonts w:cs="Calibri"/>
                <w:b/>
                <w:bCs/>
                <w:color w:val="000000" w:themeColor="text1"/>
                <w:sz w:val="22"/>
                <w:szCs w:val="22"/>
              </w:rPr>
              <w:t>strong core instruction</w:t>
            </w:r>
            <w:r w:rsidRPr="52FF1D7E">
              <w:rPr>
                <w:rFonts w:cs="Calibri"/>
                <w:color w:val="000000" w:themeColor="text1"/>
                <w:sz w:val="22"/>
                <w:szCs w:val="22"/>
              </w:rPr>
              <w:t xml:space="preserve">, particularly in the areas of phonological awareness, phonics, spelling and automaticity.  </w:t>
            </w:r>
          </w:p>
          <w:p w14:paraId="32264FED" w14:textId="3053DC57" w:rsidR="00CF67D3" w:rsidRPr="00E416F1" w:rsidRDefault="52FF1D7E" w:rsidP="52FF1D7E">
            <w:pPr>
              <w:pStyle w:val="ListParagraph"/>
              <w:widowControl w:val="0"/>
              <w:numPr>
                <w:ilvl w:val="0"/>
                <w:numId w:val="21"/>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students at risk for poor learning outcomes, including those who may have dyslexia, dyscalculia or dysgraphia, should be provided with evidence-based interventions, frequent progress monitoring, and adjustment of the intensity and nature of those interventions depending on the student’s success or lack thereof. </w:t>
            </w:r>
          </w:p>
        </w:tc>
      </w:tr>
      <w:tr w:rsidR="004643F4" w14:paraId="34963F7B" w14:textId="77777777" w:rsidTr="4AC017B6">
        <w:tc>
          <w:tcPr>
            <w:tcW w:w="1070" w:type="dxa"/>
          </w:tcPr>
          <w:p w14:paraId="4395B1BF" w14:textId="6214B6DE" w:rsidR="00CF67D3" w:rsidRPr="00BE28BD" w:rsidRDefault="52FF1D7E">
            <w:r>
              <w:lastRenderedPageBreak/>
              <w:t>Slide 34</w:t>
            </w:r>
          </w:p>
        </w:tc>
        <w:tc>
          <w:tcPr>
            <w:tcW w:w="3456" w:type="dxa"/>
          </w:tcPr>
          <w:p w14:paraId="60D0C94C" w14:textId="77777777" w:rsidR="00CF67D3" w:rsidRDefault="00CF67D3">
            <w:r w:rsidRPr="00BE28BD">
              <w:rPr>
                <w:noProof/>
              </w:rPr>
              <w:drawing>
                <wp:inline distT="0" distB="0" distL="0" distR="0" wp14:anchorId="37688D5F" wp14:editId="7438D0C2">
                  <wp:extent cx="1828800" cy="1028700"/>
                  <wp:effectExtent l="0" t="0" r="0" b="127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28800" cy="1028700"/>
                          </a:xfrm>
                          <a:prstGeom prst="rect">
                            <a:avLst/>
                          </a:prstGeom>
                        </pic:spPr>
                      </pic:pic>
                    </a:graphicData>
                  </a:graphic>
                </wp:inline>
              </w:drawing>
            </w:r>
          </w:p>
          <w:p w14:paraId="44C76271" w14:textId="77777777" w:rsidR="00CF67D3" w:rsidRPr="008C70AE" w:rsidRDefault="00CF67D3"/>
        </w:tc>
        <w:tc>
          <w:tcPr>
            <w:tcW w:w="8352" w:type="dxa"/>
          </w:tcPr>
          <w:p w14:paraId="3018703A" w14:textId="77777777" w:rsidR="00CF67D3" w:rsidRPr="00666947" w:rsidRDefault="00CF67D3" w:rsidP="00EF4205">
            <w:pPr>
              <w:spacing w:line="276" w:lineRule="auto"/>
              <w:rPr>
                <w:sz w:val="22"/>
                <w:szCs w:val="22"/>
              </w:rPr>
            </w:pPr>
          </w:p>
        </w:tc>
      </w:tr>
      <w:tr w:rsidR="004643F4" w14:paraId="56E20460" w14:textId="77777777" w:rsidTr="4AC017B6">
        <w:tc>
          <w:tcPr>
            <w:tcW w:w="1070" w:type="dxa"/>
          </w:tcPr>
          <w:p w14:paraId="030E266E" w14:textId="77777777" w:rsidR="00CF67D3" w:rsidRPr="00BE28BD" w:rsidRDefault="52FF1D7E">
            <w:r>
              <w:t>Slide 35</w:t>
            </w:r>
          </w:p>
        </w:tc>
        <w:tc>
          <w:tcPr>
            <w:tcW w:w="3456" w:type="dxa"/>
          </w:tcPr>
          <w:p w14:paraId="50E50E25" w14:textId="40183E9E" w:rsidR="00CF67D3" w:rsidRDefault="00CF67D3"/>
          <w:p w14:paraId="7E5C8685" w14:textId="020258BA" w:rsidR="00CF67D3" w:rsidRPr="008C70AE" w:rsidRDefault="00CD33D9">
            <w:r w:rsidRPr="00CD33D9">
              <w:rPr>
                <w:noProof/>
              </w:rPr>
              <w:drawing>
                <wp:inline distT="0" distB="0" distL="0" distR="0" wp14:anchorId="2F127F22" wp14:editId="38570DCB">
                  <wp:extent cx="1823582" cy="1025765"/>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839752" cy="1034861"/>
                          </a:xfrm>
                          <a:prstGeom prst="rect">
                            <a:avLst/>
                          </a:prstGeom>
                        </pic:spPr>
                      </pic:pic>
                    </a:graphicData>
                  </a:graphic>
                </wp:inline>
              </w:drawing>
            </w:r>
          </w:p>
        </w:tc>
        <w:tc>
          <w:tcPr>
            <w:tcW w:w="8352" w:type="dxa"/>
          </w:tcPr>
          <w:p w14:paraId="60C29A25" w14:textId="4B5A0513" w:rsidR="00E416F1" w:rsidRPr="00E416F1" w:rsidRDefault="52FF1D7E" w:rsidP="52FF1D7E">
            <w:pPr>
              <w:pStyle w:val="ListParagraph"/>
              <w:widowControl w:val="0"/>
              <w:numPr>
                <w:ilvl w:val="0"/>
                <w:numId w:val="22"/>
              </w:numPr>
              <w:autoSpaceDE w:val="0"/>
              <w:autoSpaceDN w:val="0"/>
              <w:adjustRightInd w:val="0"/>
              <w:spacing w:line="276" w:lineRule="auto"/>
              <w:rPr>
                <w:rFonts w:cs="Times"/>
                <w:color w:val="000000" w:themeColor="text1"/>
                <w:sz w:val="22"/>
                <w:szCs w:val="22"/>
              </w:rPr>
            </w:pPr>
            <w:r w:rsidRPr="52FF1D7E">
              <w:rPr>
                <w:rFonts w:cs="Calibri Light"/>
                <w:color w:val="000000" w:themeColor="text1"/>
                <w:sz w:val="22"/>
                <w:szCs w:val="22"/>
              </w:rPr>
              <w:t>to better respond to this question, we have organized it by sections of the law.</w:t>
            </w:r>
          </w:p>
          <w:p w14:paraId="39C3D9D5" w14:textId="26D8EF45" w:rsidR="00666947" w:rsidRPr="00E416F1" w:rsidRDefault="52FF1D7E" w:rsidP="52FF1D7E">
            <w:pPr>
              <w:pStyle w:val="ListParagraph"/>
              <w:widowControl w:val="0"/>
              <w:numPr>
                <w:ilvl w:val="0"/>
                <w:numId w:val="22"/>
              </w:numPr>
              <w:autoSpaceDE w:val="0"/>
              <w:autoSpaceDN w:val="0"/>
              <w:adjustRightInd w:val="0"/>
              <w:spacing w:line="276" w:lineRule="auto"/>
              <w:rPr>
                <w:rFonts w:cs="Times"/>
                <w:color w:val="000000" w:themeColor="text1"/>
                <w:sz w:val="22"/>
                <w:szCs w:val="22"/>
              </w:rPr>
            </w:pPr>
            <w:r w:rsidRPr="52FF1D7E">
              <w:rPr>
                <w:rFonts w:cs="Calibri Light"/>
                <w:color w:val="000000" w:themeColor="text1"/>
                <w:sz w:val="22"/>
                <w:szCs w:val="22"/>
              </w:rPr>
              <w:t>main point of section 1 is that</w:t>
            </w:r>
            <w:r w:rsidRPr="52FF1D7E">
              <w:rPr>
                <w:rFonts w:cs="Calibri"/>
                <w:color w:val="000000" w:themeColor="text1"/>
                <w:sz w:val="22"/>
                <w:szCs w:val="22"/>
              </w:rPr>
              <w:t xml:space="preserve"> all students with specific learning disabilities, receive the necessary and appropriate screenings, assessments, and special education services. T</w:t>
            </w:r>
            <w:r w:rsidRPr="52FF1D7E">
              <w:rPr>
                <w:rFonts w:cs="Calibri Light"/>
                <w:color w:val="000000" w:themeColor="text1"/>
                <w:sz w:val="22"/>
                <w:szCs w:val="22"/>
              </w:rPr>
              <w:t>he bulleted items address requirements of each section:</w:t>
            </w:r>
          </w:p>
          <w:p w14:paraId="6CF05706" w14:textId="1F086ED5" w:rsidR="00CD33D9" w:rsidRPr="00CD33D9" w:rsidRDefault="52FF1D7E" w:rsidP="52FF1D7E">
            <w:pPr>
              <w:pStyle w:val="ListParagraph"/>
              <w:widowControl w:val="0"/>
              <w:numPr>
                <w:ilvl w:val="1"/>
                <w:numId w:val="22"/>
              </w:numPr>
              <w:autoSpaceDE w:val="0"/>
              <w:autoSpaceDN w:val="0"/>
              <w:adjustRightInd w:val="0"/>
              <w:spacing w:line="276" w:lineRule="auto"/>
              <w:rPr>
                <w:rFonts w:ascii="Times" w:hAnsi="Times" w:cs="Times"/>
                <w:color w:val="000000" w:themeColor="text1"/>
              </w:rPr>
            </w:pPr>
            <w:r w:rsidRPr="52FF1D7E">
              <w:rPr>
                <w:rFonts w:cs="Helvetica"/>
                <w:color w:val="000000" w:themeColor="text1"/>
                <w:sz w:val="22"/>
                <w:szCs w:val="22"/>
              </w:rPr>
              <w:t>Ensure that all staff have knowledge of Child Find responsibilities to identify, locate and evaluate children with disabilities.</w:t>
            </w:r>
          </w:p>
          <w:p w14:paraId="5B477265" w14:textId="2AEB46D0" w:rsidR="00CD33D9" w:rsidRPr="00CD33D9" w:rsidRDefault="52FF1D7E" w:rsidP="52FF1D7E">
            <w:pPr>
              <w:pStyle w:val="ListParagraph"/>
              <w:widowControl w:val="0"/>
              <w:numPr>
                <w:ilvl w:val="1"/>
                <w:numId w:val="22"/>
              </w:numPr>
              <w:autoSpaceDE w:val="0"/>
              <w:autoSpaceDN w:val="0"/>
              <w:adjustRightInd w:val="0"/>
              <w:spacing w:line="276" w:lineRule="auto"/>
              <w:rPr>
                <w:rFonts w:cs="Times"/>
                <w:color w:val="000000" w:themeColor="text1"/>
                <w:sz w:val="22"/>
                <w:szCs w:val="22"/>
              </w:rPr>
            </w:pPr>
            <w:r w:rsidRPr="52FF1D7E">
              <w:rPr>
                <w:rFonts w:cs="Helvetica"/>
                <w:color w:val="000000" w:themeColor="text1"/>
                <w:sz w:val="22"/>
                <w:szCs w:val="22"/>
              </w:rPr>
              <w:t xml:space="preserve">Ensure all staff are aware of the definition of screening within NC Policies </w:t>
            </w:r>
          </w:p>
          <w:p w14:paraId="5EFC7836" w14:textId="4DA76C1C" w:rsidR="00CD33D9" w:rsidRPr="00CD33D9" w:rsidRDefault="52FF1D7E" w:rsidP="52FF1D7E">
            <w:pPr>
              <w:pStyle w:val="ListParagraph"/>
              <w:widowControl w:val="0"/>
              <w:numPr>
                <w:ilvl w:val="1"/>
                <w:numId w:val="22"/>
              </w:numPr>
              <w:autoSpaceDE w:val="0"/>
              <w:autoSpaceDN w:val="0"/>
              <w:adjustRightInd w:val="0"/>
              <w:spacing w:line="276" w:lineRule="auto"/>
              <w:rPr>
                <w:rFonts w:cs="Times"/>
                <w:color w:val="000000" w:themeColor="text1"/>
                <w:sz w:val="22"/>
                <w:szCs w:val="22"/>
              </w:rPr>
            </w:pPr>
            <w:r w:rsidRPr="52FF1D7E">
              <w:rPr>
                <w:rFonts w:cs="Helvetica"/>
                <w:color w:val="000000" w:themeColor="text1"/>
                <w:sz w:val="22"/>
                <w:szCs w:val="22"/>
              </w:rPr>
              <w:t>Utilize qualified professional to review diagnostic instruments used when determining eligibility</w:t>
            </w:r>
          </w:p>
          <w:p w14:paraId="169CA28F" w14:textId="121513DB" w:rsidR="00CD33D9" w:rsidRPr="00CD33D9" w:rsidRDefault="52FF1D7E" w:rsidP="52FF1D7E">
            <w:pPr>
              <w:pStyle w:val="ListParagraph"/>
              <w:widowControl w:val="0"/>
              <w:numPr>
                <w:ilvl w:val="1"/>
                <w:numId w:val="22"/>
              </w:numPr>
              <w:autoSpaceDE w:val="0"/>
              <w:autoSpaceDN w:val="0"/>
              <w:adjustRightInd w:val="0"/>
              <w:spacing w:line="276" w:lineRule="auto"/>
              <w:rPr>
                <w:rFonts w:cs="Times"/>
                <w:color w:val="000000" w:themeColor="text1"/>
                <w:sz w:val="22"/>
                <w:szCs w:val="22"/>
              </w:rPr>
            </w:pPr>
            <w:r w:rsidRPr="52FF1D7E">
              <w:rPr>
                <w:rFonts w:cs="Helvetica"/>
                <w:color w:val="000000" w:themeColor="text1"/>
                <w:sz w:val="22"/>
                <w:szCs w:val="22"/>
              </w:rPr>
              <w:t>Specially-designed instruction should be designed based on the unique needs and characteristics of students with dyslexia, dyscalculia and dysgraphia</w:t>
            </w:r>
          </w:p>
          <w:p w14:paraId="3EA18E6F" w14:textId="77777777" w:rsidR="00CF67D3" w:rsidRPr="00666947" w:rsidRDefault="00CF67D3" w:rsidP="00EF4205">
            <w:pPr>
              <w:widowControl w:val="0"/>
              <w:autoSpaceDE w:val="0"/>
              <w:autoSpaceDN w:val="0"/>
              <w:adjustRightInd w:val="0"/>
              <w:spacing w:line="276" w:lineRule="auto"/>
              <w:rPr>
                <w:sz w:val="22"/>
                <w:szCs w:val="22"/>
              </w:rPr>
            </w:pPr>
          </w:p>
        </w:tc>
      </w:tr>
      <w:tr w:rsidR="004643F4" w14:paraId="4B09871A" w14:textId="77777777" w:rsidTr="4AC017B6">
        <w:tc>
          <w:tcPr>
            <w:tcW w:w="1070" w:type="dxa"/>
          </w:tcPr>
          <w:p w14:paraId="37CEBEBA" w14:textId="5D772D78" w:rsidR="00CF67D3" w:rsidRPr="00BE28BD" w:rsidRDefault="52FF1D7E">
            <w:r>
              <w:lastRenderedPageBreak/>
              <w:t>Slide 36</w:t>
            </w:r>
          </w:p>
        </w:tc>
        <w:tc>
          <w:tcPr>
            <w:tcW w:w="3456" w:type="dxa"/>
          </w:tcPr>
          <w:p w14:paraId="1177B5F9" w14:textId="77777777" w:rsidR="00CF67D3" w:rsidRDefault="00CF67D3">
            <w:r w:rsidRPr="00BE28BD">
              <w:rPr>
                <w:noProof/>
              </w:rPr>
              <w:drawing>
                <wp:inline distT="0" distB="0" distL="0" distR="0" wp14:anchorId="0B3DD78D" wp14:editId="06750F23">
                  <wp:extent cx="1828800" cy="1028700"/>
                  <wp:effectExtent l="0" t="0" r="0" b="127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828800" cy="1028700"/>
                          </a:xfrm>
                          <a:prstGeom prst="rect">
                            <a:avLst/>
                          </a:prstGeom>
                        </pic:spPr>
                      </pic:pic>
                    </a:graphicData>
                  </a:graphic>
                </wp:inline>
              </w:drawing>
            </w:r>
          </w:p>
          <w:p w14:paraId="388CC11D" w14:textId="77777777" w:rsidR="00CF67D3" w:rsidRPr="008C70AE" w:rsidRDefault="00CF67D3"/>
        </w:tc>
        <w:tc>
          <w:tcPr>
            <w:tcW w:w="8352" w:type="dxa"/>
          </w:tcPr>
          <w:p w14:paraId="013CA33E" w14:textId="11DFEA50" w:rsidR="00666947" w:rsidRPr="006E2330" w:rsidRDefault="52FF1D7E" w:rsidP="52FF1D7E">
            <w:pPr>
              <w:pStyle w:val="ListParagraph"/>
              <w:widowControl w:val="0"/>
              <w:numPr>
                <w:ilvl w:val="0"/>
                <w:numId w:val="23"/>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main point of section 2 is to define dyslexia as a part of policy</w:t>
            </w:r>
          </w:p>
          <w:p w14:paraId="5C3F7513" w14:textId="05020046" w:rsidR="006E2330" w:rsidRPr="006E2330" w:rsidRDefault="52FF1D7E" w:rsidP="52FF1D7E">
            <w:pPr>
              <w:pStyle w:val="ListParagraph"/>
              <w:widowControl w:val="0"/>
              <w:numPr>
                <w:ilvl w:val="0"/>
                <w:numId w:val="23"/>
              </w:numPr>
              <w:autoSpaceDE w:val="0"/>
              <w:autoSpaceDN w:val="0"/>
              <w:adjustRightInd w:val="0"/>
              <w:spacing w:line="276" w:lineRule="auto"/>
              <w:rPr>
                <w:rFonts w:cs="Times"/>
                <w:color w:val="000000" w:themeColor="text1"/>
                <w:sz w:val="22"/>
                <w:szCs w:val="22"/>
              </w:rPr>
            </w:pPr>
            <w:r w:rsidRPr="52FF1D7E">
              <w:rPr>
                <w:rFonts w:cs="Gill Sans MT"/>
                <w:color w:val="000000" w:themeColor="text1"/>
                <w:sz w:val="22"/>
                <w:szCs w:val="22"/>
              </w:rPr>
              <w:t>Definition has been incorporated into the NC Policies</w:t>
            </w:r>
          </w:p>
          <w:p w14:paraId="097B4846" w14:textId="38D1201F" w:rsidR="006E2330" w:rsidRPr="006E2330" w:rsidRDefault="52FF1D7E" w:rsidP="52FF1D7E">
            <w:pPr>
              <w:pStyle w:val="ListParagraph"/>
              <w:widowControl w:val="0"/>
              <w:numPr>
                <w:ilvl w:val="0"/>
                <w:numId w:val="23"/>
              </w:numPr>
              <w:autoSpaceDE w:val="0"/>
              <w:autoSpaceDN w:val="0"/>
              <w:adjustRightInd w:val="0"/>
              <w:spacing w:line="276" w:lineRule="auto"/>
              <w:rPr>
                <w:rFonts w:cs="Times"/>
                <w:color w:val="000000" w:themeColor="text1"/>
                <w:sz w:val="22"/>
                <w:szCs w:val="22"/>
              </w:rPr>
            </w:pPr>
            <w:r w:rsidRPr="52FF1D7E">
              <w:rPr>
                <w:rFonts w:cs="Gill Sans MT"/>
                <w:color w:val="000000" w:themeColor="text1"/>
                <w:sz w:val="22"/>
                <w:szCs w:val="22"/>
              </w:rPr>
              <w:t>Ensure all staff are aware that we DO use the term dyslexia in the NC public schools.</w:t>
            </w:r>
          </w:p>
          <w:p w14:paraId="59906E42" w14:textId="49CA22EC" w:rsidR="006E2330" w:rsidRPr="006E2330" w:rsidRDefault="52FF1D7E" w:rsidP="52FF1D7E">
            <w:pPr>
              <w:pStyle w:val="ListParagraph"/>
              <w:widowControl w:val="0"/>
              <w:numPr>
                <w:ilvl w:val="0"/>
                <w:numId w:val="23"/>
              </w:numPr>
              <w:autoSpaceDE w:val="0"/>
              <w:autoSpaceDN w:val="0"/>
              <w:adjustRightInd w:val="0"/>
              <w:spacing w:line="276" w:lineRule="auto"/>
              <w:rPr>
                <w:rFonts w:cs="Times"/>
                <w:color w:val="000000" w:themeColor="text1"/>
                <w:sz w:val="22"/>
                <w:szCs w:val="22"/>
              </w:rPr>
            </w:pPr>
            <w:r w:rsidRPr="52FF1D7E">
              <w:rPr>
                <w:rFonts w:cs="Gill Sans MT"/>
                <w:color w:val="000000" w:themeColor="text1"/>
                <w:sz w:val="22"/>
                <w:szCs w:val="22"/>
              </w:rPr>
              <w:t>Ensure all staff are aware and knowledgeable of the definition and the characteristics and instructional implications of dyslexia</w:t>
            </w:r>
          </w:p>
          <w:p w14:paraId="14E2C919" w14:textId="6AAA9385" w:rsidR="006E2330" w:rsidRPr="006E2330" w:rsidRDefault="52FF1D7E" w:rsidP="52FF1D7E">
            <w:pPr>
              <w:pStyle w:val="ListParagraph"/>
              <w:widowControl w:val="0"/>
              <w:numPr>
                <w:ilvl w:val="0"/>
                <w:numId w:val="23"/>
              </w:numPr>
              <w:autoSpaceDE w:val="0"/>
              <w:autoSpaceDN w:val="0"/>
              <w:adjustRightInd w:val="0"/>
              <w:spacing w:line="276" w:lineRule="auto"/>
              <w:rPr>
                <w:rFonts w:cs="Times"/>
                <w:color w:val="000000" w:themeColor="text1"/>
                <w:sz w:val="22"/>
                <w:szCs w:val="22"/>
              </w:rPr>
            </w:pPr>
            <w:r w:rsidRPr="52FF1D7E">
              <w:rPr>
                <w:rFonts w:cs="Gill Sans MT"/>
                <w:color w:val="000000" w:themeColor="text1"/>
                <w:sz w:val="22"/>
                <w:szCs w:val="22"/>
              </w:rPr>
              <w:t>Suggestions for documentation:</w:t>
            </w:r>
          </w:p>
          <w:p w14:paraId="5B4985DE" w14:textId="2CEA42B7" w:rsidR="006E2330" w:rsidRPr="006E2330" w:rsidRDefault="52FF1D7E" w:rsidP="52FF1D7E">
            <w:pPr>
              <w:pStyle w:val="ListParagraph"/>
              <w:widowControl w:val="0"/>
              <w:numPr>
                <w:ilvl w:val="1"/>
                <w:numId w:val="23"/>
              </w:numPr>
              <w:autoSpaceDE w:val="0"/>
              <w:autoSpaceDN w:val="0"/>
              <w:adjustRightInd w:val="0"/>
              <w:spacing w:line="276" w:lineRule="auto"/>
              <w:rPr>
                <w:rFonts w:cs="Times"/>
                <w:color w:val="000000" w:themeColor="text1"/>
                <w:sz w:val="22"/>
                <w:szCs w:val="22"/>
              </w:rPr>
            </w:pPr>
            <w:r w:rsidRPr="52FF1D7E">
              <w:rPr>
                <w:rFonts w:cs="Gill Sans MT"/>
                <w:color w:val="000000" w:themeColor="text1"/>
                <w:sz w:val="22"/>
                <w:szCs w:val="22"/>
              </w:rPr>
              <w:t>system-wide communication</w:t>
            </w:r>
          </w:p>
          <w:p w14:paraId="65D10834" w14:textId="13272C51" w:rsidR="00666947" w:rsidRPr="006E2330" w:rsidRDefault="52FF1D7E" w:rsidP="52FF1D7E">
            <w:pPr>
              <w:pStyle w:val="ListParagraph"/>
              <w:widowControl w:val="0"/>
              <w:numPr>
                <w:ilvl w:val="1"/>
                <w:numId w:val="23"/>
              </w:numPr>
              <w:autoSpaceDE w:val="0"/>
              <w:autoSpaceDN w:val="0"/>
              <w:adjustRightInd w:val="0"/>
              <w:spacing w:line="276" w:lineRule="auto"/>
              <w:rPr>
                <w:rFonts w:cs="Times"/>
                <w:color w:val="000000" w:themeColor="text1"/>
                <w:sz w:val="22"/>
                <w:szCs w:val="22"/>
              </w:rPr>
            </w:pPr>
            <w:r w:rsidRPr="52FF1D7E">
              <w:rPr>
                <w:rFonts w:cs="Gill Sans MT"/>
                <w:color w:val="000000" w:themeColor="text1"/>
                <w:sz w:val="22"/>
                <w:szCs w:val="22"/>
              </w:rPr>
              <w:t>training attendance rosters, resources posted on website</w:t>
            </w:r>
          </w:p>
          <w:p w14:paraId="1F34AF6C" w14:textId="70623E6A" w:rsidR="00666947" w:rsidRPr="006E2330" w:rsidRDefault="52FF1D7E" w:rsidP="52FF1D7E">
            <w:pPr>
              <w:pStyle w:val="ListParagraph"/>
              <w:widowControl w:val="0"/>
              <w:numPr>
                <w:ilvl w:val="0"/>
                <w:numId w:val="23"/>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EVERYONE is responsible for providing appropriate instruction whether a student with dyslexia is an identified student or not. So, all staff need to be aware of the first 3 bulleted items on this slide.</w:t>
            </w:r>
          </w:p>
          <w:p w14:paraId="0AD93D18" w14:textId="77777777" w:rsidR="00CF67D3" w:rsidRPr="00666947" w:rsidRDefault="00CF67D3" w:rsidP="00EF4205">
            <w:pPr>
              <w:spacing w:line="276" w:lineRule="auto"/>
              <w:rPr>
                <w:sz w:val="22"/>
                <w:szCs w:val="22"/>
              </w:rPr>
            </w:pPr>
          </w:p>
        </w:tc>
      </w:tr>
      <w:tr w:rsidR="004643F4" w14:paraId="38A2A2EF" w14:textId="77777777" w:rsidTr="4AC017B6">
        <w:tc>
          <w:tcPr>
            <w:tcW w:w="1070" w:type="dxa"/>
          </w:tcPr>
          <w:p w14:paraId="4790D1ED" w14:textId="0B76CD8F" w:rsidR="00CF67D3" w:rsidRPr="00BE28BD" w:rsidRDefault="52FF1D7E">
            <w:r>
              <w:t>Slide 37</w:t>
            </w:r>
          </w:p>
        </w:tc>
        <w:tc>
          <w:tcPr>
            <w:tcW w:w="3456" w:type="dxa"/>
          </w:tcPr>
          <w:p w14:paraId="19D25701" w14:textId="77777777" w:rsidR="00CF67D3" w:rsidRDefault="00CF67D3">
            <w:r w:rsidRPr="00BE28BD">
              <w:rPr>
                <w:noProof/>
              </w:rPr>
              <w:drawing>
                <wp:inline distT="0" distB="0" distL="0" distR="0" wp14:anchorId="603277B3" wp14:editId="5238163A">
                  <wp:extent cx="1828800" cy="1028700"/>
                  <wp:effectExtent l="0" t="0" r="0" b="127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828800" cy="1028700"/>
                          </a:xfrm>
                          <a:prstGeom prst="rect">
                            <a:avLst/>
                          </a:prstGeom>
                        </pic:spPr>
                      </pic:pic>
                    </a:graphicData>
                  </a:graphic>
                </wp:inline>
              </w:drawing>
            </w:r>
          </w:p>
          <w:p w14:paraId="3560760A" w14:textId="77777777" w:rsidR="00CF67D3" w:rsidRPr="008C70AE" w:rsidRDefault="00CF67D3"/>
        </w:tc>
        <w:tc>
          <w:tcPr>
            <w:tcW w:w="8352" w:type="dxa"/>
          </w:tcPr>
          <w:p w14:paraId="32872D25" w14:textId="17CE1DEE" w:rsidR="00666947" w:rsidRPr="006E2330" w:rsidRDefault="52FF1D7E" w:rsidP="52FF1D7E">
            <w:pPr>
              <w:pStyle w:val="ListParagraph"/>
              <w:widowControl w:val="0"/>
              <w:numPr>
                <w:ilvl w:val="0"/>
                <w:numId w:val="25"/>
              </w:numPr>
              <w:autoSpaceDE w:val="0"/>
              <w:autoSpaceDN w:val="0"/>
              <w:adjustRightInd w:val="0"/>
              <w:spacing w:line="276" w:lineRule="auto"/>
              <w:jc w:val="both"/>
              <w:rPr>
                <w:rFonts w:cs="Times"/>
                <w:color w:val="000000" w:themeColor="text1"/>
                <w:sz w:val="22"/>
                <w:szCs w:val="22"/>
              </w:rPr>
            </w:pPr>
            <w:r w:rsidRPr="52FF1D7E">
              <w:rPr>
                <w:rFonts w:cs="Calibri"/>
                <w:color w:val="000000" w:themeColor="text1"/>
                <w:sz w:val="22"/>
                <w:szCs w:val="22"/>
              </w:rPr>
              <w:t xml:space="preserve">main points of section 3 is to ensure </w:t>
            </w:r>
            <w:r w:rsidRPr="52FF1D7E">
              <w:rPr>
                <w:rFonts w:cs="Calibri"/>
                <w:b/>
                <w:bCs/>
                <w:color w:val="000000" w:themeColor="text1"/>
                <w:sz w:val="22"/>
                <w:szCs w:val="22"/>
              </w:rPr>
              <w:t xml:space="preserve">ongoing PD opportunities </w:t>
            </w:r>
            <w:r w:rsidRPr="52FF1D7E">
              <w:rPr>
                <w:rFonts w:cs="Calibri"/>
                <w:color w:val="000000" w:themeColor="text1"/>
                <w:sz w:val="22"/>
                <w:szCs w:val="22"/>
              </w:rPr>
              <w:t>on identification &amp; intervention.</w:t>
            </w:r>
          </w:p>
          <w:p w14:paraId="7C14D215" w14:textId="0D121800" w:rsidR="006E2330" w:rsidRPr="006E2330" w:rsidRDefault="52FF1D7E" w:rsidP="52FF1D7E">
            <w:pPr>
              <w:pStyle w:val="ListParagraph"/>
              <w:widowControl w:val="0"/>
              <w:numPr>
                <w:ilvl w:val="0"/>
                <w:numId w:val="25"/>
              </w:numPr>
              <w:autoSpaceDE w:val="0"/>
              <w:autoSpaceDN w:val="0"/>
              <w:adjustRightInd w:val="0"/>
              <w:spacing w:line="276" w:lineRule="auto"/>
              <w:rPr>
                <w:rFonts w:cs="Times"/>
                <w:color w:val="000000" w:themeColor="text1"/>
                <w:sz w:val="22"/>
                <w:szCs w:val="22"/>
              </w:rPr>
            </w:pPr>
            <w:r w:rsidRPr="52FF1D7E">
              <w:rPr>
                <w:rFonts w:cs="Gill Sans MT"/>
                <w:color w:val="000000" w:themeColor="text1"/>
                <w:sz w:val="22"/>
                <w:szCs w:val="22"/>
              </w:rPr>
              <w:t>State Board of Education/NCDPI EC Division provides professional development on the identification of and intervention strategies for dyslexia, dysgraphia and other specific learning disabilities; professional development on dyscalculia is in process</w:t>
            </w:r>
          </w:p>
          <w:p w14:paraId="468C117B" w14:textId="77777777" w:rsidR="006E2330" w:rsidRPr="006E2330" w:rsidRDefault="52FF1D7E" w:rsidP="52FF1D7E">
            <w:pPr>
              <w:pStyle w:val="ListParagraph"/>
              <w:widowControl w:val="0"/>
              <w:numPr>
                <w:ilvl w:val="0"/>
                <w:numId w:val="25"/>
              </w:numPr>
              <w:autoSpaceDE w:val="0"/>
              <w:autoSpaceDN w:val="0"/>
              <w:adjustRightInd w:val="0"/>
              <w:spacing w:line="276" w:lineRule="auto"/>
              <w:rPr>
                <w:rFonts w:cs="Times"/>
                <w:color w:val="000000" w:themeColor="text1"/>
                <w:sz w:val="22"/>
                <w:szCs w:val="22"/>
              </w:rPr>
            </w:pPr>
            <w:r w:rsidRPr="52FF1D7E">
              <w:rPr>
                <w:rFonts w:cs="Gill Sans MT"/>
                <w:color w:val="000000" w:themeColor="text1"/>
                <w:sz w:val="22"/>
                <w:szCs w:val="22"/>
              </w:rPr>
              <w:t>Recommendations:</w:t>
            </w:r>
          </w:p>
          <w:p w14:paraId="45CC590E" w14:textId="6EF84C17" w:rsidR="006E2330" w:rsidRPr="006E2330" w:rsidRDefault="52FF1D7E" w:rsidP="52FF1D7E">
            <w:pPr>
              <w:pStyle w:val="ListParagraph"/>
              <w:widowControl w:val="0"/>
              <w:numPr>
                <w:ilvl w:val="1"/>
                <w:numId w:val="25"/>
              </w:numPr>
              <w:autoSpaceDE w:val="0"/>
              <w:autoSpaceDN w:val="0"/>
              <w:adjustRightInd w:val="0"/>
              <w:spacing w:line="276" w:lineRule="auto"/>
              <w:rPr>
                <w:rFonts w:cs="Times"/>
                <w:color w:val="000000" w:themeColor="text1"/>
                <w:sz w:val="22"/>
                <w:szCs w:val="22"/>
              </w:rPr>
            </w:pPr>
            <w:r w:rsidRPr="52FF1D7E">
              <w:rPr>
                <w:rFonts w:cs="Gill Sans MT"/>
                <w:color w:val="000000" w:themeColor="text1"/>
                <w:sz w:val="22"/>
                <w:szCs w:val="22"/>
              </w:rPr>
              <w:t>ensure staff have opportunities to attend professional development offered through the EC Division and through local capacity within LEAs and regionally based</w:t>
            </w:r>
          </w:p>
          <w:p w14:paraId="4B813771" w14:textId="5AC49BC3" w:rsidR="006E2330" w:rsidRPr="006E2330" w:rsidRDefault="52FF1D7E" w:rsidP="52FF1D7E">
            <w:pPr>
              <w:pStyle w:val="ListParagraph"/>
              <w:widowControl w:val="0"/>
              <w:numPr>
                <w:ilvl w:val="1"/>
                <w:numId w:val="25"/>
              </w:numPr>
              <w:autoSpaceDE w:val="0"/>
              <w:autoSpaceDN w:val="0"/>
              <w:adjustRightInd w:val="0"/>
              <w:spacing w:line="276" w:lineRule="auto"/>
              <w:rPr>
                <w:rFonts w:cs="Times"/>
                <w:color w:val="000000" w:themeColor="text1"/>
                <w:sz w:val="22"/>
                <w:szCs w:val="22"/>
              </w:rPr>
            </w:pPr>
            <w:r w:rsidRPr="52FF1D7E">
              <w:rPr>
                <w:rFonts w:cs="Gill Sans MT"/>
                <w:color w:val="000000" w:themeColor="text1"/>
                <w:sz w:val="22"/>
                <w:szCs w:val="22"/>
              </w:rPr>
              <w:t>As an LEA, best practice would be to provide opportunities for teachers and other school personnel involved in screening and evaluation to attend professional development such as:</w:t>
            </w:r>
          </w:p>
          <w:p w14:paraId="3738BD39" w14:textId="43987CF4" w:rsidR="006E2330" w:rsidRPr="006E2330" w:rsidRDefault="52FF1D7E" w:rsidP="52FF1D7E">
            <w:pPr>
              <w:pStyle w:val="ListParagraph"/>
              <w:widowControl w:val="0"/>
              <w:numPr>
                <w:ilvl w:val="2"/>
                <w:numId w:val="25"/>
              </w:numPr>
              <w:autoSpaceDE w:val="0"/>
              <w:autoSpaceDN w:val="0"/>
              <w:adjustRightInd w:val="0"/>
              <w:spacing w:line="276" w:lineRule="auto"/>
              <w:rPr>
                <w:rFonts w:cs="Times"/>
                <w:color w:val="000000" w:themeColor="text1"/>
                <w:sz w:val="22"/>
                <w:szCs w:val="22"/>
              </w:rPr>
            </w:pPr>
            <w:r w:rsidRPr="52FF1D7E">
              <w:rPr>
                <w:rFonts w:cs="Gill Sans MT"/>
                <w:color w:val="000000" w:themeColor="text1"/>
                <w:sz w:val="22"/>
                <w:szCs w:val="22"/>
              </w:rPr>
              <w:t xml:space="preserve">Reading Research to Classroom Practice, </w:t>
            </w:r>
          </w:p>
          <w:p w14:paraId="16BFFF03" w14:textId="4BFE72CF" w:rsidR="006E2330" w:rsidRPr="006E2330" w:rsidRDefault="52FF1D7E" w:rsidP="52FF1D7E">
            <w:pPr>
              <w:pStyle w:val="ListParagraph"/>
              <w:widowControl w:val="0"/>
              <w:numPr>
                <w:ilvl w:val="2"/>
                <w:numId w:val="25"/>
              </w:numPr>
              <w:autoSpaceDE w:val="0"/>
              <w:autoSpaceDN w:val="0"/>
              <w:adjustRightInd w:val="0"/>
              <w:spacing w:line="276" w:lineRule="auto"/>
              <w:rPr>
                <w:rFonts w:cs="Times"/>
                <w:color w:val="000000" w:themeColor="text1"/>
                <w:sz w:val="22"/>
                <w:szCs w:val="22"/>
              </w:rPr>
            </w:pPr>
            <w:r w:rsidRPr="52FF1D7E">
              <w:rPr>
                <w:rFonts w:cs="Gill Sans MT"/>
                <w:color w:val="000000" w:themeColor="text1"/>
                <w:sz w:val="22"/>
                <w:szCs w:val="22"/>
              </w:rPr>
              <w:t xml:space="preserve">A Deep Dive into Dyslexia: The Science of Reading and Expert Teaching, </w:t>
            </w:r>
          </w:p>
          <w:p w14:paraId="5EA6DE9E" w14:textId="7B8744B0" w:rsidR="006E2330" w:rsidRPr="006E2330" w:rsidRDefault="52FF1D7E" w:rsidP="52FF1D7E">
            <w:pPr>
              <w:pStyle w:val="ListParagraph"/>
              <w:widowControl w:val="0"/>
              <w:numPr>
                <w:ilvl w:val="2"/>
                <w:numId w:val="25"/>
              </w:numPr>
              <w:autoSpaceDE w:val="0"/>
              <w:autoSpaceDN w:val="0"/>
              <w:adjustRightInd w:val="0"/>
              <w:spacing w:line="276" w:lineRule="auto"/>
              <w:rPr>
                <w:rFonts w:cs="Times"/>
                <w:color w:val="000000" w:themeColor="text1"/>
                <w:sz w:val="22"/>
                <w:szCs w:val="22"/>
              </w:rPr>
            </w:pPr>
            <w:r w:rsidRPr="52FF1D7E">
              <w:rPr>
                <w:rFonts w:cs="Gill Sans MT"/>
                <w:color w:val="000000" w:themeColor="text1"/>
                <w:sz w:val="22"/>
                <w:szCs w:val="22"/>
              </w:rPr>
              <w:t xml:space="preserve">What Works for Teaching Students with Word Level Written </w:t>
            </w:r>
            <w:r w:rsidRPr="52FF1D7E">
              <w:rPr>
                <w:rFonts w:cs="Gill Sans MT"/>
                <w:color w:val="000000" w:themeColor="text1"/>
                <w:sz w:val="22"/>
                <w:szCs w:val="22"/>
              </w:rPr>
              <w:lastRenderedPageBreak/>
              <w:t xml:space="preserve">Expression Difficulties, and </w:t>
            </w:r>
          </w:p>
          <w:p w14:paraId="42B74D02" w14:textId="0F631DCF" w:rsidR="006E2330" w:rsidRPr="006E2330" w:rsidRDefault="52FF1D7E" w:rsidP="52FF1D7E">
            <w:pPr>
              <w:pStyle w:val="ListParagraph"/>
              <w:widowControl w:val="0"/>
              <w:numPr>
                <w:ilvl w:val="2"/>
                <w:numId w:val="25"/>
              </w:numPr>
              <w:autoSpaceDE w:val="0"/>
              <w:autoSpaceDN w:val="0"/>
              <w:adjustRightInd w:val="0"/>
              <w:spacing w:line="276" w:lineRule="auto"/>
              <w:rPr>
                <w:rFonts w:cs="Times"/>
                <w:color w:val="000000" w:themeColor="text1"/>
                <w:sz w:val="22"/>
                <w:szCs w:val="22"/>
              </w:rPr>
            </w:pPr>
            <w:r w:rsidRPr="52FF1D7E">
              <w:rPr>
                <w:rFonts w:cs="Gill Sans MT"/>
                <w:color w:val="000000" w:themeColor="text1"/>
                <w:sz w:val="22"/>
                <w:szCs w:val="22"/>
              </w:rPr>
              <w:t>Foundations of Math</w:t>
            </w:r>
          </w:p>
          <w:p w14:paraId="73CAAEB1" w14:textId="5C5928AE" w:rsidR="00666947" w:rsidRPr="006E2330" w:rsidRDefault="52FF1D7E" w:rsidP="52FF1D7E">
            <w:pPr>
              <w:pStyle w:val="ListParagraph"/>
              <w:widowControl w:val="0"/>
              <w:numPr>
                <w:ilvl w:val="0"/>
                <w:numId w:val="25"/>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These courses are provided regionally across every region and within many LEAs who have developed instructors for these professional development courses through local capacity. </w:t>
            </w:r>
          </w:p>
          <w:p w14:paraId="509D2BB5" w14:textId="77777777" w:rsidR="00CF67D3" w:rsidRPr="00666947" w:rsidRDefault="00CF67D3" w:rsidP="00EF4205">
            <w:pPr>
              <w:spacing w:line="276" w:lineRule="auto"/>
              <w:rPr>
                <w:sz w:val="22"/>
                <w:szCs w:val="22"/>
              </w:rPr>
            </w:pPr>
          </w:p>
        </w:tc>
      </w:tr>
      <w:tr w:rsidR="004643F4" w14:paraId="0A62EAD1" w14:textId="77777777" w:rsidTr="4AC017B6">
        <w:tc>
          <w:tcPr>
            <w:tcW w:w="1070" w:type="dxa"/>
          </w:tcPr>
          <w:p w14:paraId="52517F0B" w14:textId="068770BB" w:rsidR="00CF67D3" w:rsidRPr="0087624D" w:rsidRDefault="52FF1D7E">
            <w:r>
              <w:lastRenderedPageBreak/>
              <w:t>Slide 38</w:t>
            </w:r>
          </w:p>
        </w:tc>
        <w:tc>
          <w:tcPr>
            <w:tcW w:w="3456" w:type="dxa"/>
          </w:tcPr>
          <w:p w14:paraId="1B83A922" w14:textId="77777777" w:rsidR="00CF67D3" w:rsidRDefault="00CF67D3">
            <w:r w:rsidRPr="0087624D">
              <w:rPr>
                <w:noProof/>
              </w:rPr>
              <w:drawing>
                <wp:inline distT="0" distB="0" distL="0" distR="0" wp14:anchorId="6E88C218" wp14:editId="227E54C0">
                  <wp:extent cx="1828800" cy="1028700"/>
                  <wp:effectExtent l="0" t="0" r="0" b="127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828800" cy="1028700"/>
                          </a:xfrm>
                          <a:prstGeom prst="rect">
                            <a:avLst/>
                          </a:prstGeom>
                        </pic:spPr>
                      </pic:pic>
                    </a:graphicData>
                  </a:graphic>
                </wp:inline>
              </w:drawing>
            </w:r>
          </w:p>
          <w:p w14:paraId="24FC328D" w14:textId="77777777" w:rsidR="00CF67D3" w:rsidRPr="008C70AE" w:rsidRDefault="00CF67D3"/>
        </w:tc>
        <w:tc>
          <w:tcPr>
            <w:tcW w:w="8352" w:type="dxa"/>
          </w:tcPr>
          <w:p w14:paraId="64ED47C1" w14:textId="027B97E8" w:rsidR="00666947" w:rsidRPr="006E2330" w:rsidRDefault="52FF1D7E" w:rsidP="52FF1D7E">
            <w:pPr>
              <w:pStyle w:val="ListParagraph"/>
              <w:widowControl w:val="0"/>
              <w:numPr>
                <w:ilvl w:val="0"/>
                <w:numId w:val="26"/>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the main point of the second point of section 3 is to provide </w:t>
            </w:r>
            <w:r w:rsidRPr="52FF1D7E">
              <w:rPr>
                <w:rFonts w:cs="Calibri"/>
                <w:b/>
                <w:bCs/>
                <w:color w:val="000000" w:themeColor="text1"/>
                <w:sz w:val="22"/>
                <w:szCs w:val="22"/>
              </w:rPr>
              <w:t>electronic information for parents, educators &amp; others.</w:t>
            </w:r>
          </w:p>
          <w:p w14:paraId="2F64DDC9" w14:textId="6033F6A0" w:rsidR="006E2330" w:rsidRPr="006E2330" w:rsidRDefault="52FF1D7E" w:rsidP="52FF1D7E">
            <w:pPr>
              <w:pStyle w:val="ListParagraph"/>
              <w:widowControl w:val="0"/>
              <w:numPr>
                <w:ilvl w:val="0"/>
                <w:numId w:val="26"/>
              </w:numPr>
              <w:autoSpaceDE w:val="0"/>
              <w:autoSpaceDN w:val="0"/>
              <w:adjustRightInd w:val="0"/>
              <w:spacing w:line="276" w:lineRule="auto"/>
              <w:rPr>
                <w:rFonts w:cs="Times"/>
                <w:color w:val="000000" w:themeColor="text1"/>
                <w:sz w:val="22"/>
                <w:szCs w:val="22"/>
              </w:rPr>
            </w:pPr>
            <w:r w:rsidRPr="52FF1D7E">
              <w:rPr>
                <w:rFonts w:cs="Gill Sans MT"/>
                <w:color w:val="000000" w:themeColor="text1"/>
                <w:sz w:val="22"/>
                <w:szCs w:val="22"/>
              </w:rPr>
              <w:t>NCDPI Exceptional Children Division has a link to resources for dyslexia and dyscalculia on their website</w:t>
            </w:r>
          </w:p>
          <w:p w14:paraId="5E2F03D3" w14:textId="77777777" w:rsidR="006E2330" w:rsidRPr="006E2330" w:rsidRDefault="52FF1D7E" w:rsidP="52FF1D7E">
            <w:pPr>
              <w:pStyle w:val="ListParagraph"/>
              <w:widowControl w:val="0"/>
              <w:numPr>
                <w:ilvl w:val="0"/>
                <w:numId w:val="26"/>
              </w:numPr>
              <w:autoSpaceDE w:val="0"/>
              <w:autoSpaceDN w:val="0"/>
              <w:adjustRightInd w:val="0"/>
              <w:spacing w:line="276" w:lineRule="auto"/>
              <w:rPr>
                <w:rFonts w:cs="Times"/>
                <w:color w:val="000000" w:themeColor="text1"/>
                <w:sz w:val="22"/>
                <w:szCs w:val="22"/>
              </w:rPr>
            </w:pPr>
            <w:r w:rsidRPr="52FF1D7E">
              <w:rPr>
                <w:rFonts w:cs="Gill Sans MT"/>
                <w:color w:val="000000" w:themeColor="text1"/>
                <w:sz w:val="22"/>
                <w:szCs w:val="22"/>
              </w:rPr>
              <w:t>Recommendations:</w:t>
            </w:r>
          </w:p>
          <w:p w14:paraId="4B9D405C" w14:textId="7A31BB31" w:rsidR="006E2330" w:rsidRPr="006E2330" w:rsidRDefault="52FF1D7E" w:rsidP="52FF1D7E">
            <w:pPr>
              <w:pStyle w:val="ListParagraph"/>
              <w:widowControl w:val="0"/>
              <w:numPr>
                <w:ilvl w:val="1"/>
                <w:numId w:val="26"/>
              </w:numPr>
              <w:autoSpaceDE w:val="0"/>
              <w:autoSpaceDN w:val="0"/>
              <w:adjustRightInd w:val="0"/>
              <w:spacing w:line="276" w:lineRule="auto"/>
              <w:rPr>
                <w:rFonts w:cs="Times"/>
                <w:color w:val="000000" w:themeColor="text1"/>
                <w:sz w:val="22"/>
                <w:szCs w:val="22"/>
              </w:rPr>
            </w:pPr>
            <w:r w:rsidRPr="52FF1D7E">
              <w:rPr>
                <w:rFonts w:cs="Gill Sans MT"/>
                <w:color w:val="000000" w:themeColor="text1"/>
                <w:sz w:val="22"/>
                <w:szCs w:val="22"/>
              </w:rPr>
              <w:t xml:space="preserve">ensure all staff are aware of and have access to the Dyslexia Topic Brief.  Link this document on your school system website. </w:t>
            </w:r>
          </w:p>
          <w:p w14:paraId="7A2C23B6" w14:textId="2D1DB290" w:rsidR="00CF67D3" w:rsidRPr="006E2330" w:rsidRDefault="52FF1D7E" w:rsidP="52FF1D7E">
            <w:pPr>
              <w:pStyle w:val="ListParagraph"/>
              <w:widowControl w:val="0"/>
              <w:numPr>
                <w:ilvl w:val="1"/>
                <w:numId w:val="26"/>
              </w:numPr>
              <w:autoSpaceDE w:val="0"/>
              <w:autoSpaceDN w:val="0"/>
              <w:adjustRightInd w:val="0"/>
              <w:spacing w:line="276" w:lineRule="auto"/>
              <w:rPr>
                <w:rFonts w:cs="Times"/>
                <w:color w:val="000000" w:themeColor="text1"/>
                <w:sz w:val="22"/>
                <w:szCs w:val="22"/>
              </w:rPr>
            </w:pPr>
            <w:r w:rsidRPr="52FF1D7E">
              <w:rPr>
                <w:rFonts w:cs="Gill Sans MT"/>
                <w:color w:val="000000" w:themeColor="text1"/>
                <w:sz w:val="22"/>
                <w:szCs w:val="22"/>
              </w:rPr>
              <w:t>ensure all staff are aware of the October 23, 2015 Dear Colleague letter from OSEP</w:t>
            </w:r>
          </w:p>
        </w:tc>
      </w:tr>
      <w:tr w:rsidR="004643F4" w14:paraId="521A2407" w14:textId="77777777" w:rsidTr="4AC017B6">
        <w:trPr>
          <w:trHeight w:val="2105"/>
        </w:trPr>
        <w:tc>
          <w:tcPr>
            <w:tcW w:w="1070" w:type="dxa"/>
          </w:tcPr>
          <w:p w14:paraId="0FD70468" w14:textId="4CB29602" w:rsidR="00CF67D3" w:rsidRPr="00CF67D3" w:rsidRDefault="52FF1D7E">
            <w:r>
              <w:t>Slide 39</w:t>
            </w:r>
          </w:p>
        </w:tc>
        <w:tc>
          <w:tcPr>
            <w:tcW w:w="3456" w:type="dxa"/>
          </w:tcPr>
          <w:p w14:paraId="46D0D143" w14:textId="77777777" w:rsidR="00CF67D3" w:rsidRDefault="00CF67D3">
            <w:r w:rsidRPr="00CF67D3">
              <w:rPr>
                <w:noProof/>
              </w:rPr>
              <w:drawing>
                <wp:inline distT="0" distB="0" distL="0" distR="0" wp14:anchorId="634551CB" wp14:editId="07EFC61B">
                  <wp:extent cx="1828800" cy="1028702"/>
                  <wp:effectExtent l="0" t="0" r="0" b="127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828800" cy="1028702"/>
                          </a:xfrm>
                          <a:prstGeom prst="rect">
                            <a:avLst/>
                          </a:prstGeom>
                        </pic:spPr>
                      </pic:pic>
                    </a:graphicData>
                  </a:graphic>
                </wp:inline>
              </w:drawing>
            </w:r>
          </w:p>
          <w:p w14:paraId="53F8DC1E" w14:textId="77777777" w:rsidR="00CF67D3" w:rsidRPr="008C70AE" w:rsidRDefault="00CF67D3"/>
        </w:tc>
        <w:tc>
          <w:tcPr>
            <w:tcW w:w="8352" w:type="dxa"/>
          </w:tcPr>
          <w:p w14:paraId="11488C6B" w14:textId="77777777" w:rsidR="00666947" w:rsidRPr="006E2330" w:rsidRDefault="52FF1D7E" w:rsidP="52FF1D7E">
            <w:pPr>
              <w:pStyle w:val="ListParagraph"/>
              <w:widowControl w:val="0"/>
              <w:numPr>
                <w:ilvl w:val="0"/>
                <w:numId w:val="27"/>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The main point of section 4 is that local boards of education review </w:t>
            </w:r>
            <w:r w:rsidRPr="52FF1D7E">
              <w:rPr>
                <w:rFonts w:cs="Calibri"/>
                <w:b/>
                <w:bCs/>
                <w:color w:val="000000" w:themeColor="text1"/>
                <w:sz w:val="22"/>
                <w:szCs w:val="22"/>
              </w:rPr>
              <w:t xml:space="preserve">diagnostic tools and screening instruments </w:t>
            </w:r>
            <w:r w:rsidRPr="52FF1D7E">
              <w:rPr>
                <w:rFonts w:cs="Calibri"/>
                <w:color w:val="000000" w:themeColor="text1"/>
                <w:sz w:val="22"/>
                <w:szCs w:val="22"/>
              </w:rPr>
              <w:t>to determine if additional tools are needed.</w:t>
            </w:r>
          </w:p>
          <w:p w14:paraId="242BF75D" w14:textId="77777777" w:rsidR="006E2330" w:rsidRPr="006E2330" w:rsidRDefault="52FF1D7E" w:rsidP="52FF1D7E">
            <w:pPr>
              <w:pStyle w:val="ListParagraph"/>
              <w:widowControl w:val="0"/>
              <w:numPr>
                <w:ilvl w:val="0"/>
                <w:numId w:val="27"/>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Recommendations:</w:t>
            </w:r>
          </w:p>
          <w:p w14:paraId="540DF022" w14:textId="58042425" w:rsidR="006E2330" w:rsidRPr="006E2330" w:rsidRDefault="52FF1D7E" w:rsidP="52FF1D7E">
            <w:pPr>
              <w:pStyle w:val="ListParagraph"/>
              <w:widowControl w:val="0"/>
              <w:numPr>
                <w:ilvl w:val="0"/>
                <w:numId w:val="28"/>
              </w:numPr>
              <w:autoSpaceDE w:val="0"/>
              <w:autoSpaceDN w:val="0"/>
              <w:adjustRightInd w:val="0"/>
              <w:spacing w:line="276" w:lineRule="auto"/>
              <w:ind w:left="1080"/>
              <w:rPr>
                <w:rFonts w:cs="Times"/>
                <w:color w:val="000000" w:themeColor="text1"/>
                <w:sz w:val="22"/>
                <w:szCs w:val="22"/>
              </w:rPr>
            </w:pPr>
            <w:r w:rsidRPr="52FF1D7E">
              <w:rPr>
                <w:rFonts w:cs="Gill Sans MT"/>
                <w:color w:val="000000" w:themeColor="text1"/>
                <w:sz w:val="22"/>
                <w:szCs w:val="22"/>
              </w:rPr>
              <w:t>Ensure that local boards of education have knowledge of Child Find responsibilities to identify, locate and evaluate children with disabilities.</w:t>
            </w:r>
          </w:p>
          <w:p w14:paraId="35C21860" w14:textId="40CBC2E6" w:rsidR="006E2330" w:rsidRPr="006E2330" w:rsidRDefault="52FF1D7E" w:rsidP="52FF1D7E">
            <w:pPr>
              <w:pStyle w:val="ListParagraph"/>
              <w:widowControl w:val="0"/>
              <w:numPr>
                <w:ilvl w:val="0"/>
                <w:numId w:val="28"/>
              </w:numPr>
              <w:autoSpaceDE w:val="0"/>
              <w:autoSpaceDN w:val="0"/>
              <w:adjustRightInd w:val="0"/>
              <w:spacing w:line="276" w:lineRule="auto"/>
              <w:ind w:left="1080"/>
              <w:rPr>
                <w:rFonts w:cs="Times"/>
                <w:color w:val="000000" w:themeColor="text1"/>
                <w:sz w:val="22"/>
                <w:szCs w:val="22"/>
              </w:rPr>
            </w:pPr>
            <w:r w:rsidRPr="52FF1D7E">
              <w:rPr>
                <w:rFonts w:cs="Gill Sans MT"/>
                <w:color w:val="000000" w:themeColor="text1"/>
                <w:sz w:val="22"/>
                <w:szCs w:val="22"/>
              </w:rPr>
              <w:t xml:space="preserve">Ensure that local boards are aware of the definition of screening within NC Policies </w:t>
            </w:r>
          </w:p>
          <w:p w14:paraId="722DF469" w14:textId="4C924534" w:rsidR="006E2330" w:rsidRPr="006E2330" w:rsidRDefault="52FF1D7E" w:rsidP="52FF1D7E">
            <w:pPr>
              <w:pStyle w:val="ListParagraph"/>
              <w:widowControl w:val="0"/>
              <w:numPr>
                <w:ilvl w:val="0"/>
                <w:numId w:val="28"/>
              </w:numPr>
              <w:autoSpaceDE w:val="0"/>
              <w:autoSpaceDN w:val="0"/>
              <w:adjustRightInd w:val="0"/>
              <w:spacing w:line="276" w:lineRule="auto"/>
              <w:ind w:left="1080"/>
              <w:rPr>
                <w:rFonts w:cs="Times"/>
                <w:color w:val="000000" w:themeColor="text1"/>
                <w:sz w:val="22"/>
                <w:szCs w:val="22"/>
              </w:rPr>
            </w:pPr>
            <w:r w:rsidRPr="52FF1D7E">
              <w:rPr>
                <w:rFonts w:cs="Gill Sans MT"/>
                <w:color w:val="000000" w:themeColor="text1"/>
                <w:sz w:val="22"/>
                <w:szCs w:val="22"/>
              </w:rPr>
              <w:t xml:space="preserve">Local boards of education may or may not have individuals with knowledge of diagnostic and screening tools used for about dyslexia, dyscalculia, or other specific learning disabilities.   If they do not, best practice would be to enlist experts within the LEA that could assist them in meeting this requirement </w:t>
            </w:r>
          </w:p>
          <w:p w14:paraId="0D215081" w14:textId="06C6310F" w:rsidR="00CF67D3" w:rsidRPr="006E2330" w:rsidRDefault="52FF1D7E" w:rsidP="52FF1D7E">
            <w:pPr>
              <w:pStyle w:val="ListParagraph"/>
              <w:widowControl w:val="0"/>
              <w:numPr>
                <w:ilvl w:val="0"/>
                <w:numId w:val="28"/>
              </w:numPr>
              <w:autoSpaceDE w:val="0"/>
              <w:autoSpaceDN w:val="0"/>
              <w:adjustRightInd w:val="0"/>
              <w:spacing w:line="276" w:lineRule="auto"/>
              <w:ind w:left="1080"/>
              <w:rPr>
                <w:rFonts w:cs="Times"/>
                <w:color w:val="000000" w:themeColor="text1"/>
                <w:sz w:val="22"/>
                <w:szCs w:val="22"/>
              </w:rPr>
            </w:pPr>
            <w:r w:rsidRPr="52FF1D7E">
              <w:rPr>
                <w:rFonts w:cs="Gill Sans MT"/>
                <w:color w:val="000000" w:themeColor="text1"/>
                <w:sz w:val="22"/>
                <w:szCs w:val="22"/>
              </w:rPr>
              <w:t>Read the MTSS Comprehensive Assessment Guidelines.  If you have questions, contact your district or regional MTSS consultant.</w:t>
            </w:r>
          </w:p>
        </w:tc>
      </w:tr>
      <w:tr w:rsidR="004643F4" w14:paraId="49D72707" w14:textId="77777777" w:rsidTr="4AC017B6">
        <w:tc>
          <w:tcPr>
            <w:tcW w:w="1070" w:type="dxa"/>
          </w:tcPr>
          <w:p w14:paraId="4FE4FF1A" w14:textId="11BB49A1" w:rsidR="00CF67D3" w:rsidRPr="00CF67D3" w:rsidRDefault="52FF1D7E">
            <w:r>
              <w:lastRenderedPageBreak/>
              <w:t>Slide 40</w:t>
            </w:r>
          </w:p>
        </w:tc>
        <w:tc>
          <w:tcPr>
            <w:tcW w:w="3456" w:type="dxa"/>
          </w:tcPr>
          <w:p w14:paraId="1F1B6B21" w14:textId="77777777" w:rsidR="00CF67D3" w:rsidRDefault="00CF67D3">
            <w:r w:rsidRPr="00CF67D3">
              <w:rPr>
                <w:noProof/>
              </w:rPr>
              <w:drawing>
                <wp:inline distT="0" distB="0" distL="0" distR="0" wp14:anchorId="756C7DFA" wp14:editId="2D76A095">
                  <wp:extent cx="1828800" cy="1028701"/>
                  <wp:effectExtent l="0" t="0" r="0" b="127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828800" cy="1028701"/>
                          </a:xfrm>
                          <a:prstGeom prst="rect">
                            <a:avLst/>
                          </a:prstGeom>
                        </pic:spPr>
                      </pic:pic>
                    </a:graphicData>
                  </a:graphic>
                </wp:inline>
              </w:drawing>
            </w:r>
          </w:p>
          <w:p w14:paraId="79E98CED" w14:textId="77777777" w:rsidR="00CF67D3" w:rsidRPr="008C70AE" w:rsidRDefault="00CF67D3"/>
        </w:tc>
        <w:tc>
          <w:tcPr>
            <w:tcW w:w="8352" w:type="dxa"/>
          </w:tcPr>
          <w:p w14:paraId="0FD06C4B" w14:textId="77777777" w:rsidR="00CF67D3" w:rsidRPr="00666947" w:rsidRDefault="00CF67D3" w:rsidP="00EF4205">
            <w:pPr>
              <w:spacing w:line="276" w:lineRule="auto"/>
              <w:rPr>
                <w:sz w:val="22"/>
                <w:szCs w:val="22"/>
              </w:rPr>
            </w:pPr>
          </w:p>
        </w:tc>
      </w:tr>
      <w:tr w:rsidR="004643F4" w14:paraId="1ECA5B76" w14:textId="77777777" w:rsidTr="4AC017B6">
        <w:tc>
          <w:tcPr>
            <w:tcW w:w="1070" w:type="dxa"/>
          </w:tcPr>
          <w:p w14:paraId="5E0110B5" w14:textId="77777777" w:rsidR="00CF67D3" w:rsidRPr="00CF67D3" w:rsidRDefault="52FF1D7E">
            <w:r>
              <w:t>Slide 41</w:t>
            </w:r>
          </w:p>
        </w:tc>
        <w:tc>
          <w:tcPr>
            <w:tcW w:w="3456" w:type="dxa"/>
          </w:tcPr>
          <w:p w14:paraId="69EACF6F" w14:textId="77777777" w:rsidR="00CF67D3" w:rsidRDefault="00CF67D3">
            <w:r w:rsidRPr="00CF67D3">
              <w:rPr>
                <w:noProof/>
              </w:rPr>
              <w:drawing>
                <wp:inline distT="0" distB="0" distL="0" distR="0" wp14:anchorId="06F45E66" wp14:editId="20609DCE">
                  <wp:extent cx="1828800" cy="1028700"/>
                  <wp:effectExtent l="0" t="0" r="0" b="127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28800" cy="1028700"/>
                          </a:xfrm>
                          <a:prstGeom prst="rect">
                            <a:avLst/>
                          </a:prstGeom>
                        </pic:spPr>
                      </pic:pic>
                    </a:graphicData>
                  </a:graphic>
                </wp:inline>
              </w:drawing>
            </w:r>
          </w:p>
          <w:p w14:paraId="7024D3CD" w14:textId="77777777" w:rsidR="00CF67D3" w:rsidRPr="008C70AE" w:rsidRDefault="00CF67D3"/>
        </w:tc>
        <w:tc>
          <w:tcPr>
            <w:tcW w:w="8352" w:type="dxa"/>
          </w:tcPr>
          <w:p w14:paraId="3D7A9B51" w14:textId="31CB801C" w:rsidR="00F67E88" w:rsidRPr="006E2330" w:rsidRDefault="52FF1D7E" w:rsidP="52FF1D7E">
            <w:pPr>
              <w:pStyle w:val="ListParagraph"/>
              <w:widowControl w:val="0"/>
              <w:numPr>
                <w:ilvl w:val="0"/>
                <w:numId w:val="29"/>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When a comprehensive evaluation is determined to be needed for a student suspected of having a specific learning disability, the IEP team would determine the assessment tools and strategies needed to gather the appropriate information about the child. Those tools are individually tailored based on the specific areas of educational need. </w:t>
            </w:r>
          </w:p>
          <w:p w14:paraId="5B25DEAF" w14:textId="77777777" w:rsidR="00EF4205" w:rsidRPr="00EF4205" w:rsidRDefault="52FF1D7E" w:rsidP="52FF1D7E">
            <w:pPr>
              <w:pStyle w:val="ListParagraph"/>
              <w:widowControl w:val="0"/>
              <w:numPr>
                <w:ilvl w:val="0"/>
                <w:numId w:val="29"/>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extensive time and discussion is devoted to the screening and evaluation process through the Reading Research to Classroom Practice course; an entire unit is focused on assessment and participants are exposed to three case studies where they analyze data from diagnostic assessments and develop instructional plans ; participants are also required to administer diagnostic assessment measures to a struggling reader they currently instruct, analyze the data obtained, and develop an appropriate instructional plan. </w:t>
            </w:r>
          </w:p>
          <w:p w14:paraId="1D649CBB" w14:textId="77777777" w:rsidR="00EF4205" w:rsidRPr="00EF4205" w:rsidRDefault="52FF1D7E" w:rsidP="52FF1D7E">
            <w:pPr>
              <w:pStyle w:val="ListParagraph"/>
              <w:widowControl w:val="0"/>
              <w:numPr>
                <w:ilvl w:val="0"/>
                <w:numId w:val="29"/>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It is highly encouraged that educators wanting more information about screening, evaluation and instructional procedures, participate in this course</w:t>
            </w:r>
          </w:p>
          <w:p w14:paraId="059E87AE" w14:textId="77777777" w:rsidR="00EF4205" w:rsidRPr="00EF4205" w:rsidRDefault="52FF1D7E" w:rsidP="52FF1D7E">
            <w:pPr>
              <w:pStyle w:val="ListParagraph"/>
              <w:widowControl w:val="0"/>
              <w:numPr>
                <w:ilvl w:val="0"/>
                <w:numId w:val="29"/>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the NCDPI Exceptional Children Division and Division of Integrated Academic and Behavior Supports is currently providing professional development on the use of the NC Early Numeracy Indicators and curriculum-based measures of math computation to screen for indicators of risk for math difficulties and as a progress monitoring tool.  For further information, contact your regional MTSS consultant or Matt Hoskins in the Exceptional Children Division</w:t>
            </w:r>
          </w:p>
          <w:p w14:paraId="4FDE50B0" w14:textId="451EA83B" w:rsidR="00CF67D3" w:rsidRPr="00EF4205" w:rsidRDefault="52FF1D7E" w:rsidP="52FF1D7E">
            <w:pPr>
              <w:pStyle w:val="ListParagraph"/>
              <w:widowControl w:val="0"/>
              <w:numPr>
                <w:ilvl w:val="0"/>
                <w:numId w:val="29"/>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for information on screening and diagnostic processes within an MTSS, refer to the MTSS Comprehensive Assessment Guidelines.</w:t>
            </w:r>
          </w:p>
        </w:tc>
      </w:tr>
      <w:tr w:rsidR="004643F4" w14:paraId="57581427" w14:textId="77777777" w:rsidTr="4AC017B6">
        <w:tc>
          <w:tcPr>
            <w:tcW w:w="1070" w:type="dxa"/>
          </w:tcPr>
          <w:p w14:paraId="54238A71" w14:textId="77777777" w:rsidR="00CF67D3" w:rsidRPr="00CF67D3" w:rsidRDefault="52FF1D7E">
            <w:r>
              <w:lastRenderedPageBreak/>
              <w:t>Slide 42</w:t>
            </w:r>
          </w:p>
        </w:tc>
        <w:tc>
          <w:tcPr>
            <w:tcW w:w="3456" w:type="dxa"/>
          </w:tcPr>
          <w:p w14:paraId="72830350" w14:textId="77777777" w:rsidR="00CF67D3" w:rsidRDefault="00CF67D3">
            <w:r w:rsidRPr="00CF67D3">
              <w:rPr>
                <w:noProof/>
              </w:rPr>
              <w:drawing>
                <wp:inline distT="0" distB="0" distL="0" distR="0" wp14:anchorId="1A540B79" wp14:editId="24D7810D">
                  <wp:extent cx="1828800" cy="1028700"/>
                  <wp:effectExtent l="0" t="0" r="0" b="127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828800" cy="1028700"/>
                          </a:xfrm>
                          <a:prstGeom prst="rect">
                            <a:avLst/>
                          </a:prstGeom>
                        </pic:spPr>
                      </pic:pic>
                    </a:graphicData>
                  </a:graphic>
                </wp:inline>
              </w:drawing>
            </w:r>
          </w:p>
          <w:p w14:paraId="27231457" w14:textId="77777777" w:rsidR="00CF67D3" w:rsidRPr="00CF67D3" w:rsidRDefault="00CF67D3"/>
        </w:tc>
        <w:tc>
          <w:tcPr>
            <w:tcW w:w="8352" w:type="dxa"/>
          </w:tcPr>
          <w:p w14:paraId="07D02640" w14:textId="77777777" w:rsidR="00CF67D3" w:rsidRPr="00666947" w:rsidRDefault="00CF67D3" w:rsidP="00EF4205">
            <w:pPr>
              <w:spacing w:line="276" w:lineRule="auto"/>
              <w:rPr>
                <w:sz w:val="22"/>
                <w:szCs w:val="22"/>
              </w:rPr>
            </w:pPr>
          </w:p>
        </w:tc>
      </w:tr>
      <w:tr w:rsidR="004643F4" w14:paraId="34217FE8" w14:textId="77777777" w:rsidTr="4AC017B6">
        <w:tc>
          <w:tcPr>
            <w:tcW w:w="1070" w:type="dxa"/>
          </w:tcPr>
          <w:p w14:paraId="690A1121" w14:textId="77777777" w:rsidR="00CF67D3" w:rsidRPr="00CF67D3" w:rsidRDefault="52FF1D7E">
            <w:r>
              <w:t>Slide 43</w:t>
            </w:r>
          </w:p>
        </w:tc>
        <w:tc>
          <w:tcPr>
            <w:tcW w:w="3456" w:type="dxa"/>
          </w:tcPr>
          <w:p w14:paraId="42400D95" w14:textId="77777777" w:rsidR="00CF67D3" w:rsidRDefault="00CF67D3">
            <w:r w:rsidRPr="00CF67D3">
              <w:rPr>
                <w:noProof/>
              </w:rPr>
              <w:drawing>
                <wp:inline distT="0" distB="0" distL="0" distR="0" wp14:anchorId="7760889A" wp14:editId="5146FE93">
                  <wp:extent cx="1828800" cy="1028701"/>
                  <wp:effectExtent l="0" t="0" r="0" b="127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828800" cy="1028701"/>
                          </a:xfrm>
                          <a:prstGeom prst="rect">
                            <a:avLst/>
                          </a:prstGeom>
                        </pic:spPr>
                      </pic:pic>
                    </a:graphicData>
                  </a:graphic>
                </wp:inline>
              </w:drawing>
            </w:r>
          </w:p>
          <w:p w14:paraId="2E55EADE" w14:textId="77777777" w:rsidR="00CF67D3" w:rsidRPr="00CF67D3" w:rsidRDefault="00CF67D3"/>
        </w:tc>
        <w:tc>
          <w:tcPr>
            <w:tcW w:w="8352" w:type="dxa"/>
          </w:tcPr>
          <w:p w14:paraId="2AC76E1F" w14:textId="77777777" w:rsidR="00EF4205" w:rsidRPr="00EF4205" w:rsidRDefault="52FF1D7E" w:rsidP="52FF1D7E">
            <w:pPr>
              <w:pStyle w:val="ListParagraph"/>
              <w:widowControl w:val="0"/>
              <w:numPr>
                <w:ilvl w:val="0"/>
                <w:numId w:val="30"/>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Although it is perfectly appropriate to use the terms dyslexia, dysgraphia, and dyscalculia when writing IEPs, it is not required. </w:t>
            </w:r>
          </w:p>
          <w:p w14:paraId="22A0A653" w14:textId="77777777" w:rsidR="00EF4205" w:rsidRPr="00EF4205" w:rsidRDefault="52FF1D7E" w:rsidP="52FF1D7E">
            <w:pPr>
              <w:pStyle w:val="ListParagraph"/>
              <w:widowControl w:val="0"/>
              <w:numPr>
                <w:ilvl w:val="0"/>
                <w:numId w:val="30"/>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The use of the terms alone is not sufficient; the IEP goals should be written with specific, measurable and objective information which describes the student’s needs so that appropriate specially designed instruction can be designed and delivered; if the IEP is written in such a way, it is not necessary to revise the IEP just to include the terms of dyslexia, dysgraphia, or dyscalculia.</w:t>
            </w:r>
          </w:p>
          <w:p w14:paraId="56A2762E" w14:textId="46902655" w:rsidR="00EF4205" w:rsidRPr="00EF4205" w:rsidRDefault="52FF1D7E" w:rsidP="52FF1D7E">
            <w:pPr>
              <w:pStyle w:val="ListParagraph"/>
              <w:widowControl w:val="0"/>
              <w:numPr>
                <w:ilvl w:val="0"/>
                <w:numId w:val="30"/>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If parents of students already identified with a learning disability are interested in learning more about the characteristics associated with these three areas, refer them to the main page of the NC DPI Exceptional Children website which has a link to a page with materials of interest to parents and educators. </w:t>
            </w:r>
          </w:p>
          <w:p w14:paraId="31EF11AF" w14:textId="57883763" w:rsidR="00F67E88" w:rsidRPr="00EF4205" w:rsidRDefault="52FF1D7E" w:rsidP="52FF1D7E">
            <w:pPr>
              <w:pStyle w:val="ListParagraph"/>
              <w:widowControl w:val="0"/>
              <w:numPr>
                <w:ilvl w:val="0"/>
                <w:numId w:val="30"/>
              </w:numPr>
              <w:autoSpaceDE w:val="0"/>
              <w:autoSpaceDN w:val="0"/>
              <w:adjustRightInd w:val="0"/>
              <w:spacing w:line="276" w:lineRule="auto"/>
              <w:rPr>
                <w:rFonts w:cs="Times"/>
                <w:color w:val="000000" w:themeColor="text1"/>
                <w:sz w:val="22"/>
                <w:szCs w:val="22"/>
              </w:rPr>
            </w:pPr>
            <w:r w:rsidRPr="52FF1D7E">
              <w:rPr>
                <w:rFonts w:cs="Calibri"/>
                <w:color w:val="000000" w:themeColor="text1"/>
                <w:sz w:val="22"/>
                <w:szCs w:val="22"/>
              </w:rPr>
              <w:t xml:space="preserve">the Dyslexia Topic Brief, Dyslexia Guidance letter from the US Department of Education, and Dyslexia Fact Sheets should be very informative for parents. </w:t>
            </w:r>
          </w:p>
          <w:p w14:paraId="3120030B" w14:textId="3CEBD747" w:rsidR="00CF67D3" w:rsidRPr="00EF4205" w:rsidRDefault="4FE6B477" w:rsidP="4FE6B477">
            <w:pPr>
              <w:pStyle w:val="ListParagraph"/>
              <w:widowControl w:val="0"/>
              <w:numPr>
                <w:ilvl w:val="0"/>
                <w:numId w:val="30"/>
              </w:numPr>
              <w:autoSpaceDE w:val="0"/>
              <w:autoSpaceDN w:val="0"/>
              <w:adjustRightInd w:val="0"/>
              <w:spacing w:line="276" w:lineRule="auto"/>
              <w:rPr>
                <w:rFonts w:cs="Times"/>
                <w:color w:val="000000" w:themeColor="text1"/>
                <w:sz w:val="22"/>
                <w:szCs w:val="22"/>
              </w:rPr>
            </w:pPr>
            <w:r w:rsidRPr="4FE6B477">
              <w:rPr>
                <w:rFonts w:cs="Calibri"/>
                <w:color w:val="000000" w:themeColor="text1"/>
                <w:sz w:val="22"/>
                <w:szCs w:val="22"/>
              </w:rPr>
              <w:t>There is also additional information under the Disability Resources/ Specific Learning Disabilities tab for organizations, websites and resources related to learning disabilities and ADHD</w:t>
            </w:r>
          </w:p>
        </w:tc>
      </w:tr>
      <w:tr w:rsidR="004643F4" w14:paraId="1C77877F" w14:textId="77777777" w:rsidTr="4AC017B6">
        <w:tc>
          <w:tcPr>
            <w:tcW w:w="1070" w:type="dxa"/>
          </w:tcPr>
          <w:p w14:paraId="0434C8FE" w14:textId="77777777" w:rsidR="00CF67D3" w:rsidRPr="00CF67D3" w:rsidRDefault="52FF1D7E">
            <w:r>
              <w:t>Slide 44</w:t>
            </w:r>
          </w:p>
        </w:tc>
        <w:tc>
          <w:tcPr>
            <w:tcW w:w="3456" w:type="dxa"/>
          </w:tcPr>
          <w:p w14:paraId="780F665A" w14:textId="77777777" w:rsidR="00CF67D3" w:rsidRDefault="00CF67D3">
            <w:r w:rsidRPr="00CF67D3">
              <w:rPr>
                <w:noProof/>
              </w:rPr>
              <w:drawing>
                <wp:inline distT="0" distB="0" distL="0" distR="0" wp14:anchorId="4A8661E6" wp14:editId="2937C550">
                  <wp:extent cx="1828800" cy="1028700"/>
                  <wp:effectExtent l="0" t="0" r="0" b="127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28800" cy="1028700"/>
                          </a:xfrm>
                          <a:prstGeom prst="rect">
                            <a:avLst/>
                          </a:prstGeom>
                        </pic:spPr>
                      </pic:pic>
                    </a:graphicData>
                  </a:graphic>
                </wp:inline>
              </w:drawing>
            </w:r>
          </w:p>
          <w:p w14:paraId="01D67FBD" w14:textId="77777777" w:rsidR="00CF67D3" w:rsidRPr="00CF67D3" w:rsidRDefault="00CF67D3"/>
        </w:tc>
        <w:tc>
          <w:tcPr>
            <w:tcW w:w="8352" w:type="dxa"/>
          </w:tcPr>
          <w:p w14:paraId="1CEF1EA6" w14:textId="77777777" w:rsidR="00CF67D3" w:rsidRPr="00666947" w:rsidRDefault="00CF67D3" w:rsidP="00EF4205">
            <w:pPr>
              <w:spacing w:line="276" w:lineRule="auto"/>
              <w:rPr>
                <w:sz w:val="22"/>
                <w:szCs w:val="22"/>
              </w:rPr>
            </w:pPr>
          </w:p>
        </w:tc>
      </w:tr>
      <w:tr w:rsidR="004643F4" w14:paraId="3752B8D3" w14:textId="77777777" w:rsidTr="4AC017B6">
        <w:tc>
          <w:tcPr>
            <w:tcW w:w="1070" w:type="dxa"/>
          </w:tcPr>
          <w:p w14:paraId="3095DEAA" w14:textId="77777777" w:rsidR="00CF67D3" w:rsidRPr="00CF67D3" w:rsidRDefault="52FF1D7E">
            <w:r>
              <w:lastRenderedPageBreak/>
              <w:t>Slide 45</w:t>
            </w:r>
          </w:p>
        </w:tc>
        <w:tc>
          <w:tcPr>
            <w:tcW w:w="3456" w:type="dxa"/>
          </w:tcPr>
          <w:p w14:paraId="008BFD33" w14:textId="77777777" w:rsidR="00CF67D3" w:rsidRDefault="00CF67D3">
            <w:r w:rsidRPr="00CF67D3">
              <w:rPr>
                <w:noProof/>
              </w:rPr>
              <w:drawing>
                <wp:inline distT="0" distB="0" distL="0" distR="0" wp14:anchorId="17C53DA3" wp14:editId="33D6EC1E">
                  <wp:extent cx="1828800" cy="1028700"/>
                  <wp:effectExtent l="0" t="0" r="0" b="127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828800" cy="1028700"/>
                          </a:xfrm>
                          <a:prstGeom prst="rect">
                            <a:avLst/>
                          </a:prstGeom>
                        </pic:spPr>
                      </pic:pic>
                    </a:graphicData>
                  </a:graphic>
                </wp:inline>
              </w:drawing>
            </w:r>
          </w:p>
          <w:p w14:paraId="157D2E0D" w14:textId="77777777" w:rsidR="00CF67D3" w:rsidRPr="00CF67D3" w:rsidRDefault="00CF67D3"/>
        </w:tc>
        <w:tc>
          <w:tcPr>
            <w:tcW w:w="8352" w:type="dxa"/>
          </w:tcPr>
          <w:p w14:paraId="214764CE" w14:textId="32977D7E" w:rsidR="006027EA" w:rsidRPr="00EF4205" w:rsidRDefault="52FF1D7E" w:rsidP="52FF1D7E">
            <w:pPr>
              <w:pStyle w:val="ListParagraph"/>
              <w:widowControl w:val="0"/>
              <w:numPr>
                <w:ilvl w:val="0"/>
                <w:numId w:val="31"/>
              </w:numPr>
              <w:autoSpaceDE w:val="0"/>
              <w:autoSpaceDN w:val="0"/>
              <w:adjustRightInd w:val="0"/>
              <w:spacing w:line="276" w:lineRule="auto"/>
              <w:rPr>
                <w:rFonts w:cs="Times"/>
                <w:color w:val="000000" w:themeColor="text1"/>
                <w:sz w:val="22"/>
                <w:szCs w:val="22"/>
              </w:rPr>
            </w:pPr>
            <w:r w:rsidRPr="52FF1D7E">
              <w:rPr>
                <w:rFonts w:cs="Gill Sans MT"/>
                <w:color w:val="000000" w:themeColor="text1"/>
                <w:sz w:val="22"/>
                <w:szCs w:val="22"/>
              </w:rPr>
              <w:t>A one day professional learning course has been developed; the title of this course is, "Addressing Word-level Written Expression Difficulties within an MTSS Framework”</w:t>
            </w:r>
          </w:p>
          <w:p w14:paraId="4AF3051B" w14:textId="7F5C848E" w:rsidR="006027EA" w:rsidRPr="00EF4205" w:rsidRDefault="52FF1D7E" w:rsidP="52FF1D7E">
            <w:pPr>
              <w:pStyle w:val="ListParagraph"/>
              <w:widowControl w:val="0"/>
              <w:numPr>
                <w:ilvl w:val="0"/>
                <w:numId w:val="31"/>
              </w:numPr>
              <w:autoSpaceDE w:val="0"/>
              <w:autoSpaceDN w:val="0"/>
              <w:adjustRightInd w:val="0"/>
              <w:spacing w:line="276" w:lineRule="auto"/>
              <w:rPr>
                <w:rFonts w:cs="Times"/>
                <w:color w:val="000000" w:themeColor="text1"/>
                <w:sz w:val="22"/>
                <w:szCs w:val="22"/>
              </w:rPr>
            </w:pPr>
            <w:r w:rsidRPr="52FF1D7E">
              <w:rPr>
                <w:rFonts w:cs="Gill Sans MT"/>
                <w:color w:val="000000" w:themeColor="text1"/>
                <w:sz w:val="22"/>
                <w:szCs w:val="22"/>
              </w:rPr>
              <w:t xml:space="preserve">LEAs in need of this PD can submit a request form to DPI if the area is not directly addressed in the LEASA, but a need is identified. </w:t>
            </w:r>
          </w:p>
          <w:p w14:paraId="7E5C55C1" w14:textId="77777777" w:rsidR="00CF67D3" w:rsidRPr="00666947" w:rsidRDefault="00CF67D3" w:rsidP="00EF4205">
            <w:pPr>
              <w:spacing w:line="276" w:lineRule="auto"/>
              <w:rPr>
                <w:sz w:val="22"/>
                <w:szCs w:val="22"/>
              </w:rPr>
            </w:pPr>
          </w:p>
        </w:tc>
      </w:tr>
      <w:tr w:rsidR="004643F4" w14:paraId="32FF5540" w14:textId="77777777" w:rsidTr="4AC017B6">
        <w:tc>
          <w:tcPr>
            <w:tcW w:w="1070" w:type="dxa"/>
          </w:tcPr>
          <w:p w14:paraId="7B894181" w14:textId="77777777" w:rsidR="00CF67D3" w:rsidRPr="00CF67D3" w:rsidRDefault="52FF1D7E">
            <w:r>
              <w:t>Slide 46</w:t>
            </w:r>
          </w:p>
        </w:tc>
        <w:tc>
          <w:tcPr>
            <w:tcW w:w="3456" w:type="dxa"/>
          </w:tcPr>
          <w:p w14:paraId="5BA2DD4F" w14:textId="77777777" w:rsidR="00CF67D3" w:rsidRPr="00CF67D3" w:rsidRDefault="00CF67D3">
            <w:r w:rsidRPr="00CF67D3">
              <w:rPr>
                <w:noProof/>
              </w:rPr>
              <w:drawing>
                <wp:inline distT="0" distB="0" distL="0" distR="0" wp14:anchorId="45413D5C" wp14:editId="36DDB340">
                  <wp:extent cx="1828800" cy="1028700"/>
                  <wp:effectExtent l="0" t="0" r="0" b="127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828800" cy="1028700"/>
                          </a:xfrm>
                          <a:prstGeom prst="rect">
                            <a:avLst/>
                          </a:prstGeom>
                        </pic:spPr>
                      </pic:pic>
                    </a:graphicData>
                  </a:graphic>
                </wp:inline>
              </w:drawing>
            </w:r>
          </w:p>
        </w:tc>
        <w:tc>
          <w:tcPr>
            <w:tcW w:w="8352" w:type="dxa"/>
          </w:tcPr>
          <w:p w14:paraId="12110BD3" w14:textId="214F8701" w:rsidR="00CF67D3" w:rsidRPr="00666947" w:rsidRDefault="00CF67D3">
            <w:pPr>
              <w:rPr>
                <w:sz w:val="22"/>
                <w:szCs w:val="22"/>
              </w:rPr>
            </w:pPr>
          </w:p>
        </w:tc>
      </w:tr>
    </w:tbl>
    <w:p w14:paraId="285737BC" w14:textId="77777777" w:rsidR="00C41DB2" w:rsidRDefault="002324CE"/>
    <w:sectPr w:rsidR="00C41DB2" w:rsidSect="00415C0B">
      <w:headerReference w:type="default" r:id="rId53"/>
      <w:footerReference w:type="default" r:id="rId54"/>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151B88" w14:textId="77777777" w:rsidR="0027428B" w:rsidRDefault="0027428B" w:rsidP="00A94EB1">
      <w:r>
        <w:separator/>
      </w:r>
    </w:p>
  </w:endnote>
  <w:endnote w:type="continuationSeparator" w:id="0">
    <w:p w14:paraId="6A0F6651" w14:textId="77777777" w:rsidR="0027428B" w:rsidRDefault="0027428B" w:rsidP="00A94E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02FF" w:usb1="5000785B" w:usb2="00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9FE60B" w14:textId="0564FB2A" w:rsidR="00A94EB1" w:rsidRDefault="00A94EB1">
    <w:pPr>
      <w:pStyle w:val="Footer"/>
    </w:pPr>
    <w:r>
      <w:t>NC Department of Public Instruction Exceptional Children Division</w:t>
    </w:r>
  </w:p>
  <w:p w14:paraId="76BE80ED" w14:textId="0E041F80" w:rsidR="00A94EB1" w:rsidRDefault="00A94EB1">
    <w:pPr>
      <w:pStyle w:val="Footer"/>
    </w:pPr>
    <w:r>
      <w:t>January 5, 2018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B0A5260" w14:textId="77777777" w:rsidR="0027428B" w:rsidRDefault="0027428B" w:rsidP="00A94EB1">
      <w:r>
        <w:separator/>
      </w:r>
    </w:p>
  </w:footnote>
  <w:footnote w:type="continuationSeparator" w:id="0">
    <w:p w14:paraId="70BFCF87" w14:textId="77777777" w:rsidR="0027428B" w:rsidRDefault="0027428B" w:rsidP="00A94E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4D805B" w14:textId="0BD27EDC" w:rsidR="00A94EB1" w:rsidRDefault="00A94EB1">
    <w:pPr>
      <w:pStyle w:val="Header"/>
    </w:pPr>
    <w:r>
      <w:t xml:space="preserve">HB149/ S.L. 2017-127 Policy Spotlight </w:t>
    </w:r>
  </w:p>
  <w:p w14:paraId="241BFC2D" w14:textId="77777777" w:rsidR="00A94EB1" w:rsidRDefault="00A94EB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986969"/>
    <w:multiLevelType w:val="hybridMultilevel"/>
    <w:tmpl w:val="5B2038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DE28E9"/>
    <w:multiLevelType w:val="hybridMultilevel"/>
    <w:tmpl w:val="76D8ADC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C7465A"/>
    <w:multiLevelType w:val="hybridMultilevel"/>
    <w:tmpl w:val="820EE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9626A4D"/>
    <w:multiLevelType w:val="hybridMultilevel"/>
    <w:tmpl w:val="A5A06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7D6066"/>
    <w:multiLevelType w:val="hybridMultilevel"/>
    <w:tmpl w:val="DAE29A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38488C"/>
    <w:multiLevelType w:val="hybridMultilevel"/>
    <w:tmpl w:val="BACA80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405215"/>
    <w:multiLevelType w:val="hybridMultilevel"/>
    <w:tmpl w:val="80769A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110038"/>
    <w:multiLevelType w:val="hybridMultilevel"/>
    <w:tmpl w:val="B986FF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78768D"/>
    <w:multiLevelType w:val="hybridMultilevel"/>
    <w:tmpl w:val="9D2AC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6AD6D88"/>
    <w:multiLevelType w:val="hybridMultilevel"/>
    <w:tmpl w:val="76D8D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CE62493"/>
    <w:multiLevelType w:val="hybridMultilevel"/>
    <w:tmpl w:val="88768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693F0C"/>
    <w:multiLevelType w:val="hybridMultilevel"/>
    <w:tmpl w:val="A2B6C6C0"/>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2" w15:restartNumberingAfterBreak="0">
    <w:nsid w:val="346C52CA"/>
    <w:multiLevelType w:val="hybridMultilevel"/>
    <w:tmpl w:val="8B940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5E020FB"/>
    <w:multiLevelType w:val="hybridMultilevel"/>
    <w:tmpl w:val="D0F4B9A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A093C3E"/>
    <w:multiLevelType w:val="hybridMultilevel"/>
    <w:tmpl w:val="7ABACA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940266"/>
    <w:multiLevelType w:val="hybridMultilevel"/>
    <w:tmpl w:val="70921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D428DC"/>
    <w:multiLevelType w:val="hybridMultilevel"/>
    <w:tmpl w:val="6B644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EC3CDD"/>
    <w:multiLevelType w:val="hybridMultilevel"/>
    <w:tmpl w:val="32E26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42866F0"/>
    <w:multiLevelType w:val="hybridMultilevel"/>
    <w:tmpl w:val="A9E66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E51A56"/>
    <w:multiLevelType w:val="hybridMultilevel"/>
    <w:tmpl w:val="CB4CC3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66F61B9"/>
    <w:multiLevelType w:val="hybridMultilevel"/>
    <w:tmpl w:val="CE620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D1E3085"/>
    <w:multiLevelType w:val="hybridMultilevel"/>
    <w:tmpl w:val="23421E9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2" w15:restartNumberingAfterBreak="0">
    <w:nsid w:val="543A02F1"/>
    <w:multiLevelType w:val="hybridMultilevel"/>
    <w:tmpl w:val="29F866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6EE317A"/>
    <w:multiLevelType w:val="hybridMultilevel"/>
    <w:tmpl w:val="EAB23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961690"/>
    <w:multiLevelType w:val="hybridMultilevel"/>
    <w:tmpl w:val="A7E0E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75735E0"/>
    <w:multiLevelType w:val="hybridMultilevel"/>
    <w:tmpl w:val="71206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22E296E"/>
    <w:multiLevelType w:val="hybridMultilevel"/>
    <w:tmpl w:val="99C81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96C7D1D"/>
    <w:multiLevelType w:val="hybridMultilevel"/>
    <w:tmpl w:val="4532E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C2C70DA"/>
    <w:multiLevelType w:val="hybridMultilevel"/>
    <w:tmpl w:val="70C49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C535CBD"/>
    <w:multiLevelType w:val="hybridMultilevel"/>
    <w:tmpl w:val="092AE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E0A0C43"/>
    <w:multiLevelType w:val="hybridMultilevel"/>
    <w:tmpl w:val="0D168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F193B16"/>
    <w:multiLevelType w:val="hybridMultilevel"/>
    <w:tmpl w:val="3BB86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6"/>
  </w:num>
  <w:num w:numId="3">
    <w:abstractNumId w:val="21"/>
  </w:num>
  <w:num w:numId="4">
    <w:abstractNumId w:val="11"/>
  </w:num>
  <w:num w:numId="5">
    <w:abstractNumId w:val="12"/>
  </w:num>
  <w:num w:numId="6">
    <w:abstractNumId w:val="9"/>
  </w:num>
  <w:num w:numId="7">
    <w:abstractNumId w:val="19"/>
  </w:num>
  <w:num w:numId="8">
    <w:abstractNumId w:val="7"/>
  </w:num>
  <w:num w:numId="9">
    <w:abstractNumId w:val="24"/>
  </w:num>
  <w:num w:numId="10">
    <w:abstractNumId w:val="6"/>
  </w:num>
  <w:num w:numId="11">
    <w:abstractNumId w:val="3"/>
  </w:num>
  <w:num w:numId="12">
    <w:abstractNumId w:val="17"/>
  </w:num>
  <w:num w:numId="13">
    <w:abstractNumId w:val="30"/>
  </w:num>
  <w:num w:numId="14">
    <w:abstractNumId w:val="16"/>
  </w:num>
  <w:num w:numId="15">
    <w:abstractNumId w:val="15"/>
  </w:num>
  <w:num w:numId="16">
    <w:abstractNumId w:val="4"/>
  </w:num>
  <w:num w:numId="17">
    <w:abstractNumId w:val="20"/>
  </w:num>
  <w:num w:numId="18">
    <w:abstractNumId w:val="28"/>
  </w:num>
  <w:num w:numId="19">
    <w:abstractNumId w:val="31"/>
  </w:num>
  <w:num w:numId="20">
    <w:abstractNumId w:val="2"/>
  </w:num>
  <w:num w:numId="21">
    <w:abstractNumId w:val="27"/>
  </w:num>
  <w:num w:numId="22">
    <w:abstractNumId w:val="5"/>
  </w:num>
  <w:num w:numId="23">
    <w:abstractNumId w:val="0"/>
  </w:num>
  <w:num w:numId="24">
    <w:abstractNumId w:val="13"/>
  </w:num>
  <w:num w:numId="25">
    <w:abstractNumId w:val="22"/>
  </w:num>
  <w:num w:numId="26">
    <w:abstractNumId w:val="14"/>
  </w:num>
  <w:num w:numId="27">
    <w:abstractNumId w:val="25"/>
  </w:num>
  <w:num w:numId="28">
    <w:abstractNumId w:val="1"/>
  </w:num>
  <w:num w:numId="29">
    <w:abstractNumId w:val="29"/>
  </w:num>
  <w:num w:numId="30">
    <w:abstractNumId w:val="18"/>
  </w:num>
  <w:num w:numId="31">
    <w:abstractNumId w:val="10"/>
  </w:num>
  <w:num w:numId="3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5C0B"/>
    <w:rsid w:val="000C6EEB"/>
    <w:rsid w:val="000F542E"/>
    <w:rsid w:val="00147135"/>
    <w:rsid w:val="002324CE"/>
    <w:rsid w:val="00270A97"/>
    <w:rsid w:val="0027428B"/>
    <w:rsid w:val="002B7D5B"/>
    <w:rsid w:val="002D6AA3"/>
    <w:rsid w:val="003D113F"/>
    <w:rsid w:val="003D1937"/>
    <w:rsid w:val="00415C0B"/>
    <w:rsid w:val="004643F4"/>
    <w:rsid w:val="004D7972"/>
    <w:rsid w:val="00551B48"/>
    <w:rsid w:val="005638FA"/>
    <w:rsid w:val="006027EA"/>
    <w:rsid w:val="00612D14"/>
    <w:rsid w:val="006312E0"/>
    <w:rsid w:val="00666947"/>
    <w:rsid w:val="006E2330"/>
    <w:rsid w:val="006E31D9"/>
    <w:rsid w:val="007D7B5C"/>
    <w:rsid w:val="00830303"/>
    <w:rsid w:val="0087624D"/>
    <w:rsid w:val="0089474E"/>
    <w:rsid w:val="008C70AE"/>
    <w:rsid w:val="00A94EB1"/>
    <w:rsid w:val="00AD7A91"/>
    <w:rsid w:val="00B827D5"/>
    <w:rsid w:val="00BD6CEB"/>
    <w:rsid w:val="00BE28BD"/>
    <w:rsid w:val="00C215BE"/>
    <w:rsid w:val="00CD33D9"/>
    <w:rsid w:val="00CF67D3"/>
    <w:rsid w:val="00D4052E"/>
    <w:rsid w:val="00E078F7"/>
    <w:rsid w:val="00E416F1"/>
    <w:rsid w:val="00E7199B"/>
    <w:rsid w:val="00EF19E5"/>
    <w:rsid w:val="00EF4205"/>
    <w:rsid w:val="00F0156D"/>
    <w:rsid w:val="00F67E88"/>
    <w:rsid w:val="00F74B60"/>
    <w:rsid w:val="4AC017B6"/>
    <w:rsid w:val="4FE6B477"/>
    <w:rsid w:val="52FF1D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F239DA"/>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15C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F19E5"/>
    <w:pPr>
      <w:ind w:left="720"/>
      <w:contextualSpacing/>
    </w:pPr>
  </w:style>
  <w:style w:type="paragraph" w:styleId="CommentText">
    <w:name w:val="annotation text"/>
    <w:basedOn w:val="Normal"/>
    <w:link w:val="CommentTextChar"/>
    <w:uiPriority w:val="99"/>
    <w:semiHidden/>
    <w:unhideWhenUsed/>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6E31D9"/>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E31D9"/>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6E31D9"/>
    <w:rPr>
      <w:b/>
      <w:bCs/>
      <w:sz w:val="20"/>
      <w:szCs w:val="20"/>
    </w:rPr>
  </w:style>
  <w:style w:type="character" w:customStyle="1" w:styleId="CommentSubjectChar">
    <w:name w:val="Comment Subject Char"/>
    <w:basedOn w:val="CommentTextChar"/>
    <w:link w:val="CommentSubject"/>
    <w:uiPriority w:val="99"/>
    <w:semiHidden/>
    <w:rsid w:val="006E31D9"/>
    <w:rPr>
      <w:b/>
      <w:bCs/>
      <w:sz w:val="20"/>
      <w:szCs w:val="20"/>
    </w:rPr>
  </w:style>
  <w:style w:type="paragraph" w:styleId="Header">
    <w:name w:val="header"/>
    <w:basedOn w:val="Normal"/>
    <w:link w:val="HeaderChar"/>
    <w:uiPriority w:val="99"/>
    <w:unhideWhenUsed/>
    <w:rsid w:val="00A94EB1"/>
    <w:pPr>
      <w:tabs>
        <w:tab w:val="center" w:pos="4680"/>
        <w:tab w:val="right" w:pos="9360"/>
      </w:tabs>
    </w:pPr>
  </w:style>
  <w:style w:type="character" w:customStyle="1" w:styleId="HeaderChar">
    <w:name w:val="Header Char"/>
    <w:basedOn w:val="DefaultParagraphFont"/>
    <w:link w:val="Header"/>
    <w:uiPriority w:val="99"/>
    <w:rsid w:val="00A94EB1"/>
  </w:style>
  <w:style w:type="paragraph" w:styleId="Footer">
    <w:name w:val="footer"/>
    <w:basedOn w:val="Normal"/>
    <w:link w:val="FooterChar"/>
    <w:uiPriority w:val="99"/>
    <w:unhideWhenUsed/>
    <w:rsid w:val="00A94EB1"/>
    <w:pPr>
      <w:tabs>
        <w:tab w:val="center" w:pos="4680"/>
        <w:tab w:val="right" w:pos="9360"/>
      </w:tabs>
    </w:pPr>
  </w:style>
  <w:style w:type="character" w:customStyle="1" w:styleId="FooterChar">
    <w:name w:val="Footer Char"/>
    <w:basedOn w:val="DefaultParagraphFont"/>
    <w:link w:val="Footer"/>
    <w:uiPriority w:val="99"/>
    <w:rsid w:val="00A94E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emf"/><Relationship Id="rId47" Type="http://schemas.openxmlformats.org/officeDocument/2006/relationships/image" Target="media/image41.emf"/><Relationship Id="rId50" Type="http://schemas.openxmlformats.org/officeDocument/2006/relationships/image" Target="media/image44.emf"/><Relationship Id="rId55" Type="http://schemas.openxmlformats.org/officeDocument/2006/relationships/fontTable" Target="fontTable.xml"/><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emf"/><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3"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image" Target="media/image46.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emf"/><Relationship Id="rId56" Type="http://schemas.openxmlformats.org/officeDocument/2006/relationships/theme" Target="theme/theme1.xml"/><Relationship Id="rId8" Type="http://schemas.openxmlformats.org/officeDocument/2006/relationships/image" Target="media/image2.emf"/><Relationship Id="rId51" Type="http://schemas.openxmlformats.org/officeDocument/2006/relationships/image" Target="media/image45.emf"/><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emf"/><Relationship Id="rId20" Type="http://schemas.openxmlformats.org/officeDocument/2006/relationships/image" Target="media/image14.emf"/><Relationship Id="rId41" Type="http://schemas.openxmlformats.org/officeDocument/2006/relationships/image" Target="media/image35.emf"/><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19</Pages>
  <Words>3682</Words>
  <Characters>20991</Characters>
  <Application>Microsoft Office Word</Application>
  <DocSecurity>0</DocSecurity>
  <Lines>174</Lines>
  <Paragraphs>49</Paragraphs>
  <ScaleCrop>false</ScaleCrop>
  <Company/>
  <LinksUpToDate>false</LinksUpToDate>
  <CharactersWithSpaces>24624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Lynne Loeser</dc:creator>
  <cp:keywords/>
  <dc:description/>
  <cp:lastModifiedBy>Kelly Breest</cp:lastModifiedBy>
  <cp:revision>2</cp:revision>
  <dcterms:created xsi:type="dcterms:W3CDTF">2021-06-02T16:56:00Z</dcterms:created>
  <dcterms:modified xsi:type="dcterms:W3CDTF">2021-06-02T16:56:00Z</dcterms:modified>
</cp:coreProperties>
</file>