
<file path=[Content_Types].xml><?xml version="1.0" encoding="utf-8"?>
<Types xmlns="http://schemas.openxmlformats.org/package/2006/content-types">
  <Default Extension="png" ContentType="image/png"/>
  <Default Extension="rels" ContentType="application/vnd.openxmlformats-package.relationships+xml"/>
  <Default Extension="tmp"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BB73A" w14:textId="48DA449F" w:rsidR="00B01DAF" w:rsidRPr="003B231D" w:rsidRDefault="003B231D" w:rsidP="00B01DAF">
      <w:pPr>
        <w:spacing w:before="640" w:after="360"/>
        <w:jc w:val="center"/>
        <w:rPr>
          <w:rFonts w:ascii="Arial" w:hAnsi="Arial" w:cs="Arial"/>
          <w:sz w:val="44"/>
          <w:szCs w:val="44"/>
        </w:rPr>
      </w:pPr>
      <w:r>
        <w:rPr>
          <w:rFonts w:ascii="Arial" w:hAnsi="Arial" w:cs="Arial"/>
          <w:sz w:val="44"/>
          <w:szCs w:val="44"/>
        </w:rPr>
        <w:t>N</w:t>
      </w:r>
      <w:r w:rsidR="0006672A" w:rsidRPr="003B231D">
        <w:rPr>
          <w:rFonts w:ascii="Arial" w:hAnsi="Arial" w:cs="Arial"/>
          <w:sz w:val="44"/>
          <w:szCs w:val="44"/>
        </w:rPr>
        <w:t xml:space="preserve">orth </w:t>
      </w:r>
      <w:r w:rsidR="397DEFA4" w:rsidRPr="003B231D">
        <w:rPr>
          <w:rFonts w:ascii="Arial" w:hAnsi="Arial" w:cs="Arial"/>
          <w:sz w:val="44"/>
          <w:szCs w:val="44"/>
        </w:rPr>
        <w:t>Carolina</w:t>
      </w:r>
      <w:r w:rsidR="00A0266F" w:rsidRPr="003B231D">
        <w:rPr>
          <w:rFonts w:ascii="Arial" w:hAnsi="Arial" w:cs="Arial"/>
          <w:sz w:val="44"/>
          <w:szCs w:val="44"/>
        </w:rPr>
        <w:t xml:space="preserve"> </w:t>
      </w:r>
      <w:r w:rsidR="003E3F11" w:rsidRPr="003B231D">
        <w:rPr>
          <w:rFonts w:ascii="Arial" w:hAnsi="Arial" w:cs="Arial"/>
          <w:sz w:val="44"/>
          <w:szCs w:val="44"/>
        </w:rPr>
        <w:t xml:space="preserve">Department of </w:t>
      </w:r>
      <w:r>
        <w:rPr>
          <w:rFonts w:ascii="Arial" w:hAnsi="Arial" w:cs="Arial"/>
          <w:sz w:val="44"/>
          <w:szCs w:val="44"/>
        </w:rPr>
        <w:t>P</w:t>
      </w:r>
      <w:r w:rsidRPr="003B231D">
        <w:rPr>
          <w:rFonts w:ascii="Arial" w:hAnsi="Arial" w:cs="Arial"/>
          <w:sz w:val="44"/>
          <w:szCs w:val="44"/>
        </w:rPr>
        <w:t xml:space="preserve">ublic </w:t>
      </w:r>
      <w:r>
        <w:rPr>
          <w:rFonts w:ascii="Arial" w:hAnsi="Arial" w:cs="Arial"/>
          <w:sz w:val="44"/>
          <w:szCs w:val="44"/>
        </w:rPr>
        <w:t>I</w:t>
      </w:r>
      <w:r w:rsidR="0006672A" w:rsidRPr="003B231D">
        <w:rPr>
          <w:rFonts w:ascii="Arial" w:hAnsi="Arial" w:cs="Arial"/>
          <w:sz w:val="44"/>
          <w:szCs w:val="44"/>
        </w:rPr>
        <w:t>nstruction</w:t>
      </w:r>
    </w:p>
    <w:p w14:paraId="6E5013E1" w14:textId="78B3F6D3" w:rsidR="003E4951" w:rsidRPr="001427AF" w:rsidRDefault="00A0266F" w:rsidP="00B01DAF">
      <w:pPr>
        <w:pBdr>
          <w:bottom w:val="thinThickLargeGap" w:sz="8" w:space="31" w:color="808080"/>
        </w:pBdr>
        <w:jc w:val="center"/>
        <w:rPr>
          <w:rFonts w:ascii="Arial" w:hAnsi="Arial" w:cs="Arial"/>
          <w:sz w:val="44"/>
          <w:szCs w:val="44"/>
        </w:rPr>
      </w:pPr>
      <w:r w:rsidRPr="001427AF">
        <w:rPr>
          <w:rFonts w:ascii="Arial" w:hAnsi="Arial" w:cs="Arial"/>
          <w:sz w:val="44"/>
          <w:szCs w:val="44"/>
        </w:rPr>
        <w:t xml:space="preserve"> </w:t>
      </w:r>
      <w:r w:rsidR="008D296E" w:rsidRPr="001427AF">
        <w:rPr>
          <w:rFonts w:ascii="Arial" w:hAnsi="Arial" w:cs="Arial"/>
          <w:sz w:val="44"/>
          <w:szCs w:val="44"/>
        </w:rPr>
        <w:t>202</w:t>
      </w:r>
      <w:r w:rsidR="00F23B00">
        <w:rPr>
          <w:rFonts w:ascii="Arial" w:hAnsi="Arial" w:cs="Arial"/>
          <w:sz w:val="44"/>
          <w:szCs w:val="44"/>
        </w:rPr>
        <w:t>5</w:t>
      </w:r>
      <w:r w:rsidR="00D03A67" w:rsidRPr="001427AF">
        <w:rPr>
          <w:rFonts w:ascii="Arial" w:hAnsi="Arial" w:cs="Arial"/>
          <w:sz w:val="44"/>
          <w:szCs w:val="44"/>
        </w:rPr>
        <w:t>–</w:t>
      </w:r>
      <w:r w:rsidR="008D296E" w:rsidRPr="001427AF">
        <w:rPr>
          <w:rFonts w:ascii="Arial" w:hAnsi="Arial" w:cs="Arial"/>
          <w:sz w:val="44"/>
          <w:szCs w:val="44"/>
        </w:rPr>
        <w:t>2</w:t>
      </w:r>
      <w:r w:rsidR="00F23B00">
        <w:rPr>
          <w:rFonts w:ascii="Arial" w:hAnsi="Arial" w:cs="Arial"/>
          <w:sz w:val="44"/>
          <w:szCs w:val="44"/>
        </w:rPr>
        <w:t>6</w:t>
      </w:r>
      <w:r w:rsidR="008D296E" w:rsidRPr="001427AF">
        <w:rPr>
          <w:rFonts w:ascii="Arial" w:hAnsi="Arial" w:cs="Arial"/>
          <w:sz w:val="44"/>
          <w:szCs w:val="44"/>
        </w:rPr>
        <w:t xml:space="preserve"> </w:t>
      </w:r>
      <w:r w:rsidRPr="001427AF">
        <w:rPr>
          <w:rFonts w:ascii="Arial" w:hAnsi="Arial" w:cs="Arial"/>
          <w:sz w:val="44"/>
          <w:szCs w:val="44"/>
        </w:rPr>
        <w:t xml:space="preserve">Technical Guide </w:t>
      </w:r>
      <w:r w:rsidR="02780064" w:rsidRPr="001427AF">
        <w:rPr>
          <w:rFonts w:ascii="Arial" w:hAnsi="Arial" w:cs="Arial"/>
          <w:sz w:val="44"/>
          <w:szCs w:val="44"/>
        </w:rPr>
        <w:t xml:space="preserve">for </w:t>
      </w:r>
      <w:r w:rsidR="004D0E77" w:rsidRPr="001427AF">
        <w:rPr>
          <w:rFonts w:ascii="Arial" w:hAnsi="Arial" w:cs="Arial"/>
          <w:sz w:val="44"/>
          <w:szCs w:val="44"/>
        </w:rPr>
        <w:t xml:space="preserve">Accountability and </w:t>
      </w:r>
    </w:p>
    <w:p w14:paraId="78CBB73B" w14:textId="446D438E" w:rsidR="00B01DAF" w:rsidRPr="001427AF" w:rsidRDefault="004D0E77" w:rsidP="00B01DAF">
      <w:pPr>
        <w:pBdr>
          <w:bottom w:val="thinThickLargeGap" w:sz="8" w:space="31" w:color="808080"/>
        </w:pBdr>
        <w:jc w:val="center"/>
        <w:rPr>
          <w:rFonts w:ascii="Arial" w:hAnsi="Arial" w:cs="Arial"/>
          <w:sz w:val="44"/>
          <w:szCs w:val="44"/>
        </w:rPr>
      </w:pPr>
      <w:r w:rsidRPr="001427AF">
        <w:rPr>
          <w:rFonts w:ascii="Arial" w:hAnsi="Arial" w:cs="Arial"/>
          <w:sz w:val="44"/>
          <w:szCs w:val="44"/>
        </w:rPr>
        <w:t xml:space="preserve">Testing Results </w:t>
      </w:r>
    </w:p>
    <w:p w14:paraId="462A2A0A" w14:textId="77777777" w:rsidR="00FA0BEA" w:rsidRPr="001427AF" w:rsidRDefault="00FA0BEA" w:rsidP="00B01DAF">
      <w:pPr>
        <w:pBdr>
          <w:bottom w:val="thinThickLargeGap" w:sz="8" w:space="31" w:color="808080"/>
        </w:pBdr>
        <w:jc w:val="center"/>
        <w:rPr>
          <w:rFonts w:ascii="Arial" w:hAnsi="Arial" w:cs="Arial"/>
          <w:i/>
          <w:iCs/>
          <w:sz w:val="44"/>
          <w:szCs w:val="44"/>
        </w:rPr>
      </w:pPr>
    </w:p>
    <w:p w14:paraId="1C74DBFB" w14:textId="285A09E4" w:rsidR="00FA0BEA" w:rsidRPr="001427AF" w:rsidRDefault="00FA0BEA" w:rsidP="00B01DAF">
      <w:pPr>
        <w:pBdr>
          <w:bottom w:val="thinThickLargeGap" w:sz="8" w:space="31" w:color="808080"/>
        </w:pBdr>
        <w:jc w:val="center"/>
        <w:rPr>
          <w:rFonts w:ascii="Arial" w:hAnsi="Arial" w:cs="Arial"/>
          <w:i/>
          <w:iCs/>
          <w:szCs w:val="24"/>
        </w:rPr>
      </w:pPr>
      <w:r w:rsidRPr="001427AF">
        <w:rPr>
          <w:rFonts w:ascii="Arial" w:hAnsi="Arial" w:cs="Arial"/>
          <w:i/>
          <w:iCs/>
          <w:szCs w:val="24"/>
        </w:rPr>
        <w:t xml:space="preserve">(This guide provides the business rules and data collection </w:t>
      </w:r>
      <w:r w:rsidR="00D229A0" w:rsidRPr="001427AF">
        <w:rPr>
          <w:rFonts w:ascii="Arial" w:hAnsi="Arial" w:cs="Arial"/>
          <w:i/>
          <w:iCs/>
          <w:szCs w:val="24"/>
        </w:rPr>
        <w:t xml:space="preserve">documentation </w:t>
      </w:r>
      <w:r w:rsidR="00761F37" w:rsidRPr="001427AF">
        <w:rPr>
          <w:rFonts w:ascii="Arial" w:hAnsi="Arial" w:cs="Arial"/>
          <w:i/>
          <w:iCs/>
          <w:szCs w:val="24"/>
        </w:rPr>
        <w:t xml:space="preserve">used to determine </w:t>
      </w:r>
      <w:r w:rsidR="00E11D04" w:rsidRPr="001427AF">
        <w:rPr>
          <w:rFonts w:ascii="Arial" w:hAnsi="Arial" w:cs="Arial"/>
          <w:i/>
          <w:iCs/>
          <w:szCs w:val="24"/>
        </w:rPr>
        <w:t>accountability</w:t>
      </w:r>
      <w:r w:rsidR="009B3097" w:rsidRPr="001427AF">
        <w:rPr>
          <w:rFonts w:ascii="Arial" w:hAnsi="Arial" w:cs="Arial"/>
          <w:i/>
          <w:iCs/>
          <w:szCs w:val="24"/>
        </w:rPr>
        <w:t xml:space="preserve"> and reporting</w:t>
      </w:r>
      <w:r w:rsidR="00E11D04" w:rsidRPr="001427AF">
        <w:rPr>
          <w:rFonts w:ascii="Arial" w:hAnsi="Arial" w:cs="Arial"/>
          <w:i/>
          <w:iCs/>
          <w:szCs w:val="24"/>
        </w:rPr>
        <w:t xml:space="preserve"> </w:t>
      </w:r>
      <w:r w:rsidR="00F90880" w:rsidRPr="001427AF">
        <w:rPr>
          <w:rFonts w:ascii="Arial" w:hAnsi="Arial" w:cs="Arial"/>
          <w:i/>
          <w:iCs/>
          <w:szCs w:val="24"/>
        </w:rPr>
        <w:t>calculations.</w:t>
      </w:r>
      <w:r w:rsidR="000D248B" w:rsidRPr="001427AF">
        <w:rPr>
          <w:rFonts w:ascii="Arial" w:hAnsi="Arial" w:cs="Arial"/>
          <w:i/>
          <w:iCs/>
          <w:szCs w:val="24"/>
        </w:rPr>
        <w:t xml:space="preserve"> </w:t>
      </w:r>
      <w:r w:rsidR="008839A5" w:rsidRPr="001427AF">
        <w:rPr>
          <w:rFonts w:ascii="Arial" w:hAnsi="Arial" w:cs="Arial"/>
          <w:i/>
          <w:iCs/>
          <w:szCs w:val="24"/>
        </w:rPr>
        <w:t>Business rules will be updated monthly according to</w:t>
      </w:r>
      <w:r w:rsidR="00380641" w:rsidRPr="001427AF">
        <w:rPr>
          <w:rFonts w:ascii="Arial" w:hAnsi="Arial" w:cs="Arial"/>
          <w:i/>
          <w:iCs/>
          <w:szCs w:val="24"/>
        </w:rPr>
        <w:t xml:space="preserve"> the</w:t>
      </w:r>
      <w:r w:rsidR="008839A5" w:rsidRPr="001427AF">
        <w:rPr>
          <w:rFonts w:ascii="Arial" w:hAnsi="Arial" w:cs="Arial"/>
          <w:i/>
          <w:iCs/>
          <w:szCs w:val="24"/>
        </w:rPr>
        <w:t xml:space="preserve"> training schedule.</w:t>
      </w:r>
      <w:r w:rsidR="00F90880" w:rsidRPr="001427AF">
        <w:rPr>
          <w:rFonts w:ascii="Arial" w:hAnsi="Arial" w:cs="Arial"/>
          <w:i/>
          <w:iCs/>
          <w:szCs w:val="24"/>
        </w:rPr>
        <w:t>)</w:t>
      </w:r>
    </w:p>
    <w:p w14:paraId="78CBB73C" w14:textId="77777777" w:rsidR="00B01DAF" w:rsidRPr="001427AF" w:rsidRDefault="00B01DAF" w:rsidP="00B01DAF">
      <w:pPr>
        <w:jc w:val="center"/>
        <w:rPr>
          <w:rFonts w:ascii="Arial" w:hAnsi="Arial" w:cs="Arial"/>
          <w:sz w:val="44"/>
        </w:rPr>
      </w:pPr>
    </w:p>
    <w:p w14:paraId="78CBB73D" w14:textId="77777777" w:rsidR="00B01DAF" w:rsidRPr="001427AF" w:rsidRDefault="00467658" w:rsidP="00B01DAF">
      <w:pPr>
        <w:spacing w:after="240"/>
        <w:jc w:val="center"/>
        <w:rPr>
          <w:rFonts w:ascii="Arial" w:hAnsi="Arial" w:cs="Arial"/>
          <w:i/>
          <w:sz w:val="36"/>
        </w:rPr>
      </w:pPr>
      <w:r w:rsidRPr="001427AF">
        <w:rPr>
          <w:rFonts w:ascii="Arial" w:hAnsi="Arial" w:cs="Arial"/>
          <w:i/>
          <w:sz w:val="36"/>
        </w:rPr>
        <w:t>Prepared by</w:t>
      </w:r>
    </w:p>
    <w:p w14:paraId="30C27FC2" w14:textId="66DB0549" w:rsidR="00EA6B37" w:rsidRPr="001427AF" w:rsidRDefault="2D0ECC85" w:rsidP="00B01DAF">
      <w:pPr>
        <w:spacing w:after="120"/>
        <w:jc w:val="center"/>
        <w:rPr>
          <w:rFonts w:ascii="Arial" w:hAnsi="Arial" w:cs="Arial"/>
          <w:sz w:val="36"/>
          <w:szCs w:val="36"/>
        </w:rPr>
      </w:pPr>
      <w:r w:rsidRPr="001427AF">
        <w:rPr>
          <w:rFonts w:ascii="Arial" w:hAnsi="Arial" w:cs="Arial"/>
          <w:sz w:val="36"/>
          <w:szCs w:val="36"/>
        </w:rPr>
        <w:t>Office of Accountability</w:t>
      </w:r>
      <w:r w:rsidR="00376F16">
        <w:rPr>
          <w:rFonts w:ascii="Arial" w:hAnsi="Arial" w:cs="Arial"/>
          <w:sz w:val="36"/>
          <w:szCs w:val="36"/>
        </w:rPr>
        <w:t xml:space="preserve"> and Testing</w:t>
      </w:r>
    </w:p>
    <w:p w14:paraId="78CBB73E" w14:textId="5134CD18" w:rsidR="00B01DAF" w:rsidRPr="001427AF" w:rsidRDefault="00B03264" w:rsidP="00B01DAF">
      <w:pPr>
        <w:spacing w:after="120"/>
        <w:jc w:val="center"/>
        <w:rPr>
          <w:rFonts w:ascii="Arial" w:hAnsi="Arial" w:cs="Arial"/>
          <w:sz w:val="36"/>
          <w:szCs w:val="36"/>
        </w:rPr>
      </w:pPr>
      <w:r w:rsidRPr="001427AF">
        <w:rPr>
          <w:rFonts w:ascii="Arial" w:hAnsi="Arial" w:cs="Arial"/>
          <w:sz w:val="36"/>
          <w:szCs w:val="36"/>
        </w:rPr>
        <w:t>Analysis and Reporting</w:t>
      </w:r>
      <w:r w:rsidR="00EA6B37" w:rsidRPr="001427AF">
        <w:rPr>
          <w:rFonts w:ascii="Arial" w:hAnsi="Arial" w:cs="Arial"/>
          <w:sz w:val="36"/>
          <w:szCs w:val="36"/>
        </w:rPr>
        <w:t xml:space="preserve"> </w:t>
      </w:r>
      <w:r w:rsidR="022E861A" w:rsidRPr="001427AF">
        <w:rPr>
          <w:rFonts w:ascii="Arial" w:hAnsi="Arial" w:cs="Arial"/>
          <w:sz w:val="36"/>
          <w:szCs w:val="36"/>
        </w:rPr>
        <w:t>Section</w:t>
      </w:r>
    </w:p>
    <w:p w14:paraId="78CBB743" w14:textId="77777777" w:rsidR="00B01DAF" w:rsidRPr="001427AF" w:rsidRDefault="00B01DAF" w:rsidP="00B01DAF">
      <w:pPr>
        <w:jc w:val="center"/>
        <w:rPr>
          <w:rFonts w:ascii="Arial" w:hAnsi="Arial" w:cs="Arial"/>
          <w:sz w:val="36"/>
        </w:rPr>
      </w:pPr>
    </w:p>
    <w:p w14:paraId="78CBB744" w14:textId="77777777" w:rsidR="00B01DAF" w:rsidRPr="001427AF" w:rsidRDefault="00B01DAF" w:rsidP="00B01DAF">
      <w:pPr>
        <w:jc w:val="center"/>
        <w:rPr>
          <w:rFonts w:ascii="Arial" w:hAnsi="Arial" w:cs="Arial"/>
          <w:sz w:val="36"/>
        </w:rPr>
      </w:pPr>
    </w:p>
    <w:p w14:paraId="78CBB745" w14:textId="77777777" w:rsidR="00B01DAF" w:rsidRPr="001427AF" w:rsidRDefault="00B01DAF" w:rsidP="00B01DAF">
      <w:pPr>
        <w:jc w:val="center"/>
        <w:rPr>
          <w:rFonts w:ascii="Arial" w:hAnsi="Arial" w:cs="Arial"/>
          <w:sz w:val="36"/>
        </w:rPr>
      </w:pPr>
    </w:p>
    <w:p w14:paraId="78CBB746" w14:textId="77777777" w:rsidR="00B01DAF" w:rsidRPr="001427AF" w:rsidRDefault="00B01DAF" w:rsidP="00B01DAF">
      <w:pPr>
        <w:jc w:val="center"/>
        <w:rPr>
          <w:rFonts w:ascii="Arial" w:hAnsi="Arial" w:cs="Arial"/>
          <w:sz w:val="36"/>
        </w:rPr>
      </w:pPr>
    </w:p>
    <w:p w14:paraId="78CBB74A" w14:textId="77777777" w:rsidR="00B01DAF" w:rsidRPr="001427AF" w:rsidRDefault="00B01DAF" w:rsidP="00B01DAF">
      <w:pPr>
        <w:pBdr>
          <w:bottom w:val="single" w:sz="4" w:space="1" w:color="auto"/>
        </w:pBdr>
        <w:jc w:val="center"/>
        <w:rPr>
          <w:rFonts w:ascii="Arial" w:hAnsi="Arial" w:cs="Arial"/>
          <w:sz w:val="36"/>
        </w:rPr>
      </w:pPr>
    </w:p>
    <w:p w14:paraId="05660268" w14:textId="77777777" w:rsidR="00EA6B37" w:rsidRPr="001427AF" w:rsidRDefault="00EA6B37" w:rsidP="00B01DAF">
      <w:pPr>
        <w:pBdr>
          <w:bottom w:val="single" w:sz="4" w:space="1" w:color="auto"/>
        </w:pBdr>
        <w:jc w:val="center"/>
        <w:rPr>
          <w:rFonts w:ascii="Arial" w:hAnsi="Arial" w:cs="Arial"/>
          <w:sz w:val="36"/>
        </w:rPr>
      </w:pPr>
    </w:p>
    <w:p w14:paraId="78CBB74B" w14:textId="77777777" w:rsidR="00B01DAF" w:rsidRPr="001427AF" w:rsidRDefault="00B01DAF" w:rsidP="00B01DAF">
      <w:pPr>
        <w:jc w:val="center"/>
        <w:rPr>
          <w:rFonts w:ascii="Arial" w:hAnsi="Arial" w:cs="Arial"/>
        </w:rPr>
      </w:pPr>
    </w:p>
    <w:p w14:paraId="78CBB74C" w14:textId="77777777" w:rsidR="00B01DAF" w:rsidRPr="001427AF" w:rsidRDefault="00B01DAF" w:rsidP="00B01DAF">
      <w:pPr>
        <w:jc w:val="center"/>
        <w:rPr>
          <w:rFonts w:ascii="Arial" w:hAnsi="Arial" w:cs="Arial"/>
        </w:rPr>
      </w:pPr>
    </w:p>
    <w:p w14:paraId="17EDBC81" w14:textId="23A6D62E" w:rsidR="00D11C79" w:rsidRPr="001427AF" w:rsidRDefault="00D11C79" w:rsidP="00894465">
      <w:pPr>
        <w:jc w:val="center"/>
        <w:rPr>
          <w:rFonts w:ascii="Arial" w:hAnsi="Arial" w:cs="Arial"/>
          <w:b/>
          <w:strike/>
          <w:sz w:val="36"/>
          <w:szCs w:val="36"/>
        </w:rPr>
      </w:pPr>
    </w:p>
    <w:p w14:paraId="727B4061" w14:textId="3D4FA7D2" w:rsidR="00D11C79" w:rsidRPr="001427AF" w:rsidRDefault="0082516C" w:rsidP="0082516C">
      <w:pPr>
        <w:tabs>
          <w:tab w:val="center" w:pos="4680"/>
          <w:tab w:val="right" w:pos="9360"/>
        </w:tabs>
        <w:jc w:val="center"/>
        <w:rPr>
          <w:rFonts w:ascii="Arial" w:hAnsi="Arial" w:cs="Arial"/>
          <w:b/>
          <w:bCs/>
          <w:sz w:val="36"/>
          <w:szCs w:val="36"/>
        </w:rPr>
      </w:pPr>
      <w:r>
        <w:rPr>
          <w:rFonts w:ascii="Arial" w:hAnsi="Arial" w:cs="Arial"/>
          <w:b/>
          <w:bCs/>
          <w:sz w:val="36"/>
          <w:szCs w:val="36"/>
        </w:rPr>
        <w:t>September</w:t>
      </w:r>
      <w:r w:rsidR="009F40B9">
        <w:rPr>
          <w:rFonts w:ascii="Arial" w:hAnsi="Arial" w:cs="Arial"/>
          <w:b/>
          <w:bCs/>
          <w:sz w:val="36"/>
          <w:szCs w:val="36"/>
        </w:rPr>
        <w:t xml:space="preserve"> </w:t>
      </w:r>
      <w:r w:rsidR="00D11C79" w:rsidRPr="001427AF">
        <w:rPr>
          <w:rFonts w:ascii="Arial" w:hAnsi="Arial" w:cs="Arial"/>
          <w:b/>
          <w:bCs/>
          <w:sz w:val="36"/>
          <w:szCs w:val="36"/>
        </w:rPr>
        <w:t>202</w:t>
      </w:r>
      <w:r w:rsidR="0033645E">
        <w:rPr>
          <w:rFonts w:ascii="Arial" w:hAnsi="Arial" w:cs="Arial"/>
          <w:b/>
          <w:bCs/>
          <w:sz w:val="36"/>
          <w:szCs w:val="36"/>
        </w:rPr>
        <w:t>6</w:t>
      </w:r>
    </w:p>
    <w:p w14:paraId="1AF74138" w14:textId="77777777" w:rsidR="00C62A5B" w:rsidRPr="00FA32BA" w:rsidRDefault="008B19E3" w:rsidP="00C62A5B">
      <w:pPr>
        <w:pStyle w:val="paragraph"/>
        <w:spacing w:before="0" w:beforeAutospacing="0" w:after="0" w:afterAutospacing="0"/>
        <w:textAlignment w:val="baseline"/>
        <w:rPr>
          <w:rStyle w:val="eop"/>
          <w:rFonts w:ascii="Arial" w:hAnsi="Arial" w:cs="Arial"/>
          <w:b/>
          <w:bCs/>
          <w:sz w:val="28"/>
          <w:szCs w:val="28"/>
        </w:rPr>
      </w:pPr>
      <w:bookmarkStart w:id="0" w:name="Background"/>
      <w:bookmarkStart w:id="1" w:name="Preface"/>
      <w:r w:rsidRPr="001427AF">
        <w:rPr>
          <w:rFonts w:ascii="Arial" w:hAnsi="Arial" w:cs="Arial"/>
          <w:sz w:val="28"/>
          <w:szCs w:val="28"/>
        </w:rPr>
        <w:br w:type="page"/>
      </w:r>
      <w:r w:rsidR="00C62A5B" w:rsidRPr="001427AF">
        <w:rPr>
          <w:rStyle w:val="contentcontrolboundarysink"/>
          <w:rFonts w:ascii="Arial" w:hAnsi="Arial" w:cs="Arial"/>
          <w:color w:val="000000"/>
        </w:rPr>
        <w:lastRenderedPageBreak/>
        <w:t>​​</w:t>
      </w:r>
      <w:r w:rsidR="00C62A5B" w:rsidRPr="00FA32BA">
        <w:rPr>
          <w:rStyle w:val="normaltextrun"/>
          <w:rFonts w:ascii="Arial" w:hAnsi="Arial" w:cs="Arial"/>
          <w:b/>
          <w:bCs/>
          <w:i/>
          <w:iCs/>
          <w:sz w:val="28"/>
          <w:szCs w:val="28"/>
        </w:rPr>
        <w:t>Contents</w:t>
      </w:r>
      <w:r w:rsidR="00C62A5B" w:rsidRPr="00FA32BA">
        <w:rPr>
          <w:rStyle w:val="eop"/>
          <w:rFonts w:ascii="Arial" w:hAnsi="Arial" w:cs="Arial"/>
          <w:b/>
          <w:bCs/>
          <w:sz w:val="28"/>
          <w:szCs w:val="28"/>
        </w:rPr>
        <w:t> </w:t>
      </w:r>
    </w:p>
    <w:p w14:paraId="5E2DA8A5" w14:textId="77777777" w:rsidR="00816801" w:rsidRPr="00FA32BA" w:rsidRDefault="00816801" w:rsidP="00C62A5B">
      <w:pPr>
        <w:pStyle w:val="paragraph"/>
        <w:spacing w:before="0" w:beforeAutospacing="0" w:after="0" w:afterAutospacing="0"/>
        <w:textAlignment w:val="baseline"/>
        <w:rPr>
          <w:rFonts w:ascii="Arial" w:hAnsi="Arial" w:cs="Arial"/>
          <w:b/>
          <w:bCs/>
          <w:sz w:val="18"/>
          <w:szCs w:val="18"/>
        </w:rPr>
      </w:pPr>
    </w:p>
    <w:p w14:paraId="1A8DD412" w14:textId="45089D50" w:rsidR="00C62A5B" w:rsidRPr="00FA32BA" w:rsidRDefault="004B354B" w:rsidP="00DD2021">
      <w:pPr>
        <w:pStyle w:val="paragraph"/>
        <w:tabs>
          <w:tab w:val="left" w:pos="900"/>
          <w:tab w:val="left" w:pos="1080"/>
          <w:tab w:val="left" w:pos="6248"/>
        </w:tabs>
        <w:spacing w:before="0" w:beforeAutospacing="0" w:after="0" w:afterAutospacing="0"/>
        <w:textAlignment w:val="baseline"/>
        <w:rPr>
          <w:rFonts w:ascii="Arial" w:hAnsi="Arial" w:cs="Arial"/>
          <w:color w:val="000000"/>
          <w:sz w:val="18"/>
          <w:szCs w:val="18"/>
        </w:rPr>
      </w:pPr>
      <w:r w:rsidRPr="00FA32BA">
        <w:rPr>
          <w:rStyle w:val="contentcontrolboundarysink"/>
          <w:rFonts w:ascii="Arial" w:hAnsi="Arial" w:cs="Arial"/>
        </w:rPr>
        <w:t xml:space="preserve">                  </w:t>
      </w:r>
      <w:r w:rsidR="00C62A5B" w:rsidRPr="00FA32BA">
        <w:rPr>
          <w:rStyle w:val="normaltextrun"/>
          <w:rFonts w:ascii="Arial" w:hAnsi="Arial" w:cs="Arial"/>
        </w:rPr>
        <w:t>Preface</w:t>
      </w:r>
      <w:r w:rsidR="00DD2021" w:rsidRPr="00FA32BA">
        <w:rPr>
          <w:rStyle w:val="normaltextrun"/>
          <w:rFonts w:ascii="Arial" w:hAnsi="Arial" w:cs="Arial"/>
        </w:rPr>
        <w:t xml:space="preserve">     </w:t>
      </w:r>
      <w:r w:rsidR="00C62A5B" w:rsidRPr="00FA32BA">
        <w:rPr>
          <w:rStyle w:val="normaltextrun"/>
          <w:rFonts w:ascii="Arial" w:hAnsi="Arial" w:cs="Arial"/>
        </w:rPr>
        <w:t>vii</w:t>
      </w:r>
      <w:r w:rsidR="00C62A5B" w:rsidRPr="00FA32BA">
        <w:rPr>
          <w:rStyle w:val="eop"/>
          <w:rFonts w:ascii="Arial" w:hAnsi="Arial" w:cs="Arial"/>
        </w:rPr>
        <w:t> </w:t>
      </w:r>
      <w:r w:rsidR="00DD2021" w:rsidRPr="00FA32BA">
        <w:rPr>
          <w:rStyle w:val="eop"/>
          <w:rFonts w:ascii="Arial" w:hAnsi="Arial" w:cs="Arial"/>
        </w:rPr>
        <w:tab/>
      </w:r>
    </w:p>
    <w:p w14:paraId="4E0D6F09" w14:textId="1BF34B18" w:rsidR="00C62A5B" w:rsidRPr="00FA32BA" w:rsidRDefault="004B354B" w:rsidP="004B354B">
      <w:pPr>
        <w:pStyle w:val="paragraph"/>
        <w:spacing w:before="0" w:beforeAutospacing="0" w:after="0" w:afterAutospacing="0"/>
        <w:textAlignment w:val="baseline"/>
        <w:rPr>
          <w:rFonts w:ascii="Arial" w:hAnsi="Arial" w:cs="Arial"/>
          <w:color w:val="000000"/>
          <w:sz w:val="18"/>
          <w:szCs w:val="18"/>
        </w:rPr>
      </w:pPr>
      <w:r w:rsidRPr="00FA32BA">
        <w:rPr>
          <w:rStyle w:val="contentcontrolboundarysink"/>
          <w:rFonts w:ascii="Arial" w:hAnsi="Arial" w:cs="Arial"/>
        </w:rPr>
        <w:t xml:space="preserve">                  </w:t>
      </w:r>
      <w:r w:rsidR="00C62A5B" w:rsidRPr="00FA32BA">
        <w:rPr>
          <w:rStyle w:val="normaltextrun"/>
          <w:rFonts w:ascii="Arial" w:hAnsi="Arial" w:cs="Arial"/>
        </w:rPr>
        <w:t>List of Abbreviations</w:t>
      </w:r>
      <w:r w:rsidR="00801E11" w:rsidRPr="00FA32BA">
        <w:rPr>
          <w:rStyle w:val="normaltextrun"/>
          <w:rFonts w:ascii="Arial" w:hAnsi="Arial" w:cs="Arial"/>
        </w:rPr>
        <w:t xml:space="preserve">     </w:t>
      </w:r>
      <w:r w:rsidR="00C62A5B" w:rsidRPr="00FA32BA">
        <w:rPr>
          <w:rStyle w:val="normaltextrun"/>
          <w:rFonts w:ascii="Arial" w:hAnsi="Arial" w:cs="Arial"/>
        </w:rPr>
        <w:t>x</w:t>
      </w:r>
      <w:r w:rsidR="00C62A5B" w:rsidRPr="00FA32BA">
        <w:rPr>
          <w:rStyle w:val="eop"/>
          <w:rFonts w:ascii="Arial" w:hAnsi="Arial" w:cs="Arial"/>
        </w:rPr>
        <w:t> </w:t>
      </w:r>
    </w:p>
    <w:p w14:paraId="74698475" w14:textId="176E77E0" w:rsidR="00C62A5B" w:rsidRPr="00FA32BA" w:rsidRDefault="004B354B" w:rsidP="004B354B">
      <w:pPr>
        <w:pStyle w:val="paragraph"/>
        <w:spacing w:before="0" w:beforeAutospacing="0" w:after="0" w:afterAutospacing="0"/>
        <w:textAlignment w:val="baseline"/>
        <w:rPr>
          <w:rFonts w:ascii="Arial" w:hAnsi="Arial" w:cs="Arial"/>
          <w:color w:val="000000"/>
          <w:sz w:val="18"/>
          <w:szCs w:val="18"/>
        </w:rPr>
      </w:pPr>
      <w:r w:rsidRPr="00FA32BA">
        <w:rPr>
          <w:rStyle w:val="contentcontrolboundarysink"/>
          <w:rFonts w:ascii="Arial" w:hAnsi="Arial" w:cs="Arial"/>
        </w:rPr>
        <w:t xml:space="preserve">                  </w:t>
      </w:r>
      <w:r w:rsidR="00C62A5B" w:rsidRPr="00FA32BA">
        <w:rPr>
          <w:rStyle w:val="normaltextrun"/>
          <w:rFonts w:ascii="Arial" w:hAnsi="Arial" w:cs="Arial"/>
        </w:rPr>
        <w:t>List of Illustrations   xii</w:t>
      </w:r>
      <w:r w:rsidR="00C62A5B" w:rsidRPr="00FA32BA">
        <w:rPr>
          <w:rStyle w:val="eop"/>
          <w:rFonts w:ascii="Arial" w:hAnsi="Arial" w:cs="Arial"/>
        </w:rPr>
        <w:t> </w:t>
      </w:r>
    </w:p>
    <w:p w14:paraId="43F484D7" w14:textId="0F0B74B1" w:rsidR="008B19E3" w:rsidRPr="00FA32BA" w:rsidRDefault="008B19E3">
      <w:pPr>
        <w:spacing w:line="240" w:lineRule="auto"/>
        <w:rPr>
          <w:rFonts w:ascii="Arial" w:hAnsi="Arial" w:cs="Arial"/>
          <w:sz w:val="28"/>
          <w:szCs w:val="28"/>
        </w:rPr>
      </w:pPr>
    </w:p>
    <w:p w14:paraId="1DF286B0" w14:textId="69551E3B" w:rsidR="0019094C" w:rsidRDefault="00E905EB">
      <w:pPr>
        <w:pStyle w:val="TOC1"/>
        <w:rPr>
          <w:rFonts w:asciiTheme="minorHAnsi" w:eastAsiaTheme="minorEastAsia" w:hAnsiTheme="minorHAnsi" w:cstheme="minorBidi"/>
          <w:b w:val="0"/>
          <w:bCs w:val="0"/>
          <w:iCs w:val="0"/>
          <w:caps w:val="0"/>
          <w:color w:val="auto"/>
          <w:kern w:val="2"/>
          <w14:ligatures w14:val="standardContextual"/>
        </w:rPr>
      </w:pPr>
      <w:r>
        <w:rPr>
          <w:bCs w:val="0"/>
          <w:iCs w:val="0"/>
          <w:caps w:val="0"/>
        </w:rPr>
        <w:fldChar w:fldCharType="begin"/>
      </w:r>
      <w:r>
        <w:rPr>
          <w:bCs w:val="0"/>
          <w:iCs w:val="0"/>
          <w:caps w:val="0"/>
        </w:rPr>
        <w:instrText xml:space="preserve"> TOC \o "1-3" \h \z \u </w:instrText>
      </w:r>
      <w:r>
        <w:rPr>
          <w:bCs w:val="0"/>
          <w:iCs w:val="0"/>
          <w:caps w:val="0"/>
        </w:rPr>
        <w:fldChar w:fldCharType="separate"/>
      </w:r>
      <w:hyperlink w:anchor="_Toc225404940" w:history="1">
        <w:r w:rsidR="0019094C" w:rsidRPr="00831593">
          <w:rPr>
            <w:rStyle w:val="Hyperlink"/>
          </w:rPr>
          <w:t>1</w:t>
        </w:r>
        <w:r w:rsidR="0019094C">
          <w:rPr>
            <w:rFonts w:asciiTheme="minorHAnsi" w:eastAsiaTheme="minorEastAsia" w:hAnsiTheme="minorHAnsi" w:cstheme="minorBidi"/>
            <w:b w:val="0"/>
            <w:bCs w:val="0"/>
            <w:iCs w:val="0"/>
            <w:caps w:val="0"/>
            <w:color w:val="auto"/>
            <w:kern w:val="2"/>
            <w14:ligatures w14:val="standardContextual"/>
          </w:rPr>
          <w:tab/>
        </w:r>
        <w:r w:rsidR="0019094C" w:rsidRPr="00831593">
          <w:rPr>
            <w:rStyle w:val="Hyperlink"/>
          </w:rPr>
          <w:t>School Performance Grades Overview | Components and Indicators</w:t>
        </w:r>
        <w:r w:rsidR="0019094C">
          <w:rPr>
            <w:webHidden/>
          </w:rPr>
          <w:tab/>
        </w:r>
        <w:r w:rsidR="0019094C">
          <w:rPr>
            <w:webHidden/>
          </w:rPr>
          <w:fldChar w:fldCharType="begin"/>
        </w:r>
        <w:r w:rsidR="0019094C">
          <w:rPr>
            <w:webHidden/>
          </w:rPr>
          <w:instrText xml:space="preserve"> PAGEREF _Toc225404940 \h </w:instrText>
        </w:r>
        <w:r w:rsidR="0019094C">
          <w:rPr>
            <w:webHidden/>
          </w:rPr>
        </w:r>
        <w:r w:rsidR="0019094C">
          <w:rPr>
            <w:webHidden/>
          </w:rPr>
          <w:fldChar w:fldCharType="separate"/>
        </w:r>
        <w:r w:rsidR="00DB67EF">
          <w:rPr>
            <w:webHidden/>
          </w:rPr>
          <w:t>1</w:t>
        </w:r>
        <w:r w:rsidR="0019094C">
          <w:rPr>
            <w:webHidden/>
          </w:rPr>
          <w:fldChar w:fldCharType="end"/>
        </w:r>
      </w:hyperlink>
    </w:p>
    <w:p w14:paraId="7C25C65B" w14:textId="76907D3E"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1" w:history="1">
        <w:r w:rsidRPr="00831593">
          <w:rPr>
            <w:rStyle w:val="Hyperlink"/>
          </w:rPr>
          <w:t>1.1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School Performance Grade Components</w:t>
        </w:r>
        <w:r>
          <w:rPr>
            <w:webHidden/>
          </w:rPr>
          <w:tab/>
        </w:r>
        <w:r>
          <w:rPr>
            <w:webHidden/>
          </w:rPr>
          <w:fldChar w:fldCharType="begin"/>
        </w:r>
        <w:r>
          <w:rPr>
            <w:webHidden/>
          </w:rPr>
          <w:instrText xml:space="preserve"> PAGEREF _Toc225404941 \h </w:instrText>
        </w:r>
        <w:r>
          <w:rPr>
            <w:webHidden/>
          </w:rPr>
        </w:r>
        <w:r>
          <w:rPr>
            <w:webHidden/>
          </w:rPr>
          <w:fldChar w:fldCharType="separate"/>
        </w:r>
        <w:r w:rsidR="00DB67EF">
          <w:rPr>
            <w:webHidden/>
          </w:rPr>
          <w:t>1</w:t>
        </w:r>
        <w:r>
          <w:rPr>
            <w:webHidden/>
          </w:rPr>
          <w:fldChar w:fldCharType="end"/>
        </w:r>
      </w:hyperlink>
    </w:p>
    <w:p w14:paraId="503788A5" w14:textId="4868D359"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2" w:history="1">
        <w:r w:rsidRPr="00831593">
          <w:rPr>
            <w:rStyle w:val="Hyperlink"/>
          </w:rPr>
          <w:t>1.2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School Performance Grade Indicators</w:t>
        </w:r>
        <w:r>
          <w:rPr>
            <w:webHidden/>
          </w:rPr>
          <w:tab/>
        </w:r>
        <w:r>
          <w:rPr>
            <w:webHidden/>
          </w:rPr>
          <w:fldChar w:fldCharType="begin"/>
        </w:r>
        <w:r>
          <w:rPr>
            <w:webHidden/>
          </w:rPr>
          <w:instrText xml:space="preserve"> PAGEREF _Toc225404942 \h </w:instrText>
        </w:r>
        <w:r>
          <w:rPr>
            <w:webHidden/>
          </w:rPr>
        </w:r>
        <w:r>
          <w:rPr>
            <w:webHidden/>
          </w:rPr>
          <w:fldChar w:fldCharType="separate"/>
        </w:r>
        <w:r w:rsidR="00DB67EF">
          <w:rPr>
            <w:webHidden/>
          </w:rPr>
          <w:t>1</w:t>
        </w:r>
        <w:r>
          <w:rPr>
            <w:webHidden/>
          </w:rPr>
          <w:fldChar w:fldCharType="end"/>
        </w:r>
      </w:hyperlink>
    </w:p>
    <w:p w14:paraId="7D81F7E1" w14:textId="02BA19ED"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3" w:history="1">
        <w:r w:rsidRPr="00831593">
          <w:rPr>
            <w:rStyle w:val="Hyperlink"/>
          </w:rPr>
          <w:t>1.3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School Performance Grade Indicators for Elementary and Secondary Schools (Kindergarten through Grade Eight) That Are Not High Schools</w:t>
        </w:r>
        <w:r>
          <w:rPr>
            <w:webHidden/>
          </w:rPr>
          <w:tab/>
        </w:r>
        <w:r>
          <w:rPr>
            <w:webHidden/>
          </w:rPr>
          <w:fldChar w:fldCharType="begin"/>
        </w:r>
        <w:r>
          <w:rPr>
            <w:webHidden/>
          </w:rPr>
          <w:instrText xml:space="preserve"> PAGEREF _Toc225404943 \h </w:instrText>
        </w:r>
        <w:r>
          <w:rPr>
            <w:webHidden/>
          </w:rPr>
        </w:r>
        <w:r>
          <w:rPr>
            <w:webHidden/>
          </w:rPr>
          <w:fldChar w:fldCharType="separate"/>
        </w:r>
        <w:r w:rsidR="00DB67EF">
          <w:rPr>
            <w:webHidden/>
          </w:rPr>
          <w:t>2</w:t>
        </w:r>
        <w:r>
          <w:rPr>
            <w:webHidden/>
          </w:rPr>
          <w:fldChar w:fldCharType="end"/>
        </w:r>
      </w:hyperlink>
    </w:p>
    <w:p w14:paraId="7E0F800D" w14:textId="53D0B029"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4" w:history="1">
        <w:r w:rsidRPr="00831593">
          <w:rPr>
            <w:rStyle w:val="Hyperlink"/>
          </w:rPr>
          <w:t>1.4</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School Performance Grade Indicators for High Schools</w:t>
        </w:r>
        <w:r>
          <w:rPr>
            <w:webHidden/>
          </w:rPr>
          <w:tab/>
        </w:r>
        <w:r>
          <w:rPr>
            <w:webHidden/>
          </w:rPr>
          <w:fldChar w:fldCharType="begin"/>
        </w:r>
        <w:r>
          <w:rPr>
            <w:webHidden/>
          </w:rPr>
          <w:instrText xml:space="preserve"> PAGEREF _Toc225404944 \h </w:instrText>
        </w:r>
        <w:r>
          <w:rPr>
            <w:webHidden/>
          </w:rPr>
        </w:r>
        <w:r>
          <w:rPr>
            <w:webHidden/>
          </w:rPr>
          <w:fldChar w:fldCharType="separate"/>
        </w:r>
        <w:r w:rsidR="00DB67EF">
          <w:rPr>
            <w:webHidden/>
          </w:rPr>
          <w:t>3</w:t>
        </w:r>
        <w:r>
          <w:rPr>
            <w:webHidden/>
          </w:rPr>
          <w:fldChar w:fldCharType="end"/>
        </w:r>
      </w:hyperlink>
    </w:p>
    <w:p w14:paraId="33B062BE" w14:textId="7675F278"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5" w:history="1">
        <w:r w:rsidRPr="00831593">
          <w:rPr>
            <w:rStyle w:val="Hyperlink"/>
          </w:rPr>
          <w:t>1.5</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Calculating a School’s Growth Score</w:t>
        </w:r>
        <w:r>
          <w:rPr>
            <w:webHidden/>
          </w:rPr>
          <w:tab/>
        </w:r>
        <w:r>
          <w:rPr>
            <w:webHidden/>
          </w:rPr>
          <w:fldChar w:fldCharType="begin"/>
        </w:r>
        <w:r>
          <w:rPr>
            <w:webHidden/>
          </w:rPr>
          <w:instrText xml:space="preserve"> PAGEREF _Toc225404945 \h </w:instrText>
        </w:r>
        <w:r>
          <w:rPr>
            <w:webHidden/>
          </w:rPr>
        </w:r>
        <w:r>
          <w:rPr>
            <w:webHidden/>
          </w:rPr>
          <w:fldChar w:fldCharType="separate"/>
        </w:r>
        <w:r w:rsidR="00DB67EF">
          <w:rPr>
            <w:webHidden/>
          </w:rPr>
          <w:t>4</w:t>
        </w:r>
        <w:r>
          <w:rPr>
            <w:webHidden/>
          </w:rPr>
          <w:fldChar w:fldCharType="end"/>
        </w:r>
      </w:hyperlink>
    </w:p>
    <w:p w14:paraId="10C8DBC8" w14:textId="33E7E9CA"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6" w:history="1">
        <w:r w:rsidRPr="00831593">
          <w:rPr>
            <w:rStyle w:val="Hyperlink"/>
          </w:rPr>
          <w:t>1.6</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Guidelines Applied in Calculation of School Growth</w:t>
        </w:r>
        <w:r>
          <w:rPr>
            <w:webHidden/>
          </w:rPr>
          <w:tab/>
        </w:r>
        <w:r>
          <w:rPr>
            <w:webHidden/>
          </w:rPr>
          <w:fldChar w:fldCharType="begin"/>
        </w:r>
        <w:r>
          <w:rPr>
            <w:webHidden/>
          </w:rPr>
          <w:instrText xml:space="preserve"> PAGEREF _Toc225404946 \h </w:instrText>
        </w:r>
        <w:r>
          <w:rPr>
            <w:webHidden/>
          </w:rPr>
        </w:r>
        <w:r>
          <w:rPr>
            <w:webHidden/>
          </w:rPr>
          <w:fldChar w:fldCharType="separate"/>
        </w:r>
        <w:r w:rsidR="00DB67EF">
          <w:rPr>
            <w:webHidden/>
          </w:rPr>
          <w:t>5</w:t>
        </w:r>
        <w:r>
          <w:rPr>
            <w:webHidden/>
          </w:rPr>
          <w:fldChar w:fldCharType="end"/>
        </w:r>
      </w:hyperlink>
    </w:p>
    <w:p w14:paraId="04A44972" w14:textId="2EA2B9D2"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7" w:history="1">
        <w:r w:rsidRPr="00831593">
          <w:rPr>
            <w:rStyle w:val="Hyperlink"/>
          </w:rPr>
          <w:t>1.7</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School Performance Grades for Reading and Mathematics</w:t>
        </w:r>
        <w:r>
          <w:rPr>
            <w:webHidden/>
          </w:rPr>
          <w:tab/>
        </w:r>
        <w:r>
          <w:rPr>
            <w:webHidden/>
          </w:rPr>
          <w:fldChar w:fldCharType="begin"/>
        </w:r>
        <w:r>
          <w:rPr>
            <w:webHidden/>
          </w:rPr>
          <w:instrText xml:space="preserve"> PAGEREF _Toc225404947 \h </w:instrText>
        </w:r>
        <w:r>
          <w:rPr>
            <w:webHidden/>
          </w:rPr>
        </w:r>
        <w:r>
          <w:rPr>
            <w:webHidden/>
          </w:rPr>
          <w:fldChar w:fldCharType="separate"/>
        </w:r>
        <w:r w:rsidR="00DB67EF">
          <w:rPr>
            <w:webHidden/>
          </w:rPr>
          <w:t>6</w:t>
        </w:r>
        <w:r>
          <w:rPr>
            <w:webHidden/>
          </w:rPr>
          <w:fldChar w:fldCharType="end"/>
        </w:r>
      </w:hyperlink>
    </w:p>
    <w:p w14:paraId="2DA26053" w14:textId="54B5B9E9"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8" w:history="1">
        <w:r w:rsidRPr="00831593">
          <w:rPr>
            <w:rStyle w:val="Hyperlink"/>
          </w:rPr>
          <w:t>1.8</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School Performance Grades for K–12 Schools</w:t>
        </w:r>
        <w:r>
          <w:rPr>
            <w:webHidden/>
          </w:rPr>
          <w:tab/>
        </w:r>
        <w:r>
          <w:rPr>
            <w:webHidden/>
          </w:rPr>
          <w:fldChar w:fldCharType="begin"/>
        </w:r>
        <w:r>
          <w:rPr>
            <w:webHidden/>
          </w:rPr>
          <w:instrText xml:space="preserve"> PAGEREF _Toc225404948 \h </w:instrText>
        </w:r>
        <w:r>
          <w:rPr>
            <w:webHidden/>
          </w:rPr>
        </w:r>
        <w:r>
          <w:rPr>
            <w:webHidden/>
          </w:rPr>
          <w:fldChar w:fldCharType="separate"/>
        </w:r>
        <w:r w:rsidR="00DB67EF">
          <w:rPr>
            <w:webHidden/>
          </w:rPr>
          <w:t>6</w:t>
        </w:r>
        <w:r>
          <w:rPr>
            <w:webHidden/>
          </w:rPr>
          <w:fldChar w:fldCharType="end"/>
        </w:r>
      </w:hyperlink>
    </w:p>
    <w:p w14:paraId="495615B0" w14:textId="47C0659B"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49" w:history="1">
        <w:r w:rsidRPr="00831593">
          <w:rPr>
            <w:rStyle w:val="Hyperlink"/>
          </w:rPr>
          <w:t>1.9</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Summary of Tests Used in Accountability</w:t>
        </w:r>
        <w:r>
          <w:rPr>
            <w:webHidden/>
          </w:rPr>
          <w:tab/>
        </w:r>
        <w:r>
          <w:rPr>
            <w:webHidden/>
          </w:rPr>
          <w:fldChar w:fldCharType="begin"/>
        </w:r>
        <w:r>
          <w:rPr>
            <w:webHidden/>
          </w:rPr>
          <w:instrText xml:space="preserve"> PAGEREF _Toc225404949 \h </w:instrText>
        </w:r>
        <w:r>
          <w:rPr>
            <w:webHidden/>
          </w:rPr>
        </w:r>
        <w:r>
          <w:rPr>
            <w:webHidden/>
          </w:rPr>
          <w:fldChar w:fldCharType="separate"/>
        </w:r>
        <w:r w:rsidR="00DB67EF">
          <w:rPr>
            <w:webHidden/>
          </w:rPr>
          <w:t>6</w:t>
        </w:r>
        <w:r>
          <w:rPr>
            <w:webHidden/>
          </w:rPr>
          <w:fldChar w:fldCharType="end"/>
        </w:r>
      </w:hyperlink>
    </w:p>
    <w:p w14:paraId="068AC9FF" w14:textId="0B958DB3"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4950" w:history="1">
        <w:r w:rsidRPr="00831593">
          <w:rPr>
            <w:rStyle w:val="Hyperlink"/>
          </w:rPr>
          <w:t>2</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Calculation of School Performance Grades</w:t>
        </w:r>
        <w:r>
          <w:rPr>
            <w:webHidden/>
          </w:rPr>
          <w:tab/>
        </w:r>
        <w:r>
          <w:rPr>
            <w:webHidden/>
          </w:rPr>
          <w:fldChar w:fldCharType="begin"/>
        </w:r>
        <w:r>
          <w:rPr>
            <w:webHidden/>
          </w:rPr>
          <w:instrText xml:space="preserve"> PAGEREF _Toc225404950 \h </w:instrText>
        </w:r>
        <w:r>
          <w:rPr>
            <w:webHidden/>
          </w:rPr>
        </w:r>
        <w:r>
          <w:rPr>
            <w:webHidden/>
          </w:rPr>
          <w:fldChar w:fldCharType="separate"/>
        </w:r>
        <w:r w:rsidR="00DB67EF">
          <w:rPr>
            <w:webHidden/>
          </w:rPr>
          <w:t>7</w:t>
        </w:r>
        <w:r>
          <w:rPr>
            <w:webHidden/>
          </w:rPr>
          <w:fldChar w:fldCharType="end"/>
        </w:r>
      </w:hyperlink>
    </w:p>
    <w:p w14:paraId="1573F2F0" w14:textId="0A85ADCE"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1" w:history="1">
        <w:r w:rsidRPr="00831593">
          <w:rPr>
            <w:rStyle w:val="Hyperlink"/>
          </w:rPr>
          <w:t>2.1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School Performance Grades Overview</w:t>
        </w:r>
        <w:r>
          <w:rPr>
            <w:webHidden/>
          </w:rPr>
          <w:tab/>
        </w:r>
        <w:r>
          <w:rPr>
            <w:webHidden/>
          </w:rPr>
          <w:fldChar w:fldCharType="begin"/>
        </w:r>
        <w:r>
          <w:rPr>
            <w:webHidden/>
          </w:rPr>
          <w:instrText xml:space="preserve"> PAGEREF _Toc225404951 \h </w:instrText>
        </w:r>
        <w:r>
          <w:rPr>
            <w:webHidden/>
          </w:rPr>
        </w:r>
        <w:r>
          <w:rPr>
            <w:webHidden/>
          </w:rPr>
          <w:fldChar w:fldCharType="separate"/>
        </w:r>
        <w:r w:rsidR="00DB67EF">
          <w:rPr>
            <w:webHidden/>
          </w:rPr>
          <w:t>7</w:t>
        </w:r>
        <w:r>
          <w:rPr>
            <w:webHidden/>
          </w:rPr>
          <w:fldChar w:fldCharType="end"/>
        </w:r>
      </w:hyperlink>
    </w:p>
    <w:p w14:paraId="1C3B969D" w14:textId="7B576A6D"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2" w:history="1">
        <w:r w:rsidRPr="00831593">
          <w:rPr>
            <w:rStyle w:val="Hyperlink"/>
          </w:rPr>
          <w:t>2.2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Calculations of School Performance Grades</w:t>
        </w:r>
        <w:r>
          <w:rPr>
            <w:webHidden/>
          </w:rPr>
          <w:tab/>
        </w:r>
        <w:r>
          <w:rPr>
            <w:webHidden/>
          </w:rPr>
          <w:fldChar w:fldCharType="begin"/>
        </w:r>
        <w:r>
          <w:rPr>
            <w:webHidden/>
          </w:rPr>
          <w:instrText xml:space="preserve"> PAGEREF _Toc225404952 \h </w:instrText>
        </w:r>
        <w:r>
          <w:rPr>
            <w:webHidden/>
          </w:rPr>
        </w:r>
        <w:r>
          <w:rPr>
            <w:webHidden/>
          </w:rPr>
          <w:fldChar w:fldCharType="separate"/>
        </w:r>
        <w:r w:rsidR="00DB67EF">
          <w:rPr>
            <w:webHidden/>
          </w:rPr>
          <w:t>7</w:t>
        </w:r>
        <w:r>
          <w:rPr>
            <w:webHidden/>
          </w:rPr>
          <w:fldChar w:fldCharType="end"/>
        </w:r>
      </w:hyperlink>
    </w:p>
    <w:p w14:paraId="350DCC11" w14:textId="44645BAB"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3" w:history="1">
        <w:r w:rsidRPr="00831593">
          <w:rPr>
            <w:rStyle w:val="Hyperlink"/>
          </w:rPr>
          <w:t>2.3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Guidelines for Schools Without Enough Data</w:t>
        </w:r>
        <w:r>
          <w:rPr>
            <w:webHidden/>
          </w:rPr>
          <w:tab/>
        </w:r>
        <w:r>
          <w:rPr>
            <w:webHidden/>
          </w:rPr>
          <w:fldChar w:fldCharType="begin"/>
        </w:r>
        <w:r>
          <w:rPr>
            <w:webHidden/>
          </w:rPr>
          <w:instrText xml:space="preserve"> PAGEREF _Toc225404953 \h </w:instrText>
        </w:r>
        <w:r>
          <w:rPr>
            <w:webHidden/>
          </w:rPr>
        </w:r>
        <w:r>
          <w:rPr>
            <w:webHidden/>
          </w:rPr>
          <w:fldChar w:fldCharType="separate"/>
        </w:r>
        <w:r w:rsidR="00DB67EF">
          <w:rPr>
            <w:webHidden/>
          </w:rPr>
          <w:t>10</w:t>
        </w:r>
        <w:r>
          <w:rPr>
            <w:webHidden/>
          </w:rPr>
          <w:fldChar w:fldCharType="end"/>
        </w:r>
      </w:hyperlink>
    </w:p>
    <w:p w14:paraId="6D5A8981" w14:textId="5CBD3B4E"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4" w:history="1">
        <w:r w:rsidRPr="00831593">
          <w:rPr>
            <w:rStyle w:val="Hyperlink"/>
          </w:rPr>
          <w:t>2.4</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Alternate Calculation for Special Weighting</w:t>
        </w:r>
        <w:r>
          <w:rPr>
            <w:webHidden/>
          </w:rPr>
          <w:tab/>
        </w:r>
        <w:r>
          <w:rPr>
            <w:webHidden/>
          </w:rPr>
          <w:fldChar w:fldCharType="begin"/>
        </w:r>
        <w:r>
          <w:rPr>
            <w:webHidden/>
          </w:rPr>
          <w:instrText xml:space="preserve"> PAGEREF _Toc225404954 \h </w:instrText>
        </w:r>
        <w:r>
          <w:rPr>
            <w:webHidden/>
          </w:rPr>
        </w:r>
        <w:r>
          <w:rPr>
            <w:webHidden/>
          </w:rPr>
          <w:fldChar w:fldCharType="separate"/>
        </w:r>
        <w:r w:rsidR="00DB67EF">
          <w:rPr>
            <w:webHidden/>
          </w:rPr>
          <w:t>10</w:t>
        </w:r>
        <w:r>
          <w:rPr>
            <w:webHidden/>
          </w:rPr>
          <w:fldChar w:fldCharType="end"/>
        </w:r>
      </w:hyperlink>
    </w:p>
    <w:p w14:paraId="455A1831" w14:textId="24ACC1B7"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5" w:history="1">
        <w:r w:rsidRPr="00831593">
          <w:rPr>
            <w:rStyle w:val="Hyperlink"/>
          </w:rPr>
          <w:t>2.5</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Three-Year Graduates</w:t>
        </w:r>
        <w:r>
          <w:rPr>
            <w:webHidden/>
          </w:rPr>
          <w:tab/>
        </w:r>
        <w:r>
          <w:rPr>
            <w:webHidden/>
          </w:rPr>
          <w:fldChar w:fldCharType="begin"/>
        </w:r>
        <w:r>
          <w:rPr>
            <w:webHidden/>
          </w:rPr>
          <w:instrText xml:space="preserve"> PAGEREF _Toc225404955 \h </w:instrText>
        </w:r>
        <w:r>
          <w:rPr>
            <w:webHidden/>
          </w:rPr>
        </w:r>
        <w:r>
          <w:rPr>
            <w:webHidden/>
          </w:rPr>
          <w:fldChar w:fldCharType="separate"/>
        </w:r>
        <w:r w:rsidR="00DB67EF">
          <w:rPr>
            <w:webHidden/>
          </w:rPr>
          <w:t>11</w:t>
        </w:r>
        <w:r>
          <w:rPr>
            <w:webHidden/>
          </w:rPr>
          <w:fldChar w:fldCharType="end"/>
        </w:r>
      </w:hyperlink>
    </w:p>
    <w:p w14:paraId="2C5EF33B" w14:textId="464DC8D6"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6" w:history="1">
        <w:r w:rsidRPr="00831593">
          <w:rPr>
            <w:rStyle w:val="Hyperlink"/>
          </w:rPr>
          <w:t>2.6</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Reading and Mathematics EOG and EOC Proficiency Calculation</w:t>
        </w:r>
        <w:r>
          <w:rPr>
            <w:webHidden/>
          </w:rPr>
          <w:tab/>
        </w:r>
        <w:r>
          <w:rPr>
            <w:webHidden/>
          </w:rPr>
          <w:fldChar w:fldCharType="begin"/>
        </w:r>
        <w:r>
          <w:rPr>
            <w:webHidden/>
          </w:rPr>
          <w:instrText xml:space="preserve"> PAGEREF _Toc225404956 \h </w:instrText>
        </w:r>
        <w:r>
          <w:rPr>
            <w:webHidden/>
          </w:rPr>
        </w:r>
        <w:r>
          <w:rPr>
            <w:webHidden/>
          </w:rPr>
          <w:fldChar w:fldCharType="separate"/>
        </w:r>
        <w:r w:rsidR="00DB67EF">
          <w:rPr>
            <w:webHidden/>
          </w:rPr>
          <w:t>11</w:t>
        </w:r>
        <w:r>
          <w:rPr>
            <w:webHidden/>
          </w:rPr>
          <w:fldChar w:fldCharType="end"/>
        </w:r>
      </w:hyperlink>
    </w:p>
    <w:p w14:paraId="51A5F9B2" w14:textId="7A9B091F"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7" w:history="1">
        <w:r w:rsidRPr="00831593">
          <w:rPr>
            <w:rStyle w:val="Hyperlink"/>
          </w:rPr>
          <w:t>2.7</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Science End-of-Grade Proficiency Calculation</w:t>
        </w:r>
        <w:r>
          <w:rPr>
            <w:webHidden/>
          </w:rPr>
          <w:tab/>
        </w:r>
        <w:r>
          <w:rPr>
            <w:webHidden/>
          </w:rPr>
          <w:fldChar w:fldCharType="begin"/>
        </w:r>
        <w:r>
          <w:rPr>
            <w:webHidden/>
          </w:rPr>
          <w:instrText xml:space="preserve"> PAGEREF _Toc225404957 \h </w:instrText>
        </w:r>
        <w:r>
          <w:rPr>
            <w:webHidden/>
          </w:rPr>
        </w:r>
        <w:r>
          <w:rPr>
            <w:webHidden/>
          </w:rPr>
          <w:fldChar w:fldCharType="separate"/>
        </w:r>
        <w:r w:rsidR="00DB67EF">
          <w:rPr>
            <w:webHidden/>
          </w:rPr>
          <w:t>13</w:t>
        </w:r>
        <w:r>
          <w:rPr>
            <w:webHidden/>
          </w:rPr>
          <w:fldChar w:fldCharType="end"/>
        </w:r>
      </w:hyperlink>
    </w:p>
    <w:p w14:paraId="676904A4" w14:textId="7C98E940"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8" w:history="1">
        <w:r w:rsidRPr="00831593">
          <w:rPr>
            <w:rStyle w:val="Hyperlink"/>
          </w:rPr>
          <w:t>2.8</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Biology End-of-Course Proficiency Calculation</w:t>
        </w:r>
        <w:r>
          <w:rPr>
            <w:webHidden/>
          </w:rPr>
          <w:tab/>
        </w:r>
        <w:r>
          <w:rPr>
            <w:webHidden/>
          </w:rPr>
          <w:fldChar w:fldCharType="begin"/>
        </w:r>
        <w:r>
          <w:rPr>
            <w:webHidden/>
          </w:rPr>
          <w:instrText xml:space="preserve"> PAGEREF _Toc225404958 \h </w:instrText>
        </w:r>
        <w:r>
          <w:rPr>
            <w:webHidden/>
          </w:rPr>
        </w:r>
        <w:r>
          <w:rPr>
            <w:webHidden/>
          </w:rPr>
          <w:fldChar w:fldCharType="separate"/>
        </w:r>
        <w:r w:rsidR="00DB67EF">
          <w:rPr>
            <w:webHidden/>
          </w:rPr>
          <w:t>13</w:t>
        </w:r>
        <w:r>
          <w:rPr>
            <w:webHidden/>
          </w:rPr>
          <w:fldChar w:fldCharType="end"/>
        </w:r>
      </w:hyperlink>
    </w:p>
    <w:p w14:paraId="42E405C2" w14:textId="5C63995E"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59" w:history="1">
        <w:r w:rsidRPr="00831593">
          <w:rPr>
            <w:rStyle w:val="Hyperlink"/>
          </w:rPr>
          <w:t>2.9</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Combined The ACT/WorkKeys Proficiency Calculation (Grade Twelve)</w:t>
        </w:r>
        <w:r>
          <w:rPr>
            <w:webHidden/>
          </w:rPr>
          <w:tab/>
        </w:r>
        <w:r>
          <w:rPr>
            <w:webHidden/>
          </w:rPr>
          <w:fldChar w:fldCharType="begin"/>
        </w:r>
        <w:r>
          <w:rPr>
            <w:webHidden/>
          </w:rPr>
          <w:instrText xml:space="preserve"> PAGEREF _Toc225404959 \h </w:instrText>
        </w:r>
        <w:r>
          <w:rPr>
            <w:webHidden/>
          </w:rPr>
        </w:r>
        <w:r>
          <w:rPr>
            <w:webHidden/>
          </w:rPr>
          <w:fldChar w:fldCharType="separate"/>
        </w:r>
        <w:r w:rsidR="00DB67EF">
          <w:rPr>
            <w:webHidden/>
          </w:rPr>
          <w:t>14</w:t>
        </w:r>
        <w:r>
          <w:rPr>
            <w:webHidden/>
          </w:rPr>
          <w:fldChar w:fldCharType="end"/>
        </w:r>
      </w:hyperlink>
    </w:p>
    <w:p w14:paraId="40BDB8D2" w14:textId="2BE2D7FD"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60" w:history="1">
        <w:r w:rsidRPr="00831593">
          <w:rPr>
            <w:rStyle w:val="Hyperlink"/>
          </w:rPr>
          <w:t>2.9.1 The ACT Exception</w:t>
        </w:r>
        <w:r>
          <w:rPr>
            <w:webHidden/>
          </w:rPr>
          <w:tab/>
        </w:r>
        <w:r>
          <w:rPr>
            <w:webHidden/>
          </w:rPr>
          <w:fldChar w:fldCharType="begin"/>
        </w:r>
        <w:r>
          <w:rPr>
            <w:webHidden/>
          </w:rPr>
          <w:instrText xml:space="preserve"> PAGEREF _Toc225404960 \h </w:instrText>
        </w:r>
        <w:r>
          <w:rPr>
            <w:webHidden/>
          </w:rPr>
        </w:r>
        <w:r>
          <w:rPr>
            <w:webHidden/>
          </w:rPr>
          <w:fldChar w:fldCharType="separate"/>
        </w:r>
        <w:r w:rsidR="00DB67EF">
          <w:rPr>
            <w:webHidden/>
          </w:rPr>
          <w:t>15</w:t>
        </w:r>
        <w:r>
          <w:rPr>
            <w:webHidden/>
          </w:rPr>
          <w:fldChar w:fldCharType="end"/>
        </w:r>
      </w:hyperlink>
    </w:p>
    <w:p w14:paraId="496825DB" w14:textId="5C39FF3B"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61" w:history="1">
        <w:r w:rsidRPr="00831593">
          <w:rPr>
            <w:rStyle w:val="Hyperlink"/>
          </w:rPr>
          <w:t>2.10</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WorkKeys Exception</w:t>
        </w:r>
        <w:r>
          <w:rPr>
            <w:webHidden/>
          </w:rPr>
          <w:tab/>
        </w:r>
        <w:r>
          <w:rPr>
            <w:webHidden/>
          </w:rPr>
          <w:fldChar w:fldCharType="begin"/>
        </w:r>
        <w:r>
          <w:rPr>
            <w:webHidden/>
          </w:rPr>
          <w:instrText xml:space="preserve"> PAGEREF _Toc225404961 \h </w:instrText>
        </w:r>
        <w:r>
          <w:rPr>
            <w:webHidden/>
          </w:rPr>
        </w:r>
        <w:r>
          <w:rPr>
            <w:webHidden/>
          </w:rPr>
          <w:fldChar w:fldCharType="separate"/>
        </w:r>
        <w:r w:rsidR="00DB67EF">
          <w:rPr>
            <w:webHidden/>
          </w:rPr>
          <w:t>16</w:t>
        </w:r>
        <w:r>
          <w:rPr>
            <w:webHidden/>
          </w:rPr>
          <w:fldChar w:fldCharType="end"/>
        </w:r>
      </w:hyperlink>
    </w:p>
    <w:p w14:paraId="3B812D08" w14:textId="28DF3283"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62" w:history="1">
        <w:r w:rsidRPr="00831593">
          <w:rPr>
            <w:rStyle w:val="Hyperlink"/>
          </w:rPr>
          <w:t>2.11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How Retests are Used in for Accountability</w:t>
        </w:r>
        <w:r>
          <w:rPr>
            <w:webHidden/>
          </w:rPr>
          <w:tab/>
        </w:r>
        <w:r>
          <w:rPr>
            <w:webHidden/>
          </w:rPr>
          <w:fldChar w:fldCharType="begin"/>
        </w:r>
        <w:r>
          <w:rPr>
            <w:webHidden/>
          </w:rPr>
          <w:instrText xml:space="preserve"> PAGEREF _Toc225404962 \h </w:instrText>
        </w:r>
        <w:r>
          <w:rPr>
            <w:webHidden/>
          </w:rPr>
        </w:r>
        <w:r>
          <w:rPr>
            <w:webHidden/>
          </w:rPr>
          <w:fldChar w:fldCharType="separate"/>
        </w:r>
        <w:r w:rsidR="00DB67EF">
          <w:rPr>
            <w:webHidden/>
          </w:rPr>
          <w:t>16</w:t>
        </w:r>
        <w:r>
          <w:rPr>
            <w:webHidden/>
          </w:rPr>
          <w:fldChar w:fldCharType="end"/>
        </w:r>
      </w:hyperlink>
    </w:p>
    <w:p w14:paraId="65A96A04" w14:textId="74DB8410"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63" w:history="1">
        <w:r w:rsidRPr="00831593">
          <w:rPr>
            <w:rStyle w:val="Hyperlink"/>
          </w:rPr>
          <w:t>2.12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English Learner Progress Calculation</w:t>
        </w:r>
        <w:r>
          <w:rPr>
            <w:webHidden/>
          </w:rPr>
          <w:tab/>
        </w:r>
        <w:r>
          <w:rPr>
            <w:webHidden/>
          </w:rPr>
          <w:fldChar w:fldCharType="begin"/>
        </w:r>
        <w:r>
          <w:rPr>
            <w:webHidden/>
          </w:rPr>
          <w:instrText xml:space="preserve"> PAGEREF _Toc225404963 \h </w:instrText>
        </w:r>
        <w:r>
          <w:rPr>
            <w:webHidden/>
          </w:rPr>
        </w:r>
        <w:r>
          <w:rPr>
            <w:webHidden/>
          </w:rPr>
          <w:fldChar w:fldCharType="separate"/>
        </w:r>
        <w:r w:rsidR="00DB67EF">
          <w:rPr>
            <w:webHidden/>
          </w:rPr>
          <w:t>16</w:t>
        </w:r>
        <w:r>
          <w:rPr>
            <w:webHidden/>
          </w:rPr>
          <w:fldChar w:fldCharType="end"/>
        </w:r>
      </w:hyperlink>
    </w:p>
    <w:p w14:paraId="2F54FAB0" w14:textId="02B83E50"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64" w:history="1">
        <w:r w:rsidRPr="00831593">
          <w:rPr>
            <w:rStyle w:val="Hyperlink"/>
          </w:rPr>
          <w:t>2.13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Four-Year Cohort Graduation Rate Calculation</w:t>
        </w:r>
        <w:r>
          <w:rPr>
            <w:webHidden/>
          </w:rPr>
          <w:tab/>
        </w:r>
        <w:r>
          <w:rPr>
            <w:webHidden/>
          </w:rPr>
          <w:fldChar w:fldCharType="begin"/>
        </w:r>
        <w:r>
          <w:rPr>
            <w:webHidden/>
          </w:rPr>
          <w:instrText xml:space="preserve"> PAGEREF _Toc225404964 \h </w:instrText>
        </w:r>
        <w:r>
          <w:rPr>
            <w:webHidden/>
          </w:rPr>
        </w:r>
        <w:r>
          <w:rPr>
            <w:webHidden/>
          </w:rPr>
          <w:fldChar w:fldCharType="separate"/>
        </w:r>
        <w:r w:rsidR="00DB67EF">
          <w:rPr>
            <w:webHidden/>
          </w:rPr>
          <w:t>16</w:t>
        </w:r>
        <w:r>
          <w:rPr>
            <w:webHidden/>
          </w:rPr>
          <w:fldChar w:fldCharType="end"/>
        </w:r>
      </w:hyperlink>
    </w:p>
    <w:p w14:paraId="6A22069B" w14:textId="05C253AB"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65" w:history="1">
        <w:r w:rsidRPr="00831593">
          <w:rPr>
            <w:rStyle w:val="Hyperlink"/>
          </w:rPr>
          <w:t>2.14</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Math Course Rigor Calculation</w:t>
        </w:r>
        <w:r>
          <w:rPr>
            <w:webHidden/>
          </w:rPr>
          <w:tab/>
        </w:r>
        <w:r>
          <w:rPr>
            <w:webHidden/>
          </w:rPr>
          <w:fldChar w:fldCharType="begin"/>
        </w:r>
        <w:r>
          <w:rPr>
            <w:webHidden/>
          </w:rPr>
          <w:instrText xml:space="preserve"> PAGEREF _Toc225404965 \h </w:instrText>
        </w:r>
        <w:r>
          <w:rPr>
            <w:webHidden/>
          </w:rPr>
        </w:r>
        <w:r>
          <w:rPr>
            <w:webHidden/>
          </w:rPr>
          <w:fldChar w:fldCharType="separate"/>
        </w:r>
        <w:r w:rsidR="00DB67EF">
          <w:rPr>
            <w:webHidden/>
          </w:rPr>
          <w:t>16</w:t>
        </w:r>
        <w:r>
          <w:rPr>
            <w:webHidden/>
          </w:rPr>
          <w:fldChar w:fldCharType="end"/>
        </w:r>
      </w:hyperlink>
    </w:p>
    <w:p w14:paraId="36644BE4" w14:textId="10C0A254"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4966" w:history="1">
        <w:r w:rsidRPr="00831593">
          <w:rPr>
            <w:rStyle w:val="Hyperlink"/>
          </w:rPr>
          <w:t>3</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Participation Requirements for School Performance Grades and Long-Term Goals</w:t>
        </w:r>
        <w:r>
          <w:rPr>
            <w:webHidden/>
          </w:rPr>
          <w:tab/>
        </w:r>
        <w:r>
          <w:rPr>
            <w:webHidden/>
          </w:rPr>
          <w:fldChar w:fldCharType="begin"/>
        </w:r>
        <w:r>
          <w:rPr>
            <w:webHidden/>
          </w:rPr>
          <w:instrText xml:space="preserve"> PAGEREF _Toc225404966 \h </w:instrText>
        </w:r>
        <w:r>
          <w:rPr>
            <w:webHidden/>
          </w:rPr>
        </w:r>
        <w:r>
          <w:rPr>
            <w:webHidden/>
          </w:rPr>
          <w:fldChar w:fldCharType="separate"/>
        </w:r>
        <w:r w:rsidR="00DB67EF">
          <w:rPr>
            <w:webHidden/>
          </w:rPr>
          <w:t>18</w:t>
        </w:r>
        <w:r>
          <w:rPr>
            <w:webHidden/>
          </w:rPr>
          <w:fldChar w:fldCharType="end"/>
        </w:r>
      </w:hyperlink>
    </w:p>
    <w:p w14:paraId="40C02CAA" w14:textId="7208CDD2"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67" w:history="1">
        <w:r w:rsidRPr="00831593">
          <w:rPr>
            <w:rStyle w:val="Hyperlink"/>
            <w:kern w:val="16"/>
          </w:rPr>
          <w:t>3.1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Participation Requirements under Federal Law</w:t>
        </w:r>
        <w:r>
          <w:rPr>
            <w:webHidden/>
          </w:rPr>
          <w:tab/>
        </w:r>
        <w:r>
          <w:rPr>
            <w:webHidden/>
          </w:rPr>
          <w:fldChar w:fldCharType="begin"/>
        </w:r>
        <w:r>
          <w:rPr>
            <w:webHidden/>
          </w:rPr>
          <w:instrText xml:space="preserve"> PAGEREF _Toc225404967 \h </w:instrText>
        </w:r>
        <w:r>
          <w:rPr>
            <w:webHidden/>
          </w:rPr>
        </w:r>
        <w:r>
          <w:rPr>
            <w:webHidden/>
          </w:rPr>
          <w:fldChar w:fldCharType="separate"/>
        </w:r>
        <w:r w:rsidR="00DB67EF">
          <w:rPr>
            <w:webHidden/>
          </w:rPr>
          <w:t>18</w:t>
        </w:r>
        <w:r>
          <w:rPr>
            <w:webHidden/>
          </w:rPr>
          <w:fldChar w:fldCharType="end"/>
        </w:r>
      </w:hyperlink>
    </w:p>
    <w:p w14:paraId="277E507F" w14:textId="0DE95114"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68" w:history="1">
        <w:r w:rsidRPr="00831593">
          <w:rPr>
            <w:rStyle w:val="Hyperlink"/>
          </w:rPr>
          <w:t>3.1.1 Missing 95% End-of-Grade Participation Calculation</w:t>
        </w:r>
        <w:r>
          <w:rPr>
            <w:webHidden/>
          </w:rPr>
          <w:tab/>
        </w:r>
        <w:r>
          <w:rPr>
            <w:webHidden/>
          </w:rPr>
          <w:fldChar w:fldCharType="begin"/>
        </w:r>
        <w:r>
          <w:rPr>
            <w:webHidden/>
          </w:rPr>
          <w:instrText xml:space="preserve"> PAGEREF _Toc225404968 \h </w:instrText>
        </w:r>
        <w:r>
          <w:rPr>
            <w:webHidden/>
          </w:rPr>
        </w:r>
        <w:r>
          <w:rPr>
            <w:webHidden/>
          </w:rPr>
          <w:fldChar w:fldCharType="separate"/>
        </w:r>
        <w:r w:rsidR="00DB67EF">
          <w:rPr>
            <w:webHidden/>
          </w:rPr>
          <w:t>19</w:t>
        </w:r>
        <w:r>
          <w:rPr>
            <w:webHidden/>
          </w:rPr>
          <w:fldChar w:fldCharType="end"/>
        </w:r>
      </w:hyperlink>
    </w:p>
    <w:p w14:paraId="33E2F0B4" w14:textId="5FD0B2FF"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69" w:history="1">
        <w:r w:rsidRPr="00831593">
          <w:rPr>
            <w:rStyle w:val="Hyperlink"/>
          </w:rPr>
          <w:t>3.1.2 Calculations of the Reading EOG Proficiency (Grades 3–8) for the Accountability Model (SPG)</w:t>
        </w:r>
        <w:r>
          <w:rPr>
            <w:webHidden/>
          </w:rPr>
          <w:tab/>
        </w:r>
        <w:r>
          <w:rPr>
            <w:webHidden/>
          </w:rPr>
          <w:fldChar w:fldCharType="begin"/>
        </w:r>
        <w:r>
          <w:rPr>
            <w:webHidden/>
          </w:rPr>
          <w:instrText xml:space="preserve"> PAGEREF _Toc225404969 \h </w:instrText>
        </w:r>
        <w:r>
          <w:rPr>
            <w:webHidden/>
          </w:rPr>
        </w:r>
        <w:r>
          <w:rPr>
            <w:webHidden/>
          </w:rPr>
          <w:fldChar w:fldCharType="separate"/>
        </w:r>
        <w:r w:rsidR="00DB67EF">
          <w:rPr>
            <w:webHidden/>
          </w:rPr>
          <w:t>19</w:t>
        </w:r>
        <w:r>
          <w:rPr>
            <w:webHidden/>
          </w:rPr>
          <w:fldChar w:fldCharType="end"/>
        </w:r>
      </w:hyperlink>
    </w:p>
    <w:p w14:paraId="2438F7B1" w14:textId="2F937200"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71" w:history="1">
        <w:r w:rsidRPr="00831593">
          <w:rPr>
            <w:rStyle w:val="Hyperlink"/>
          </w:rPr>
          <w:t>3.1.3 Calculations of the Reading EOG Proficiency (Grades 3–8) for the Long-Term Goals</w:t>
        </w:r>
        <w:r>
          <w:rPr>
            <w:webHidden/>
          </w:rPr>
          <w:tab/>
        </w:r>
        <w:r>
          <w:rPr>
            <w:webHidden/>
          </w:rPr>
          <w:fldChar w:fldCharType="begin"/>
        </w:r>
        <w:r>
          <w:rPr>
            <w:webHidden/>
          </w:rPr>
          <w:instrText xml:space="preserve"> PAGEREF _Toc225404971 \h </w:instrText>
        </w:r>
        <w:r>
          <w:rPr>
            <w:webHidden/>
          </w:rPr>
        </w:r>
        <w:r>
          <w:rPr>
            <w:webHidden/>
          </w:rPr>
          <w:fldChar w:fldCharType="separate"/>
        </w:r>
        <w:r w:rsidR="00DB67EF">
          <w:rPr>
            <w:webHidden/>
          </w:rPr>
          <w:t>20</w:t>
        </w:r>
        <w:r>
          <w:rPr>
            <w:webHidden/>
          </w:rPr>
          <w:fldChar w:fldCharType="end"/>
        </w:r>
      </w:hyperlink>
    </w:p>
    <w:p w14:paraId="38831406" w14:textId="178428BE"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72" w:history="1">
        <w:r w:rsidRPr="00831593">
          <w:rPr>
            <w:rStyle w:val="Hyperlink"/>
          </w:rPr>
          <w:t>3.1.4 Missing 95% Participation End-of-Course Calculation Example</w:t>
        </w:r>
        <w:r>
          <w:rPr>
            <w:webHidden/>
          </w:rPr>
          <w:tab/>
        </w:r>
        <w:r>
          <w:rPr>
            <w:webHidden/>
          </w:rPr>
          <w:fldChar w:fldCharType="begin"/>
        </w:r>
        <w:r>
          <w:rPr>
            <w:webHidden/>
          </w:rPr>
          <w:instrText xml:space="preserve"> PAGEREF _Toc225404972 \h </w:instrText>
        </w:r>
        <w:r>
          <w:rPr>
            <w:webHidden/>
          </w:rPr>
        </w:r>
        <w:r>
          <w:rPr>
            <w:webHidden/>
          </w:rPr>
          <w:fldChar w:fldCharType="separate"/>
        </w:r>
        <w:r w:rsidR="00DB67EF">
          <w:rPr>
            <w:webHidden/>
          </w:rPr>
          <w:t>20</w:t>
        </w:r>
        <w:r>
          <w:rPr>
            <w:webHidden/>
          </w:rPr>
          <w:fldChar w:fldCharType="end"/>
        </w:r>
      </w:hyperlink>
    </w:p>
    <w:p w14:paraId="17A3F20A" w14:textId="76F3B824"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73" w:history="1">
        <w:r w:rsidRPr="00831593">
          <w:rPr>
            <w:rStyle w:val="Hyperlink"/>
          </w:rPr>
          <w:t>3.1.5 Calculations of English II EOC Proficiency for the Accountability Model (SPG)</w:t>
        </w:r>
        <w:r>
          <w:rPr>
            <w:webHidden/>
          </w:rPr>
          <w:tab/>
        </w:r>
        <w:r>
          <w:rPr>
            <w:webHidden/>
          </w:rPr>
          <w:fldChar w:fldCharType="begin"/>
        </w:r>
        <w:r>
          <w:rPr>
            <w:webHidden/>
          </w:rPr>
          <w:instrText xml:space="preserve"> PAGEREF _Toc225404973 \h </w:instrText>
        </w:r>
        <w:r>
          <w:rPr>
            <w:webHidden/>
          </w:rPr>
        </w:r>
        <w:r>
          <w:rPr>
            <w:webHidden/>
          </w:rPr>
          <w:fldChar w:fldCharType="separate"/>
        </w:r>
        <w:r w:rsidR="00DB67EF">
          <w:rPr>
            <w:webHidden/>
          </w:rPr>
          <w:t>21</w:t>
        </w:r>
        <w:r>
          <w:rPr>
            <w:webHidden/>
          </w:rPr>
          <w:fldChar w:fldCharType="end"/>
        </w:r>
      </w:hyperlink>
    </w:p>
    <w:p w14:paraId="07892488" w14:textId="47F4E51B"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74" w:history="1">
        <w:r w:rsidRPr="00831593">
          <w:rPr>
            <w:rStyle w:val="Hyperlink"/>
          </w:rPr>
          <w:t>3.1.6 Calculations of English II EOC Proficiency for Long-term Goals</w:t>
        </w:r>
        <w:r>
          <w:rPr>
            <w:webHidden/>
          </w:rPr>
          <w:tab/>
        </w:r>
        <w:r>
          <w:rPr>
            <w:webHidden/>
          </w:rPr>
          <w:fldChar w:fldCharType="begin"/>
        </w:r>
        <w:r>
          <w:rPr>
            <w:webHidden/>
          </w:rPr>
          <w:instrText xml:space="preserve"> PAGEREF _Toc225404974 \h </w:instrText>
        </w:r>
        <w:r>
          <w:rPr>
            <w:webHidden/>
          </w:rPr>
        </w:r>
        <w:r>
          <w:rPr>
            <w:webHidden/>
          </w:rPr>
          <w:fldChar w:fldCharType="separate"/>
        </w:r>
        <w:r w:rsidR="00DB67EF">
          <w:rPr>
            <w:webHidden/>
          </w:rPr>
          <w:t>21</w:t>
        </w:r>
        <w:r>
          <w:rPr>
            <w:webHidden/>
          </w:rPr>
          <w:fldChar w:fldCharType="end"/>
        </w:r>
      </w:hyperlink>
    </w:p>
    <w:p w14:paraId="334B200B" w14:textId="1C461175"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75" w:history="1">
        <w:r w:rsidRPr="00831593">
          <w:rPr>
            <w:rStyle w:val="Hyperlink"/>
          </w:rPr>
          <w:t>3.2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Participation Rule for Reading and Mathematics</w:t>
        </w:r>
        <w:r>
          <w:rPr>
            <w:webHidden/>
          </w:rPr>
          <w:tab/>
        </w:r>
        <w:r>
          <w:rPr>
            <w:webHidden/>
          </w:rPr>
          <w:fldChar w:fldCharType="begin"/>
        </w:r>
        <w:r>
          <w:rPr>
            <w:webHidden/>
          </w:rPr>
          <w:instrText xml:space="preserve"> PAGEREF _Toc225404975 \h </w:instrText>
        </w:r>
        <w:r>
          <w:rPr>
            <w:webHidden/>
          </w:rPr>
        </w:r>
        <w:r>
          <w:rPr>
            <w:webHidden/>
          </w:rPr>
          <w:fldChar w:fldCharType="separate"/>
        </w:r>
        <w:r w:rsidR="00DB67EF">
          <w:rPr>
            <w:webHidden/>
          </w:rPr>
          <w:t>22</w:t>
        </w:r>
        <w:r>
          <w:rPr>
            <w:webHidden/>
          </w:rPr>
          <w:fldChar w:fldCharType="end"/>
        </w:r>
      </w:hyperlink>
    </w:p>
    <w:p w14:paraId="64190708" w14:textId="12294CB3"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76" w:history="1">
        <w:r w:rsidRPr="00831593">
          <w:rPr>
            <w:rStyle w:val="Hyperlink"/>
          </w:rPr>
          <w:t>3.3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Participation for Other Indicators</w:t>
        </w:r>
        <w:r>
          <w:rPr>
            <w:webHidden/>
          </w:rPr>
          <w:tab/>
        </w:r>
        <w:r>
          <w:rPr>
            <w:webHidden/>
          </w:rPr>
          <w:fldChar w:fldCharType="begin"/>
        </w:r>
        <w:r>
          <w:rPr>
            <w:webHidden/>
          </w:rPr>
          <w:instrText xml:space="preserve"> PAGEREF _Toc225404976 \h </w:instrText>
        </w:r>
        <w:r>
          <w:rPr>
            <w:webHidden/>
          </w:rPr>
        </w:r>
        <w:r>
          <w:rPr>
            <w:webHidden/>
          </w:rPr>
          <w:fldChar w:fldCharType="separate"/>
        </w:r>
        <w:r w:rsidR="00DB67EF">
          <w:rPr>
            <w:webHidden/>
          </w:rPr>
          <w:t>22</w:t>
        </w:r>
        <w:r>
          <w:rPr>
            <w:webHidden/>
          </w:rPr>
          <w:fldChar w:fldCharType="end"/>
        </w:r>
      </w:hyperlink>
    </w:p>
    <w:p w14:paraId="2F2FB139" w14:textId="49BA829B"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77" w:history="1">
        <w:r w:rsidRPr="00831593">
          <w:rPr>
            <w:rStyle w:val="Hyperlink"/>
          </w:rPr>
          <w:t>3.4</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The ACT Assessment (Grade 11 Participation)</w:t>
        </w:r>
        <w:r>
          <w:rPr>
            <w:webHidden/>
          </w:rPr>
          <w:tab/>
        </w:r>
        <w:r>
          <w:rPr>
            <w:webHidden/>
          </w:rPr>
          <w:fldChar w:fldCharType="begin"/>
        </w:r>
        <w:r>
          <w:rPr>
            <w:webHidden/>
          </w:rPr>
          <w:instrText xml:space="preserve"> PAGEREF _Toc225404977 \h </w:instrText>
        </w:r>
        <w:r>
          <w:rPr>
            <w:webHidden/>
          </w:rPr>
        </w:r>
        <w:r>
          <w:rPr>
            <w:webHidden/>
          </w:rPr>
          <w:fldChar w:fldCharType="separate"/>
        </w:r>
        <w:r w:rsidR="00DB67EF">
          <w:rPr>
            <w:webHidden/>
          </w:rPr>
          <w:t>23</w:t>
        </w:r>
        <w:r>
          <w:rPr>
            <w:webHidden/>
          </w:rPr>
          <w:fldChar w:fldCharType="end"/>
        </w:r>
      </w:hyperlink>
    </w:p>
    <w:p w14:paraId="53AEA016" w14:textId="63E0ACE0"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78" w:history="1">
        <w:r w:rsidRPr="00831593">
          <w:rPr>
            <w:rStyle w:val="Hyperlink"/>
          </w:rPr>
          <w:t>3.5</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North Carolina College-and-Career Readiness Alternate Assessment</w:t>
        </w:r>
        <w:r>
          <w:rPr>
            <w:webHidden/>
          </w:rPr>
          <w:tab/>
        </w:r>
        <w:r>
          <w:rPr>
            <w:webHidden/>
          </w:rPr>
          <w:fldChar w:fldCharType="begin"/>
        </w:r>
        <w:r>
          <w:rPr>
            <w:webHidden/>
          </w:rPr>
          <w:instrText xml:space="preserve"> PAGEREF _Toc225404978 \h </w:instrText>
        </w:r>
        <w:r>
          <w:rPr>
            <w:webHidden/>
          </w:rPr>
        </w:r>
        <w:r>
          <w:rPr>
            <w:webHidden/>
          </w:rPr>
          <w:fldChar w:fldCharType="separate"/>
        </w:r>
        <w:r w:rsidR="00DB67EF">
          <w:rPr>
            <w:webHidden/>
          </w:rPr>
          <w:t>23</w:t>
        </w:r>
        <w:r>
          <w:rPr>
            <w:webHidden/>
          </w:rPr>
          <w:fldChar w:fldCharType="end"/>
        </w:r>
      </w:hyperlink>
    </w:p>
    <w:p w14:paraId="6D4057A9" w14:textId="7DCC73ED"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79" w:history="1">
        <w:r w:rsidRPr="00831593">
          <w:rPr>
            <w:rStyle w:val="Hyperlink"/>
          </w:rPr>
          <w:t>3.6</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WorkKeys Assessment (Grade 12 Participation)</w:t>
        </w:r>
        <w:r>
          <w:rPr>
            <w:webHidden/>
          </w:rPr>
          <w:tab/>
        </w:r>
        <w:r>
          <w:rPr>
            <w:webHidden/>
          </w:rPr>
          <w:fldChar w:fldCharType="begin"/>
        </w:r>
        <w:r>
          <w:rPr>
            <w:webHidden/>
          </w:rPr>
          <w:instrText xml:space="preserve"> PAGEREF _Toc225404979 \h </w:instrText>
        </w:r>
        <w:r>
          <w:rPr>
            <w:webHidden/>
          </w:rPr>
        </w:r>
        <w:r>
          <w:rPr>
            <w:webHidden/>
          </w:rPr>
          <w:fldChar w:fldCharType="separate"/>
        </w:r>
        <w:r w:rsidR="00DB67EF">
          <w:rPr>
            <w:webHidden/>
          </w:rPr>
          <w:t>23</w:t>
        </w:r>
        <w:r>
          <w:rPr>
            <w:webHidden/>
          </w:rPr>
          <w:fldChar w:fldCharType="end"/>
        </w:r>
      </w:hyperlink>
    </w:p>
    <w:p w14:paraId="586FEF45" w14:textId="2F4E024B"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80" w:history="1">
        <w:r w:rsidRPr="00831593">
          <w:rPr>
            <w:rStyle w:val="Hyperlink"/>
          </w:rPr>
          <w:t>3.7</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Subgroup Participation Guidelines</w:t>
        </w:r>
        <w:r>
          <w:rPr>
            <w:webHidden/>
          </w:rPr>
          <w:tab/>
        </w:r>
        <w:r>
          <w:rPr>
            <w:webHidden/>
          </w:rPr>
          <w:fldChar w:fldCharType="begin"/>
        </w:r>
        <w:r>
          <w:rPr>
            <w:webHidden/>
          </w:rPr>
          <w:instrText xml:space="preserve"> PAGEREF _Toc225404980 \h </w:instrText>
        </w:r>
        <w:r>
          <w:rPr>
            <w:webHidden/>
          </w:rPr>
        </w:r>
        <w:r>
          <w:rPr>
            <w:webHidden/>
          </w:rPr>
          <w:fldChar w:fldCharType="separate"/>
        </w:r>
        <w:r w:rsidR="00DB67EF">
          <w:rPr>
            <w:webHidden/>
          </w:rPr>
          <w:t>24</w:t>
        </w:r>
        <w:r>
          <w:rPr>
            <w:webHidden/>
          </w:rPr>
          <w:fldChar w:fldCharType="end"/>
        </w:r>
      </w:hyperlink>
    </w:p>
    <w:p w14:paraId="593B1417" w14:textId="403067F3"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81" w:history="1">
        <w:r w:rsidRPr="00831593">
          <w:rPr>
            <w:rStyle w:val="Hyperlink"/>
          </w:rPr>
          <w:t>3.8</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Special Cases</w:t>
        </w:r>
        <w:r>
          <w:rPr>
            <w:webHidden/>
          </w:rPr>
          <w:tab/>
        </w:r>
        <w:r>
          <w:rPr>
            <w:webHidden/>
          </w:rPr>
          <w:fldChar w:fldCharType="begin"/>
        </w:r>
        <w:r>
          <w:rPr>
            <w:webHidden/>
          </w:rPr>
          <w:instrText xml:space="preserve"> PAGEREF _Toc225404981 \h </w:instrText>
        </w:r>
        <w:r>
          <w:rPr>
            <w:webHidden/>
          </w:rPr>
        </w:r>
        <w:r>
          <w:rPr>
            <w:webHidden/>
          </w:rPr>
          <w:fldChar w:fldCharType="separate"/>
        </w:r>
        <w:r w:rsidR="00DB67EF">
          <w:rPr>
            <w:webHidden/>
          </w:rPr>
          <w:t>25</w:t>
        </w:r>
        <w:r>
          <w:rPr>
            <w:webHidden/>
          </w:rPr>
          <w:fldChar w:fldCharType="end"/>
        </w:r>
      </w:hyperlink>
    </w:p>
    <w:p w14:paraId="4A7E9105" w14:textId="4591154A"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82" w:history="1">
        <w:r w:rsidRPr="00831593">
          <w:rPr>
            <w:rStyle w:val="Hyperlink"/>
          </w:rPr>
          <w:t>3.9</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Participation in the WIDA ACCESS or WIDA Alternate ACCESS (Grades Kindergarten–12)</w:t>
        </w:r>
        <w:r>
          <w:rPr>
            <w:webHidden/>
          </w:rPr>
          <w:tab/>
        </w:r>
        <w:r>
          <w:rPr>
            <w:webHidden/>
          </w:rPr>
          <w:fldChar w:fldCharType="begin"/>
        </w:r>
        <w:r>
          <w:rPr>
            <w:webHidden/>
          </w:rPr>
          <w:instrText xml:space="preserve"> PAGEREF _Toc225404982 \h </w:instrText>
        </w:r>
        <w:r>
          <w:rPr>
            <w:webHidden/>
          </w:rPr>
        </w:r>
        <w:r>
          <w:rPr>
            <w:webHidden/>
          </w:rPr>
          <w:fldChar w:fldCharType="separate"/>
        </w:r>
        <w:r w:rsidR="00DB67EF">
          <w:rPr>
            <w:webHidden/>
          </w:rPr>
          <w:t>25</w:t>
        </w:r>
        <w:r>
          <w:rPr>
            <w:webHidden/>
          </w:rPr>
          <w:fldChar w:fldCharType="end"/>
        </w:r>
      </w:hyperlink>
    </w:p>
    <w:p w14:paraId="748E3E69" w14:textId="65332B68"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4983" w:history="1">
        <w:r w:rsidRPr="00831593">
          <w:rPr>
            <w:rStyle w:val="Hyperlink"/>
          </w:rPr>
          <w:t>4</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Partial Enrollment Guidelines</w:t>
        </w:r>
        <w:r>
          <w:rPr>
            <w:webHidden/>
          </w:rPr>
          <w:tab/>
        </w:r>
        <w:r>
          <w:rPr>
            <w:webHidden/>
          </w:rPr>
          <w:fldChar w:fldCharType="begin"/>
        </w:r>
        <w:r>
          <w:rPr>
            <w:webHidden/>
          </w:rPr>
          <w:instrText xml:space="preserve"> PAGEREF _Toc225404983 \h </w:instrText>
        </w:r>
        <w:r>
          <w:rPr>
            <w:webHidden/>
          </w:rPr>
        </w:r>
        <w:r>
          <w:rPr>
            <w:webHidden/>
          </w:rPr>
          <w:fldChar w:fldCharType="separate"/>
        </w:r>
        <w:r w:rsidR="00DB67EF">
          <w:rPr>
            <w:webHidden/>
          </w:rPr>
          <w:t>26</w:t>
        </w:r>
        <w:r>
          <w:rPr>
            <w:webHidden/>
          </w:rPr>
          <w:fldChar w:fldCharType="end"/>
        </w:r>
      </w:hyperlink>
    </w:p>
    <w:p w14:paraId="0FFD3AEF" w14:textId="7F124D98"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84" w:history="1">
        <w:r w:rsidRPr="00831593">
          <w:rPr>
            <w:rStyle w:val="Hyperlink"/>
          </w:rPr>
          <w:t>4.1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Process for Determining Partial Enrollment</w:t>
        </w:r>
        <w:r>
          <w:rPr>
            <w:webHidden/>
          </w:rPr>
          <w:tab/>
        </w:r>
        <w:r>
          <w:rPr>
            <w:webHidden/>
          </w:rPr>
          <w:fldChar w:fldCharType="begin"/>
        </w:r>
        <w:r>
          <w:rPr>
            <w:webHidden/>
          </w:rPr>
          <w:instrText xml:space="preserve"> PAGEREF _Toc225404984 \h </w:instrText>
        </w:r>
        <w:r>
          <w:rPr>
            <w:webHidden/>
          </w:rPr>
        </w:r>
        <w:r>
          <w:rPr>
            <w:webHidden/>
          </w:rPr>
          <w:fldChar w:fldCharType="separate"/>
        </w:r>
        <w:r w:rsidR="00DB67EF">
          <w:rPr>
            <w:webHidden/>
          </w:rPr>
          <w:t>26</w:t>
        </w:r>
        <w:r>
          <w:rPr>
            <w:webHidden/>
          </w:rPr>
          <w:fldChar w:fldCharType="end"/>
        </w:r>
      </w:hyperlink>
    </w:p>
    <w:p w14:paraId="00CA8ED0" w14:textId="7EF82258"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85" w:history="1">
        <w:r w:rsidRPr="00831593">
          <w:rPr>
            <w:rStyle w:val="Hyperlink"/>
          </w:rPr>
          <w:t>4.2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Additional Information</w:t>
        </w:r>
        <w:r>
          <w:rPr>
            <w:webHidden/>
          </w:rPr>
          <w:tab/>
        </w:r>
        <w:r>
          <w:rPr>
            <w:webHidden/>
          </w:rPr>
          <w:fldChar w:fldCharType="begin"/>
        </w:r>
        <w:r>
          <w:rPr>
            <w:webHidden/>
          </w:rPr>
          <w:instrText xml:space="preserve"> PAGEREF _Toc225404985 \h </w:instrText>
        </w:r>
        <w:r>
          <w:rPr>
            <w:webHidden/>
          </w:rPr>
        </w:r>
        <w:r>
          <w:rPr>
            <w:webHidden/>
          </w:rPr>
          <w:fldChar w:fldCharType="separate"/>
        </w:r>
        <w:r w:rsidR="00DB67EF">
          <w:rPr>
            <w:webHidden/>
          </w:rPr>
          <w:t>29</w:t>
        </w:r>
        <w:r>
          <w:rPr>
            <w:webHidden/>
          </w:rPr>
          <w:fldChar w:fldCharType="end"/>
        </w:r>
      </w:hyperlink>
    </w:p>
    <w:p w14:paraId="75D56693" w14:textId="15FCD33C"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4986" w:history="1">
        <w:r w:rsidRPr="00831593">
          <w:rPr>
            <w:rStyle w:val="Hyperlink"/>
          </w:rPr>
          <w:t>5</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Alternative Schools’ Modified Accountability System</w:t>
        </w:r>
        <w:r>
          <w:rPr>
            <w:webHidden/>
          </w:rPr>
          <w:tab/>
        </w:r>
        <w:r>
          <w:rPr>
            <w:webHidden/>
          </w:rPr>
          <w:fldChar w:fldCharType="begin"/>
        </w:r>
        <w:r>
          <w:rPr>
            <w:webHidden/>
          </w:rPr>
          <w:instrText xml:space="preserve"> PAGEREF _Toc225404986 \h </w:instrText>
        </w:r>
        <w:r>
          <w:rPr>
            <w:webHidden/>
          </w:rPr>
        </w:r>
        <w:r>
          <w:rPr>
            <w:webHidden/>
          </w:rPr>
          <w:fldChar w:fldCharType="separate"/>
        </w:r>
        <w:r w:rsidR="00DB67EF">
          <w:rPr>
            <w:webHidden/>
          </w:rPr>
          <w:t>30</w:t>
        </w:r>
        <w:r>
          <w:rPr>
            <w:webHidden/>
          </w:rPr>
          <w:fldChar w:fldCharType="end"/>
        </w:r>
      </w:hyperlink>
    </w:p>
    <w:p w14:paraId="16CD0B45" w14:textId="04D48C98"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4987" w:history="1">
        <w:r w:rsidRPr="00831593">
          <w:rPr>
            <w:rStyle w:val="Hyperlink"/>
          </w:rPr>
          <w:t>6</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English Learner Progress</w:t>
        </w:r>
        <w:r>
          <w:rPr>
            <w:webHidden/>
          </w:rPr>
          <w:tab/>
        </w:r>
        <w:r>
          <w:rPr>
            <w:webHidden/>
          </w:rPr>
          <w:fldChar w:fldCharType="begin"/>
        </w:r>
        <w:r>
          <w:rPr>
            <w:webHidden/>
          </w:rPr>
          <w:instrText xml:space="preserve"> PAGEREF _Toc225404987 \h </w:instrText>
        </w:r>
        <w:r>
          <w:rPr>
            <w:webHidden/>
          </w:rPr>
        </w:r>
        <w:r>
          <w:rPr>
            <w:webHidden/>
          </w:rPr>
          <w:fldChar w:fldCharType="separate"/>
        </w:r>
        <w:r w:rsidR="00DB67EF">
          <w:rPr>
            <w:webHidden/>
          </w:rPr>
          <w:t>31</w:t>
        </w:r>
        <w:r>
          <w:rPr>
            <w:webHidden/>
          </w:rPr>
          <w:fldChar w:fldCharType="end"/>
        </w:r>
      </w:hyperlink>
    </w:p>
    <w:p w14:paraId="53360A71" w14:textId="6533DE88"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88" w:history="1">
        <w:r w:rsidRPr="00831593">
          <w:rPr>
            <w:rStyle w:val="Hyperlink"/>
          </w:rPr>
          <w:t>6.1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English Learner Progress Measure Overview</w:t>
        </w:r>
        <w:r>
          <w:rPr>
            <w:webHidden/>
          </w:rPr>
          <w:tab/>
        </w:r>
        <w:r>
          <w:rPr>
            <w:webHidden/>
          </w:rPr>
          <w:fldChar w:fldCharType="begin"/>
        </w:r>
        <w:r>
          <w:rPr>
            <w:webHidden/>
          </w:rPr>
          <w:instrText xml:space="preserve"> PAGEREF _Toc225404988 \h </w:instrText>
        </w:r>
        <w:r>
          <w:rPr>
            <w:webHidden/>
          </w:rPr>
        </w:r>
        <w:r>
          <w:rPr>
            <w:webHidden/>
          </w:rPr>
          <w:fldChar w:fldCharType="separate"/>
        </w:r>
        <w:r w:rsidR="00DB67EF">
          <w:rPr>
            <w:webHidden/>
          </w:rPr>
          <w:t>31</w:t>
        </w:r>
        <w:r>
          <w:rPr>
            <w:webHidden/>
          </w:rPr>
          <w:fldChar w:fldCharType="end"/>
        </w:r>
      </w:hyperlink>
    </w:p>
    <w:p w14:paraId="5B3B699D" w14:textId="4C38A9A1"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89" w:history="1">
        <w:r w:rsidRPr="00831593">
          <w:rPr>
            <w:rStyle w:val="Hyperlink"/>
            <w:i/>
          </w:rPr>
          <w:t>6.2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Defining English Learner Progress</w:t>
        </w:r>
        <w:r>
          <w:rPr>
            <w:webHidden/>
          </w:rPr>
          <w:tab/>
        </w:r>
        <w:r>
          <w:rPr>
            <w:webHidden/>
          </w:rPr>
          <w:fldChar w:fldCharType="begin"/>
        </w:r>
        <w:r>
          <w:rPr>
            <w:webHidden/>
          </w:rPr>
          <w:instrText xml:space="preserve"> PAGEREF _Toc225404989 \h </w:instrText>
        </w:r>
        <w:r>
          <w:rPr>
            <w:webHidden/>
          </w:rPr>
        </w:r>
        <w:r>
          <w:rPr>
            <w:webHidden/>
          </w:rPr>
          <w:fldChar w:fldCharType="separate"/>
        </w:r>
        <w:r w:rsidR="00DB67EF">
          <w:rPr>
            <w:webHidden/>
          </w:rPr>
          <w:t>31</w:t>
        </w:r>
        <w:r>
          <w:rPr>
            <w:webHidden/>
          </w:rPr>
          <w:fldChar w:fldCharType="end"/>
        </w:r>
      </w:hyperlink>
    </w:p>
    <w:p w14:paraId="114FA0B4" w14:textId="3A027E63"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90" w:history="1">
        <w:r w:rsidRPr="00831593">
          <w:rPr>
            <w:rStyle w:val="Hyperlink"/>
          </w:rPr>
          <w:t>6.3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Counting Progress of English Learners</w:t>
        </w:r>
        <w:r>
          <w:rPr>
            <w:webHidden/>
          </w:rPr>
          <w:tab/>
        </w:r>
        <w:r>
          <w:rPr>
            <w:webHidden/>
          </w:rPr>
          <w:fldChar w:fldCharType="begin"/>
        </w:r>
        <w:r>
          <w:rPr>
            <w:webHidden/>
          </w:rPr>
          <w:instrText xml:space="preserve"> PAGEREF _Toc225404990 \h </w:instrText>
        </w:r>
        <w:r>
          <w:rPr>
            <w:webHidden/>
          </w:rPr>
        </w:r>
        <w:r>
          <w:rPr>
            <w:webHidden/>
          </w:rPr>
          <w:fldChar w:fldCharType="separate"/>
        </w:r>
        <w:r w:rsidR="00DB67EF">
          <w:rPr>
            <w:webHidden/>
          </w:rPr>
          <w:t>32</w:t>
        </w:r>
        <w:r>
          <w:rPr>
            <w:webHidden/>
          </w:rPr>
          <w:fldChar w:fldCharType="end"/>
        </w:r>
      </w:hyperlink>
    </w:p>
    <w:p w14:paraId="36D4C5C0" w14:textId="7177BC50"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91" w:history="1">
        <w:r w:rsidRPr="00831593">
          <w:rPr>
            <w:rStyle w:val="Hyperlink"/>
          </w:rPr>
          <w:t>6.3.1 Students Counting Positively for English Learner Progress</w:t>
        </w:r>
        <w:r>
          <w:rPr>
            <w:webHidden/>
          </w:rPr>
          <w:tab/>
        </w:r>
        <w:r>
          <w:rPr>
            <w:webHidden/>
          </w:rPr>
          <w:fldChar w:fldCharType="begin"/>
        </w:r>
        <w:r>
          <w:rPr>
            <w:webHidden/>
          </w:rPr>
          <w:instrText xml:space="preserve"> PAGEREF _Toc225404991 \h </w:instrText>
        </w:r>
        <w:r>
          <w:rPr>
            <w:webHidden/>
          </w:rPr>
        </w:r>
        <w:r>
          <w:rPr>
            <w:webHidden/>
          </w:rPr>
          <w:fldChar w:fldCharType="separate"/>
        </w:r>
        <w:r w:rsidR="00DB67EF">
          <w:rPr>
            <w:webHidden/>
          </w:rPr>
          <w:t>32</w:t>
        </w:r>
        <w:r>
          <w:rPr>
            <w:webHidden/>
          </w:rPr>
          <w:fldChar w:fldCharType="end"/>
        </w:r>
      </w:hyperlink>
    </w:p>
    <w:p w14:paraId="1BB31E9C" w14:textId="66E9C5A8"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92" w:history="1">
        <w:r w:rsidRPr="00831593">
          <w:rPr>
            <w:rStyle w:val="Hyperlink"/>
          </w:rPr>
          <w:t>6.3.2</w:t>
        </w:r>
        <w:r w:rsidRPr="00831593">
          <w:rPr>
            <w:rStyle w:val="Hyperlink"/>
            <w:bCs/>
          </w:rPr>
          <w:t xml:space="preserve"> Students Counting Negatively for English Learner</w:t>
        </w:r>
        <w:r w:rsidRPr="00831593">
          <w:rPr>
            <w:rStyle w:val="Hyperlink"/>
          </w:rPr>
          <w:t xml:space="preserve"> Progress</w:t>
        </w:r>
        <w:r>
          <w:rPr>
            <w:webHidden/>
          </w:rPr>
          <w:tab/>
        </w:r>
        <w:r>
          <w:rPr>
            <w:webHidden/>
          </w:rPr>
          <w:fldChar w:fldCharType="begin"/>
        </w:r>
        <w:r>
          <w:rPr>
            <w:webHidden/>
          </w:rPr>
          <w:instrText xml:space="preserve"> PAGEREF _Toc225404992 \h </w:instrText>
        </w:r>
        <w:r>
          <w:rPr>
            <w:webHidden/>
          </w:rPr>
        </w:r>
        <w:r>
          <w:rPr>
            <w:webHidden/>
          </w:rPr>
          <w:fldChar w:fldCharType="separate"/>
        </w:r>
        <w:r w:rsidR="00DB67EF">
          <w:rPr>
            <w:webHidden/>
          </w:rPr>
          <w:t>33</w:t>
        </w:r>
        <w:r>
          <w:rPr>
            <w:webHidden/>
          </w:rPr>
          <w:fldChar w:fldCharType="end"/>
        </w:r>
      </w:hyperlink>
    </w:p>
    <w:p w14:paraId="41AA0191" w14:textId="7E0F9E76"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93" w:history="1">
        <w:r w:rsidRPr="00831593">
          <w:rPr>
            <w:rStyle w:val="Hyperlink"/>
          </w:rPr>
          <w:t>6.3.3 Students Who May Count Positively or Negatively after Defining a Trajectory</w:t>
        </w:r>
        <w:r>
          <w:rPr>
            <w:webHidden/>
          </w:rPr>
          <w:tab/>
        </w:r>
        <w:r>
          <w:rPr>
            <w:webHidden/>
          </w:rPr>
          <w:fldChar w:fldCharType="begin"/>
        </w:r>
        <w:r>
          <w:rPr>
            <w:webHidden/>
          </w:rPr>
          <w:instrText xml:space="preserve"> PAGEREF _Toc225404993 \h </w:instrText>
        </w:r>
        <w:r>
          <w:rPr>
            <w:webHidden/>
          </w:rPr>
        </w:r>
        <w:r>
          <w:rPr>
            <w:webHidden/>
          </w:rPr>
          <w:fldChar w:fldCharType="separate"/>
        </w:r>
        <w:r w:rsidR="00DB67EF">
          <w:rPr>
            <w:webHidden/>
          </w:rPr>
          <w:t>33</w:t>
        </w:r>
        <w:r>
          <w:rPr>
            <w:webHidden/>
          </w:rPr>
          <w:fldChar w:fldCharType="end"/>
        </w:r>
      </w:hyperlink>
    </w:p>
    <w:p w14:paraId="320AE8AD" w14:textId="6754827E"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94" w:history="1">
        <w:r w:rsidRPr="00831593">
          <w:rPr>
            <w:rStyle w:val="Hyperlink"/>
          </w:rPr>
          <w:t>6.3.4 Students Counting Neither Negatively nor Positively for English Learner Progress (Not in the Denominator)</w:t>
        </w:r>
        <w:r>
          <w:rPr>
            <w:webHidden/>
          </w:rPr>
          <w:tab/>
        </w:r>
        <w:r>
          <w:rPr>
            <w:webHidden/>
          </w:rPr>
          <w:fldChar w:fldCharType="begin"/>
        </w:r>
        <w:r>
          <w:rPr>
            <w:webHidden/>
          </w:rPr>
          <w:instrText xml:space="preserve"> PAGEREF _Toc225404994 \h </w:instrText>
        </w:r>
        <w:r>
          <w:rPr>
            <w:webHidden/>
          </w:rPr>
        </w:r>
        <w:r>
          <w:rPr>
            <w:webHidden/>
          </w:rPr>
          <w:fldChar w:fldCharType="separate"/>
        </w:r>
        <w:r w:rsidR="00DB67EF">
          <w:rPr>
            <w:webHidden/>
          </w:rPr>
          <w:t>34</w:t>
        </w:r>
        <w:r>
          <w:rPr>
            <w:webHidden/>
          </w:rPr>
          <w:fldChar w:fldCharType="end"/>
        </w:r>
      </w:hyperlink>
    </w:p>
    <w:p w14:paraId="678CF5E2" w14:textId="32F74936" w:rsidR="0019094C" w:rsidRDefault="0019094C">
      <w:pPr>
        <w:pStyle w:val="TOC3"/>
        <w:rPr>
          <w:rFonts w:asciiTheme="minorHAnsi" w:eastAsiaTheme="minorEastAsia" w:hAnsiTheme="minorHAnsi" w:cstheme="minorBidi"/>
          <w:color w:val="auto"/>
          <w:kern w:val="2"/>
          <w:szCs w:val="24"/>
          <w14:ligatures w14:val="standardContextual"/>
        </w:rPr>
      </w:pPr>
      <w:hyperlink w:anchor="_Toc225404995" w:history="1">
        <w:r w:rsidRPr="00831593">
          <w:rPr>
            <w:rStyle w:val="Hyperlink"/>
          </w:rPr>
          <w:t>6.3.5 Adjusting the ELP Long-Term Goal and Indicator When Students Move in and out of the State</w:t>
        </w:r>
        <w:r>
          <w:rPr>
            <w:webHidden/>
          </w:rPr>
          <w:tab/>
        </w:r>
        <w:r>
          <w:rPr>
            <w:webHidden/>
          </w:rPr>
          <w:fldChar w:fldCharType="begin"/>
        </w:r>
        <w:r>
          <w:rPr>
            <w:webHidden/>
          </w:rPr>
          <w:instrText xml:space="preserve"> PAGEREF _Toc225404995 \h </w:instrText>
        </w:r>
        <w:r>
          <w:rPr>
            <w:webHidden/>
          </w:rPr>
        </w:r>
        <w:r>
          <w:rPr>
            <w:webHidden/>
          </w:rPr>
          <w:fldChar w:fldCharType="separate"/>
        </w:r>
        <w:r w:rsidR="00DB67EF">
          <w:rPr>
            <w:webHidden/>
          </w:rPr>
          <w:t>35</w:t>
        </w:r>
        <w:r>
          <w:rPr>
            <w:webHidden/>
          </w:rPr>
          <w:fldChar w:fldCharType="end"/>
        </w:r>
      </w:hyperlink>
    </w:p>
    <w:p w14:paraId="25C1D26B" w14:textId="17DB2BB5"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4996" w:history="1">
        <w:r w:rsidRPr="00831593">
          <w:rPr>
            <w:rStyle w:val="Hyperlink"/>
          </w:rPr>
          <w:t>7</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Cohort Graduation Rate Manual</w:t>
        </w:r>
        <w:r>
          <w:rPr>
            <w:webHidden/>
          </w:rPr>
          <w:tab/>
        </w:r>
        <w:r>
          <w:rPr>
            <w:webHidden/>
          </w:rPr>
          <w:fldChar w:fldCharType="begin"/>
        </w:r>
        <w:r>
          <w:rPr>
            <w:webHidden/>
          </w:rPr>
          <w:instrText xml:space="preserve"> PAGEREF _Toc225404996 \h </w:instrText>
        </w:r>
        <w:r>
          <w:rPr>
            <w:webHidden/>
          </w:rPr>
        </w:r>
        <w:r>
          <w:rPr>
            <w:webHidden/>
          </w:rPr>
          <w:fldChar w:fldCharType="separate"/>
        </w:r>
        <w:r w:rsidR="00DB67EF">
          <w:rPr>
            <w:webHidden/>
          </w:rPr>
          <w:t>41</w:t>
        </w:r>
        <w:r>
          <w:rPr>
            <w:webHidden/>
          </w:rPr>
          <w:fldChar w:fldCharType="end"/>
        </w:r>
      </w:hyperlink>
    </w:p>
    <w:p w14:paraId="17B21B41" w14:textId="01E6A546"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4997" w:history="1">
        <w:r w:rsidRPr="00831593">
          <w:rPr>
            <w:rStyle w:val="Hyperlink"/>
          </w:rPr>
          <w:t>8</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Mathematic Pathways (NC Math 1 and NC Math 3)</w:t>
        </w:r>
        <w:r>
          <w:rPr>
            <w:webHidden/>
          </w:rPr>
          <w:tab/>
        </w:r>
        <w:r>
          <w:rPr>
            <w:webHidden/>
          </w:rPr>
          <w:fldChar w:fldCharType="begin"/>
        </w:r>
        <w:r>
          <w:rPr>
            <w:webHidden/>
          </w:rPr>
          <w:instrText xml:space="preserve"> PAGEREF _Toc225404997 \h </w:instrText>
        </w:r>
        <w:r>
          <w:rPr>
            <w:webHidden/>
          </w:rPr>
        </w:r>
        <w:r>
          <w:rPr>
            <w:webHidden/>
          </w:rPr>
          <w:fldChar w:fldCharType="separate"/>
        </w:r>
        <w:r w:rsidR="00DB67EF">
          <w:rPr>
            <w:webHidden/>
          </w:rPr>
          <w:t>42</w:t>
        </w:r>
        <w:r>
          <w:rPr>
            <w:webHidden/>
          </w:rPr>
          <w:fldChar w:fldCharType="end"/>
        </w:r>
      </w:hyperlink>
    </w:p>
    <w:p w14:paraId="26CC51EC" w14:textId="41BC1473"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98" w:history="1">
        <w:r w:rsidRPr="00831593">
          <w:rPr>
            <w:rStyle w:val="Hyperlink"/>
          </w:rPr>
          <w:t>8.1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Mathematic Tests Used to Calculate the 95% Participation Rate Requirements</w:t>
        </w:r>
        <w:r>
          <w:rPr>
            <w:webHidden/>
          </w:rPr>
          <w:tab/>
        </w:r>
        <w:r w:rsidR="00DD10F8">
          <w:rPr>
            <w:webHidden/>
          </w:rPr>
          <w:tab/>
        </w:r>
        <w:r>
          <w:rPr>
            <w:webHidden/>
          </w:rPr>
          <w:fldChar w:fldCharType="begin"/>
        </w:r>
        <w:r>
          <w:rPr>
            <w:webHidden/>
          </w:rPr>
          <w:instrText xml:space="preserve"> PAGEREF _Toc225404998 \h </w:instrText>
        </w:r>
        <w:r>
          <w:rPr>
            <w:webHidden/>
          </w:rPr>
        </w:r>
        <w:r>
          <w:rPr>
            <w:webHidden/>
          </w:rPr>
          <w:fldChar w:fldCharType="separate"/>
        </w:r>
        <w:r w:rsidR="00DB67EF">
          <w:rPr>
            <w:webHidden/>
          </w:rPr>
          <w:t>42</w:t>
        </w:r>
        <w:r>
          <w:rPr>
            <w:webHidden/>
          </w:rPr>
          <w:fldChar w:fldCharType="end"/>
        </w:r>
      </w:hyperlink>
    </w:p>
    <w:p w14:paraId="076FA540" w14:textId="51FB1CE6"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4999" w:history="1">
        <w:r w:rsidRPr="00831593">
          <w:rPr>
            <w:rStyle w:val="Hyperlink"/>
          </w:rPr>
          <w:t>8.2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Mathematic Tests Used in School Performance Grades</w:t>
        </w:r>
        <w:r>
          <w:rPr>
            <w:webHidden/>
          </w:rPr>
          <w:tab/>
        </w:r>
        <w:r>
          <w:rPr>
            <w:webHidden/>
          </w:rPr>
          <w:fldChar w:fldCharType="begin"/>
        </w:r>
        <w:r>
          <w:rPr>
            <w:webHidden/>
          </w:rPr>
          <w:instrText xml:space="preserve"> PAGEREF _Toc225404999 \h </w:instrText>
        </w:r>
        <w:r>
          <w:rPr>
            <w:webHidden/>
          </w:rPr>
        </w:r>
        <w:r>
          <w:rPr>
            <w:webHidden/>
          </w:rPr>
          <w:fldChar w:fldCharType="separate"/>
        </w:r>
        <w:r w:rsidR="00DB67EF">
          <w:rPr>
            <w:webHidden/>
          </w:rPr>
          <w:t>43</w:t>
        </w:r>
        <w:r>
          <w:rPr>
            <w:webHidden/>
          </w:rPr>
          <w:fldChar w:fldCharType="end"/>
        </w:r>
      </w:hyperlink>
    </w:p>
    <w:p w14:paraId="61234BE9" w14:textId="294F4489"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0" w:history="1">
        <w:r w:rsidRPr="00831593">
          <w:rPr>
            <w:rStyle w:val="Hyperlink"/>
          </w:rPr>
          <w:t>8.3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Mathematic Tests Used to Calculate School Accountability Growth</w:t>
        </w:r>
        <w:r>
          <w:rPr>
            <w:webHidden/>
          </w:rPr>
          <w:tab/>
        </w:r>
        <w:r>
          <w:rPr>
            <w:webHidden/>
          </w:rPr>
          <w:fldChar w:fldCharType="begin"/>
        </w:r>
        <w:r>
          <w:rPr>
            <w:webHidden/>
          </w:rPr>
          <w:instrText xml:space="preserve"> PAGEREF _Toc225405000 \h </w:instrText>
        </w:r>
        <w:r>
          <w:rPr>
            <w:webHidden/>
          </w:rPr>
        </w:r>
        <w:r>
          <w:rPr>
            <w:webHidden/>
          </w:rPr>
          <w:fldChar w:fldCharType="separate"/>
        </w:r>
        <w:r w:rsidR="00DB67EF">
          <w:rPr>
            <w:webHidden/>
          </w:rPr>
          <w:t>44</w:t>
        </w:r>
        <w:r>
          <w:rPr>
            <w:webHidden/>
          </w:rPr>
          <w:fldChar w:fldCharType="end"/>
        </w:r>
      </w:hyperlink>
    </w:p>
    <w:p w14:paraId="2224044F" w14:textId="1771BD82"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1" w:history="1">
        <w:r w:rsidRPr="00831593">
          <w:rPr>
            <w:rStyle w:val="Hyperlink"/>
          </w:rPr>
          <w:t>8.4</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Mathematic Tests Used to Calculate Long-Term Goals</w:t>
        </w:r>
        <w:r>
          <w:rPr>
            <w:webHidden/>
          </w:rPr>
          <w:tab/>
        </w:r>
        <w:r>
          <w:rPr>
            <w:webHidden/>
          </w:rPr>
          <w:fldChar w:fldCharType="begin"/>
        </w:r>
        <w:r>
          <w:rPr>
            <w:webHidden/>
          </w:rPr>
          <w:instrText xml:space="preserve"> PAGEREF _Toc225405001 \h </w:instrText>
        </w:r>
        <w:r>
          <w:rPr>
            <w:webHidden/>
          </w:rPr>
        </w:r>
        <w:r>
          <w:rPr>
            <w:webHidden/>
          </w:rPr>
          <w:fldChar w:fldCharType="separate"/>
        </w:r>
        <w:r w:rsidR="00DB67EF">
          <w:rPr>
            <w:webHidden/>
          </w:rPr>
          <w:t>45</w:t>
        </w:r>
        <w:r>
          <w:rPr>
            <w:webHidden/>
          </w:rPr>
          <w:fldChar w:fldCharType="end"/>
        </w:r>
      </w:hyperlink>
    </w:p>
    <w:p w14:paraId="5AC61C4B" w14:textId="208E658C"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2" w:history="1">
        <w:r w:rsidRPr="00831593">
          <w:rPr>
            <w:rStyle w:val="Hyperlink"/>
            <w:rFonts w:eastAsiaTheme="minorHAnsi"/>
          </w:rPr>
          <w:t>8.5</w:t>
        </w:r>
        <w:r>
          <w:rPr>
            <w:rFonts w:asciiTheme="minorHAnsi" w:eastAsiaTheme="minorEastAsia" w:hAnsiTheme="minorHAnsi" w:cstheme="minorBidi"/>
            <w:bCs w:val="0"/>
            <w:iCs w:val="0"/>
            <w:color w:val="auto"/>
            <w:kern w:val="2"/>
            <w:szCs w:val="24"/>
            <w14:ligatures w14:val="standardContextual"/>
          </w:rPr>
          <w:tab/>
        </w:r>
        <w:r w:rsidRPr="00831593">
          <w:rPr>
            <w:rStyle w:val="Hyperlink"/>
            <w:rFonts w:eastAsiaTheme="minorHAnsi"/>
          </w:rPr>
          <w:t>Mathematic pathways for EOG grade 8 mathematics, NC Math 1, and NC Math 3</w:t>
        </w:r>
        <w:r>
          <w:rPr>
            <w:webHidden/>
          </w:rPr>
          <w:tab/>
        </w:r>
        <w:r>
          <w:rPr>
            <w:webHidden/>
          </w:rPr>
          <w:fldChar w:fldCharType="begin"/>
        </w:r>
        <w:r>
          <w:rPr>
            <w:webHidden/>
          </w:rPr>
          <w:instrText xml:space="preserve"> PAGEREF _Toc225405002 \h </w:instrText>
        </w:r>
        <w:r>
          <w:rPr>
            <w:webHidden/>
          </w:rPr>
        </w:r>
        <w:r>
          <w:rPr>
            <w:webHidden/>
          </w:rPr>
          <w:fldChar w:fldCharType="separate"/>
        </w:r>
        <w:r w:rsidR="00DB67EF">
          <w:rPr>
            <w:webHidden/>
          </w:rPr>
          <w:t>45</w:t>
        </w:r>
        <w:r>
          <w:rPr>
            <w:webHidden/>
          </w:rPr>
          <w:fldChar w:fldCharType="end"/>
        </w:r>
      </w:hyperlink>
    </w:p>
    <w:p w14:paraId="7D386207" w14:textId="04BE5E6F"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3" w:history="1">
        <w:r w:rsidRPr="00831593">
          <w:rPr>
            <w:rStyle w:val="Hyperlink"/>
          </w:rPr>
          <w:t>8.6</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Students who take NC Math 1 for the first time in grades 9–11</w:t>
        </w:r>
        <w:r>
          <w:rPr>
            <w:webHidden/>
          </w:rPr>
          <w:tab/>
        </w:r>
        <w:r>
          <w:rPr>
            <w:webHidden/>
          </w:rPr>
          <w:fldChar w:fldCharType="begin"/>
        </w:r>
        <w:r>
          <w:rPr>
            <w:webHidden/>
          </w:rPr>
          <w:instrText xml:space="preserve"> PAGEREF _Toc225405003 \h </w:instrText>
        </w:r>
        <w:r>
          <w:rPr>
            <w:webHidden/>
          </w:rPr>
        </w:r>
        <w:r>
          <w:rPr>
            <w:webHidden/>
          </w:rPr>
          <w:fldChar w:fldCharType="separate"/>
        </w:r>
        <w:r w:rsidR="00DB67EF">
          <w:rPr>
            <w:webHidden/>
          </w:rPr>
          <w:t>46</w:t>
        </w:r>
        <w:r>
          <w:rPr>
            <w:webHidden/>
          </w:rPr>
          <w:fldChar w:fldCharType="end"/>
        </w:r>
      </w:hyperlink>
    </w:p>
    <w:p w14:paraId="77159F40" w14:textId="3448607D"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4" w:history="1">
        <w:r w:rsidRPr="00831593">
          <w:rPr>
            <w:rStyle w:val="Hyperlink"/>
          </w:rPr>
          <w:t>8.7</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Students in membership in NC Math 1 in grade 8</w:t>
        </w:r>
        <w:r>
          <w:rPr>
            <w:webHidden/>
          </w:rPr>
          <w:tab/>
        </w:r>
        <w:r>
          <w:rPr>
            <w:webHidden/>
          </w:rPr>
          <w:fldChar w:fldCharType="begin"/>
        </w:r>
        <w:r>
          <w:rPr>
            <w:webHidden/>
          </w:rPr>
          <w:instrText xml:space="preserve"> PAGEREF _Toc225405004 \h </w:instrText>
        </w:r>
        <w:r>
          <w:rPr>
            <w:webHidden/>
          </w:rPr>
        </w:r>
        <w:r>
          <w:rPr>
            <w:webHidden/>
          </w:rPr>
          <w:fldChar w:fldCharType="separate"/>
        </w:r>
        <w:r w:rsidR="00DB67EF">
          <w:rPr>
            <w:webHidden/>
          </w:rPr>
          <w:t>46</w:t>
        </w:r>
        <w:r>
          <w:rPr>
            <w:webHidden/>
          </w:rPr>
          <w:fldChar w:fldCharType="end"/>
        </w:r>
      </w:hyperlink>
    </w:p>
    <w:p w14:paraId="138B4C12" w14:textId="40AD4201"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5" w:history="1">
        <w:r w:rsidRPr="00831593">
          <w:rPr>
            <w:rStyle w:val="Hyperlink"/>
          </w:rPr>
          <w:t>8.8</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Students who took NC Math 1 in grade 8 and repeat NC Math 1 in grade 9 (Follow policy on Repeating a Course for Credit for testing requirement CCRE-001)</w:t>
        </w:r>
        <w:r>
          <w:rPr>
            <w:webHidden/>
          </w:rPr>
          <w:tab/>
        </w:r>
        <w:r w:rsidR="00DD10F8">
          <w:rPr>
            <w:webHidden/>
          </w:rPr>
          <w:tab/>
        </w:r>
        <w:r>
          <w:rPr>
            <w:webHidden/>
          </w:rPr>
          <w:fldChar w:fldCharType="begin"/>
        </w:r>
        <w:r>
          <w:rPr>
            <w:webHidden/>
          </w:rPr>
          <w:instrText xml:space="preserve"> PAGEREF _Toc225405005 \h </w:instrText>
        </w:r>
        <w:r>
          <w:rPr>
            <w:webHidden/>
          </w:rPr>
        </w:r>
        <w:r>
          <w:rPr>
            <w:webHidden/>
          </w:rPr>
          <w:fldChar w:fldCharType="separate"/>
        </w:r>
        <w:r w:rsidR="00DB67EF">
          <w:rPr>
            <w:webHidden/>
          </w:rPr>
          <w:t>47</w:t>
        </w:r>
        <w:r>
          <w:rPr>
            <w:webHidden/>
          </w:rPr>
          <w:fldChar w:fldCharType="end"/>
        </w:r>
      </w:hyperlink>
    </w:p>
    <w:p w14:paraId="61F1FEB7" w14:textId="4DB8813E"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6" w:history="1">
        <w:r w:rsidRPr="00831593">
          <w:rPr>
            <w:rStyle w:val="Hyperlink"/>
          </w:rPr>
          <w:t>8.9</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Students in membership in NC Math 1 in grade 7</w:t>
        </w:r>
        <w:r>
          <w:rPr>
            <w:webHidden/>
          </w:rPr>
          <w:tab/>
        </w:r>
        <w:r>
          <w:rPr>
            <w:webHidden/>
          </w:rPr>
          <w:fldChar w:fldCharType="begin"/>
        </w:r>
        <w:r>
          <w:rPr>
            <w:webHidden/>
          </w:rPr>
          <w:instrText xml:space="preserve"> PAGEREF _Toc225405006 \h </w:instrText>
        </w:r>
        <w:r>
          <w:rPr>
            <w:webHidden/>
          </w:rPr>
        </w:r>
        <w:r>
          <w:rPr>
            <w:webHidden/>
          </w:rPr>
          <w:fldChar w:fldCharType="separate"/>
        </w:r>
        <w:r w:rsidR="00DB67EF">
          <w:rPr>
            <w:webHidden/>
          </w:rPr>
          <w:t>47</w:t>
        </w:r>
        <w:r>
          <w:rPr>
            <w:webHidden/>
          </w:rPr>
          <w:fldChar w:fldCharType="end"/>
        </w:r>
      </w:hyperlink>
    </w:p>
    <w:p w14:paraId="1BC5AAD1" w14:textId="37280380"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7" w:history="1">
        <w:r w:rsidRPr="00831593">
          <w:rPr>
            <w:rStyle w:val="Hyperlink"/>
          </w:rPr>
          <w:t>8.10</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Students in membership in NC Math 1 in grade 6</w:t>
        </w:r>
        <w:r>
          <w:rPr>
            <w:webHidden/>
          </w:rPr>
          <w:tab/>
        </w:r>
        <w:r>
          <w:rPr>
            <w:webHidden/>
          </w:rPr>
          <w:fldChar w:fldCharType="begin"/>
        </w:r>
        <w:r>
          <w:rPr>
            <w:webHidden/>
          </w:rPr>
          <w:instrText xml:space="preserve"> PAGEREF _Toc225405007 \h </w:instrText>
        </w:r>
        <w:r>
          <w:rPr>
            <w:webHidden/>
          </w:rPr>
        </w:r>
        <w:r>
          <w:rPr>
            <w:webHidden/>
          </w:rPr>
          <w:fldChar w:fldCharType="separate"/>
        </w:r>
        <w:r w:rsidR="00DB67EF">
          <w:rPr>
            <w:webHidden/>
          </w:rPr>
          <w:t>48</w:t>
        </w:r>
        <w:r>
          <w:rPr>
            <w:webHidden/>
          </w:rPr>
          <w:fldChar w:fldCharType="end"/>
        </w:r>
      </w:hyperlink>
    </w:p>
    <w:p w14:paraId="0936E2D4" w14:textId="4D93B282"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5008" w:history="1">
        <w:r w:rsidRPr="00831593">
          <w:rPr>
            <w:rStyle w:val="Hyperlink"/>
          </w:rPr>
          <w:t>9</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Federal and State School Designations</w:t>
        </w:r>
        <w:r>
          <w:rPr>
            <w:webHidden/>
          </w:rPr>
          <w:tab/>
        </w:r>
        <w:r>
          <w:rPr>
            <w:webHidden/>
          </w:rPr>
          <w:fldChar w:fldCharType="begin"/>
        </w:r>
        <w:r>
          <w:rPr>
            <w:webHidden/>
          </w:rPr>
          <w:instrText xml:space="preserve"> PAGEREF _Toc225405008 \h </w:instrText>
        </w:r>
        <w:r>
          <w:rPr>
            <w:webHidden/>
          </w:rPr>
        </w:r>
        <w:r>
          <w:rPr>
            <w:webHidden/>
          </w:rPr>
          <w:fldChar w:fldCharType="separate"/>
        </w:r>
        <w:r w:rsidR="00DB67EF">
          <w:rPr>
            <w:webHidden/>
          </w:rPr>
          <w:t>49</w:t>
        </w:r>
        <w:r>
          <w:rPr>
            <w:webHidden/>
          </w:rPr>
          <w:fldChar w:fldCharType="end"/>
        </w:r>
      </w:hyperlink>
    </w:p>
    <w:p w14:paraId="19A89CC2" w14:textId="050652C1"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09" w:history="1">
        <w:r w:rsidRPr="00831593">
          <w:rPr>
            <w:rStyle w:val="Hyperlink"/>
          </w:rPr>
          <w:t>9.1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Comprehensive Support and Improvement Schools</w:t>
        </w:r>
        <w:r>
          <w:rPr>
            <w:webHidden/>
          </w:rPr>
          <w:tab/>
        </w:r>
        <w:r>
          <w:rPr>
            <w:webHidden/>
          </w:rPr>
          <w:fldChar w:fldCharType="begin"/>
        </w:r>
        <w:r>
          <w:rPr>
            <w:webHidden/>
          </w:rPr>
          <w:instrText xml:space="preserve"> PAGEREF _Toc225405009 \h </w:instrText>
        </w:r>
        <w:r>
          <w:rPr>
            <w:webHidden/>
          </w:rPr>
        </w:r>
        <w:r>
          <w:rPr>
            <w:webHidden/>
          </w:rPr>
          <w:fldChar w:fldCharType="separate"/>
        </w:r>
        <w:r w:rsidR="00DB67EF">
          <w:rPr>
            <w:webHidden/>
          </w:rPr>
          <w:t>51</w:t>
        </w:r>
        <w:r>
          <w:rPr>
            <w:webHidden/>
          </w:rPr>
          <w:fldChar w:fldCharType="end"/>
        </w:r>
      </w:hyperlink>
    </w:p>
    <w:p w14:paraId="74928BBA" w14:textId="72F7A508"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10" w:history="1">
        <w:r w:rsidRPr="00831593">
          <w:rPr>
            <w:rStyle w:val="Hyperlink"/>
          </w:rPr>
          <w:t>9.2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CSI-Low Performing Schools</w:t>
        </w:r>
        <w:r>
          <w:rPr>
            <w:webHidden/>
          </w:rPr>
          <w:tab/>
        </w:r>
        <w:r>
          <w:rPr>
            <w:webHidden/>
          </w:rPr>
          <w:fldChar w:fldCharType="begin"/>
        </w:r>
        <w:r>
          <w:rPr>
            <w:webHidden/>
          </w:rPr>
          <w:instrText xml:space="preserve"> PAGEREF _Toc225405010 \h </w:instrText>
        </w:r>
        <w:r>
          <w:rPr>
            <w:webHidden/>
          </w:rPr>
        </w:r>
        <w:r>
          <w:rPr>
            <w:webHidden/>
          </w:rPr>
          <w:fldChar w:fldCharType="separate"/>
        </w:r>
        <w:r w:rsidR="00DB67EF">
          <w:rPr>
            <w:webHidden/>
          </w:rPr>
          <w:t>51</w:t>
        </w:r>
        <w:r>
          <w:rPr>
            <w:webHidden/>
          </w:rPr>
          <w:fldChar w:fldCharType="end"/>
        </w:r>
      </w:hyperlink>
    </w:p>
    <w:p w14:paraId="350742D3" w14:textId="3CE8108C" w:rsidR="0019094C" w:rsidRDefault="0019094C">
      <w:pPr>
        <w:pStyle w:val="TOC3"/>
        <w:rPr>
          <w:rFonts w:asciiTheme="minorHAnsi" w:eastAsiaTheme="minorEastAsia" w:hAnsiTheme="minorHAnsi" w:cstheme="minorBidi"/>
          <w:color w:val="auto"/>
          <w:kern w:val="2"/>
          <w:szCs w:val="24"/>
          <w14:ligatures w14:val="standardContextual"/>
        </w:rPr>
      </w:pPr>
      <w:hyperlink w:anchor="_Toc225405011" w:history="1">
        <w:r w:rsidRPr="00831593">
          <w:rPr>
            <w:rStyle w:val="Hyperlink"/>
          </w:rPr>
          <w:t>9.2.1 Steps for CSI-LP Identification</w:t>
        </w:r>
        <w:r>
          <w:rPr>
            <w:webHidden/>
          </w:rPr>
          <w:tab/>
        </w:r>
        <w:r>
          <w:rPr>
            <w:webHidden/>
          </w:rPr>
          <w:fldChar w:fldCharType="begin"/>
        </w:r>
        <w:r>
          <w:rPr>
            <w:webHidden/>
          </w:rPr>
          <w:instrText xml:space="preserve"> PAGEREF _Toc225405011 \h </w:instrText>
        </w:r>
        <w:r>
          <w:rPr>
            <w:webHidden/>
          </w:rPr>
        </w:r>
        <w:r>
          <w:rPr>
            <w:webHidden/>
          </w:rPr>
          <w:fldChar w:fldCharType="separate"/>
        </w:r>
        <w:r w:rsidR="00DB67EF">
          <w:rPr>
            <w:webHidden/>
          </w:rPr>
          <w:t>51</w:t>
        </w:r>
        <w:r>
          <w:rPr>
            <w:webHidden/>
          </w:rPr>
          <w:fldChar w:fldCharType="end"/>
        </w:r>
      </w:hyperlink>
    </w:p>
    <w:p w14:paraId="729B73FD" w14:textId="0F16F96C"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12" w:history="1">
        <w:r w:rsidRPr="00831593">
          <w:rPr>
            <w:rStyle w:val="Hyperlink"/>
          </w:rPr>
          <w:t>9.3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CSI-Low Graduation Rates</w:t>
        </w:r>
        <w:r>
          <w:rPr>
            <w:webHidden/>
          </w:rPr>
          <w:tab/>
        </w:r>
        <w:r>
          <w:rPr>
            <w:webHidden/>
          </w:rPr>
          <w:fldChar w:fldCharType="begin"/>
        </w:r>
        <w:r>
          <w:rPr>
            <w:webHidden/>
          </w:rPr>
          <w:instrText xml:space="preserve"> PAGEREF _Toc225405012 \h </w:instrText>
        </w:r>
        <w:r>
          <w:rPr>
            <w:webHidden/>
          </w:rPr>
        </w:r>
        <w:r>
          <w:rPr>
            <w:webHidden/>
          </w:rPr>
          <w:fldChar w:fldCharType="separate"/>
        </w:r>
        <w:r w:rsidR="00DB67EF">
          <w:rPr>
            <w:webHidden/>
          </w:rPr>
          <w:t>52</w:t>
        </w:r>
        <w:r>
          <w:rPr>
            <w:webHidden/>
          </w:rPr>
          <w:fldChar w:fldCharType="end"/>
        </w:r>
      </w:hyperlink>
    </w:p>
    <w:p w14:paraId="50BD9ADC" w14:textId="550507CC" w:rsidR="0019094C" w:rsidRDefault="0019094C">
      <w:pPr>
        <w:pStyle w:val="TOC3"/>
        <w:rPr>
          <w:rFonts w:asciiTheme="minorHAnsi" w:eastAsiaTheme="minorEastAsia" w:hAnsiTheme="minorHAnsi" w:cstheme="minorBidi"/>
          <w:color w:val="auto"/>
          <w:kern w:val="2"/>
          <w:szCs w:val="24"/>
          <w14:ligatures w14:val="standardContextual"/>
        </w:rPr>
      </w:pPr>
      <w:hyperlink w:anchor="_Toc225405013" w:history="1">
        <w:r w:rsidRPr="00831593">
          <w:rPr>
            <w:rStyle w:val="Hyperlink"/>
          </w:rPr>
          <w:t>9.3.1 Steps for CSI-LG Identification</w:t>
        </w:r>
        <w:r>
          <w:rPr>
            <w:webHidden/>
          </w:rPr>
          <w:tab/>
        </w:r>
        <w:r>
          <w:rPr>
            <w:webHidden/>
          </w:rPr>
          <w:fldChar w:fldCharType="begin"/>
        </w:r>
        <w:r>
          <w:rPr>
            <w:webHidden/>
          </w:rPr>
          <w:instrText xml:space="preserve"> PAGEREF _Toc225405013 \h </w:instrText>
        </w:r>
        <w:r>
          <w:rPr>
            <w:webHidden/>
          </w:rPr>
        </w:r>
        <w:r>
          <w:rPr>
            <w:webHidden/>
          </w:rPr>
          <w:fldChar w:fldCharType="separate"/>
        </w:r>
        <w:r w:rsidR="00DB67EF">
          <w:rPr>
            <w:webHidden/>
          </w:rPr>
          <w:t>52</w:t>
        </w:r>
        <w:r>
          <w:rPr>
            <w:webHidden/>
          </w:rPr>
          <w:fldChar w:fldCharType="end"/>
        </w:r>
      </w:hyperlink>
    </w:p>
    <w:p w14:paraId="14EABDC5" w14:textId="1B27A343"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14" w:history="1">
        <w:r w:rsidRPr="00831593">
          <w:rPr>
            <w:rStyle w:val="Hyperlink"/>
          </w:rPr>
          <w:t>9.4</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CSI-Additional Targeted Support Not Exiting Such Status</w:t>
        </w:r>
        <w:r>
          <w:rPr>
            <w:webHidden/>
          </w:rPr>
          <w:tab/>
        </w:r>
        <w:r>
          <w:rPr>
            <w:webHidden/>
          </w:rPr>
          <w:fldChar w:fldCharType="begin"/>
        </w:r>
        <w:r>
          <w:rPr>
            <w:webHidden/>
          </w:rPr>
          <w:instrText xml:space="preserve"> PAGEREF _Toc225405014 \h </w:instrText>
        </w:r>
        <w:r>
          <w:rPr>
            <w:webHidden/>
          </w:rPr>
        </w:r>
        <w:r>
          <w:rPr>
            <w:webHidden/>
          </w:rPr>
          <w:fldChar w:fldCharType="separate"/>
        </w:r>
        <w:r w:rsidR="00DB67EF">
          <w:rPr>
            <w:webHidden/>
          </w:rPr>
          <w:t>52</w:t>
        </w:r>
        <w:r>
          <w:rPr>
            <w:webHidden/>
          </w:rPr>
          <w:fldChar w:fldCharType="end"/>
        </w:r>
      </w:hyperlink>
    </w:p>
    <w:p w14:paraId="0C7EEBDC" w14:textId="091A57C0" w:rsidR="0019094C" w:rsidRDefault="0019094C">
      <w:pPr>
        <w:pStyle w:val="TOC3"/>
        <w:rPr>
          <w:rFonts w:asciiTheme="minorHAnsi" w:eastAsiaTheme="minorEastAsia" w:hAnsiTheme="minorHAnsi" w:cstheme="minorBidi"/>
          <w:color w:val="auto"/>
          <w:kern w:val="2"/>
          <w:szCs w:val="24"/>
          <w14:ligatures w14:val="standardContextual"/>
        </w:rPr>
      </w:pPr>
      <w:hyperlink w:anchor="_Toc225405015" w:history="1">
        <w:r w:rsidRPr="00831593">
          <w:rPr>
            <w:rStyle w:val="Hyperlink"/>
          </w:rPr>
          <w:t>9.4.1 Steps for CSI-AT Identification</w:t>
        </w:r>
        <w:r>
          <w:rPr>
            <w:webHidden/>
          </w:rPr>
          <w:tab/>
        </w:r>
        <w:r>
          <w:rPr>
            <w:webHidden/>
          </w:rPr>
          <w:fldChar w:fldCharType="begin"/>
        </w:r>
        <w:r>
          <w:rPr>
            <w:webHidden/>
          </w:rPr>
          <w:instrText xml:space="preserve"> PAGEREF _Toc225405015 \h </w:instrText>
        </w:r>
        <w:r>
          <w:rPr>
            <w:webHidden/>
          </w:rPr>
        </w:r>
        <w:r>
          <w:rPr>
            <w:webHidden/>
          </w:rPr>
          <w:fldChar w:fldCharType="separate"/>
        </w:r>
        <w:r w:rsidR="00DB67EF">
          <w:rPr>
            <w:webHidden/>
          </w:rPr>
          <w:t>53</w:t>
        </w:r>
        <w:r>
          <w:rPr>
            <w:webHidden/>
          </w:rPr>
          <w:fldChar w:fldCharType="end"/>
        </w:r>
      </w:hyperlink>
    </w:p>
    <w:p w14:paraId="7C2B20B9" w14:textId="236A36B5"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16" w:history="1">
        <w:r w:rsidRPr="00831593">
          <w:rPr>
            <w:rStyle w:val="Hyperlink"/>
          </w:rPr>
          <w:t>9.5</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Targeted Support and Improvement Schools</w:t>
        </w:r>
        <w:r>
          <w:rPr>
            <w:webHidden/>
          </w:rPr>
          <w:tab/>
        </w:r>
        <w:r>
          <w:rPr>
            <w:webHidden/>
          </w:rPr>
          <w:fldChar w:fldCharType="begin"/>
        </w:r>
        <w:r>
          <w:rPr>
            <w:webHidden/>
          </w:rPr>
          <w:instrText xml:space="preserve"> PAGEREF _Toc225405016 \h </w:instrText>
        </w:r>
        <w:r>
          <w:rPr>
            <w:webHidden/>
          </w:rPr>
        </w:r>
        <w:r>
          <w:rPr>
            <w:webHidden/>
          </w:rPr>
          <w:fldChar w:fldCharType="separate"/>
        </w:r>
        <w:r w:rsidR="00DB67EF">
          <w:rPr>
            <w:webHidden/>
          </w:rPr>
          <w:t>53</w:t>
        </w:r>
        <w:r>
          <w:rPr>
            <w:webHidden/>
          </w:rPr>
          <w:fldChar w:fldCharType="end"/>
        </w:r>
      </w:hyperlink>
    </w:p>
    <w:p w14:paraId="1D935631" w14:textId="67F8C9E0"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17" w:history="1">
        <w:r w:rsidRPr="00831593">
          <w:rPr>
            <w:rStyle w:val="Hyperlink"/>
          </w:rPr>
          <w:t>9.6</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TSI-Consistently Underperforming Subgroups</w:t>
        </w:r>
        <w:r>
          <w:rPr>
            <w:webHidden/>
          </w:rPr>
          <w:tab/>
        </w:r>
        <w:r>
          <w:rPr>
            <w:webHidden/>
          </w:rPr>
          <w:fldChar w:fldCharType="begin"/>
        </w:r>
        <w:r>
          <w:rPr>
            <w:webHidden/>
          </w:rPr>
          <w:instrText xml:space="preserve"> PAGEREF _Toc225405017 \h </w:instrText>
        </w:r>
        <w:r>
          <w:rPr>
            <w:webHidden/>
          </w:rPr>
        </w:r>
        <w:r>
          <w:rPr>
            <w:webHidden/>
          </w:rPr>
          <w:fldChar w:fldCharType="separate"/>
        </w:r>
        <w:r w:rsidR="00DB67EF">
          <w:rPr>
            <w:webHidden/>
          </w:rPr>
          <w:t>53</w:t>
        </w:r>
        <w:r>
          <w:rPr>
            <w:webHidden/>
          </w:rPr>
          <w:fldChar w:fldCharType="end"/>
        </w:r>
      </w:hyperlink>
    </w:p>
    <w:p w14:paraId="385E4861" w14:textId="25FEAF1A"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18" w:history="1">
        <w:r w:rsidRPr="00831593">
          <w:rPr>
            <w:rStyle w:val="Hyperlink"/>
          </w:rPr>
          <w:t>9.7</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TSI-Additional Targeted Support (TSI-AT)</w:t>
        </w:r>
        <w:r>
          <w:rPr>
            <w:webHidden/>
          </w:rPr>
          <w:tab/>
        </w:r>
        <w:r>
          <w:rPr>
            <w:webHidden/>
          </w:rPr>
          <w:fldChar w:fldCharType="begin"/>
        </w:r>
        <w:r>
          <w:rPr>
            <w:webHidden/>
          </w:rPr>
          <w:instrText xml:space="preserve"> PAGEREF _Toc225405018 \h </w:instrText>
        </w:r>
        <w:r>
          <w:rPr>
            <w:webHidden/>
          </w:rPr>
        </w:r>
        <w:r>
          <w:rPr>
            <w:webHidden/>
          </w:rPr>
          <w:fldChar w:fldCharType="separate"/>
        </w:r>
        <w:r w:rsidR="00DB67EF">
          <w:rPr>
            <w:webHidden/>
          </w:rPr>
          <w:t>54</w:t>
        </w:r>
        <w:r>
          <w:rPr>
            <w:webHidden/>
          </w:rPr>
          <w:fldChar w:fldCharType="end"/>
        </w:r>
      </w:hyperlink>
    </w:p>
    <w:p w14:paraId="140B7C05" w14:textId="55507EA1" w:rsidR="0019094C" w:rsidRDefault="0019094C">
      <w:pPr>
        <w:pStyle w:val="TOC3"/>
        <w:rPr>
          <w:rFonts w:asciiTheme="minorHAnsi" w:eastAsiaTheme="minorEastAsia" w:hAnsiTheme="minorHAnsi" w:cstheme="minorBidi"/>
          <w:color w:val="auto"/>
          <w:kern w:val="2"/>
          <w:szCs w:val="24"/>
          <w14:ligatures w14:val="standardContextual"/>
        </w:rPr>
      </w:pPr>
      <w:hyperlink w:anchor="_Toc225405019" w:history="1">
        <w:r w:rsidRPr="00831593">
          <w:rPr>
            <w:rStyle w:val="Hyperlink"/>
          </w:rPr>
          <w:t>9.7.1 Steps for TSI-AT Identification</w:t>
        </w:r>
        <w:r>
          <w:rPr>
            <w:webHidden/>
          </w:rPr>
          <w:tab/>
        </w:r>
        <w:r>
          <w:rPr>
            <w:webHidden/>
          </w:rPr>
          <w:fldChar w:fldCharType="begin"/>
        </w:r>
        <w:r>
          <w:rPr>
            <w:webHidden/>
          </w:rPr>
          <w:instrText xml:space="preserve"> PAGEREF _Toc225405019 \h </w:instrText>
        </w:r>
        <w:r>
          <w:rPr>
            <w:webHidden/>
          </w:rPr>
        </w:r>
        <w:r>
          <w:rPr>
            <w:webHidden/>
          </w:rPr>
          <w:fldChar w:fldCharType="separate"/>
        </w:r>
        <w:r w:rsidR="00DB67EF">
          <w:rPr>
            <w:webHidden/>
          </w:rPr>
          <w:t>55</w:t>
        </w:r>
        <w:r>
          <w:rPr>
            <w:webHidden/>
          </w:rPr>
          <w:fldChar w:fldCharType="end"/>
        </w:r>
      </w:hyperlink>
    </w:p>
    <w:p w14:paraId="17A189EF" w14:textId="5F30AFF2"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0" w:history="1">
        <w:r w:rsidRPr="00831593">
          <w:rPr>
            <w:rStyle w:val="Hyperlink"/>
          </w:rPr>
          <w:t>9.8</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Low-Performing State Identifications</w:t>
        </w:r>
        <w:r>
          <w:rPr>
            <w:webHidden/>
          </w:rPr>
          <w:tab/>
        </w:r>
        <w:r>
          <w:rPr>
            <w:webHidden/>
          </w:rPr>
          <w:fldChar w:fldCharType="begin"/>
        </w:r>
        <w:r>
          <w:rPr>
            <w:webHidden/>
          </w:rPr>
          <w:instrText xml:space="preserve"> PAGEREF _Toc225405020 \h </w:instrText>
        </w:r>
        <w:r>
          <w:rPr>
            <w:webHidden/>
          </w:rPr>
        </w:r>
        <w:r>
          <w:rPr>
            <w:webHidden/>
          </w:rPr>
          <w:fldChar w:fldCharType="separate"/>
        </w:r>
        <w:r w:rsidR="00DB67EF">
          <w:rPr>
            <w:webHidden/>
          </w:rPr>
          <w:t>63</w:t>
        </w:r>
        <w:r>
          <w:rPr>
            <w:webHidden/>
          </w:rPr>
          <w:fldChar w:fldCharType="end"/>
        </w:r>
      </w:hyperlink>
    </w:p>
    <w:p w14:paraId="2B355F8E" w14:textId="0839D114"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5021" w:history="1">
        <w:r w:rsidRPr="00831593">
          <w:rPr>
            <w:rStyle w:val="Hyperlink"/>
          </w:rPr>
          <w:t>10</w:t>
        </w:r>
        <w:r w:rsidR="0082516C">
          <w:rPr>
            <w:rStyle w:val="Hyperlink"/>
          </w:rPr>
          <w:t xml:space="preserve"> </w:t>
        </w:r>
        <w:r>
          <w:rPr>
            <w:rFonts w:asciiTheme="minorHAnsi" w:eastAsiaTheme="minorEastAsia" w:hAnsiTheme="minorHAnsi" w:cstheme="minorBidi"/>
            <w:b w:val="0"/>
            <w:bCs w:val="0"/>
            <w:iCs w:val="0"/>
            <w:caps w:val="0"/>
            <w:color w:val="auto"/>
            <w:kern w:val="2"/>
            <w14:ligatures w14:val="standardContextual"/>
          </w:rPr>
          <w:tab/>
        </w:r>
        <w:r w:rsidRPr="00831593">
          <w:rPr>
            <w:rStyle w:val="Hyperlink"/>
          </w:rPr>
          <w:t>Long-Term Goals</w:t>
        </w:r>
        <w:r>
          <w:rPr>
            <w:webHidden/>
          </w:rPr>
          <w:tab/>
        </w:r>
        <w:r>
          <w:rPr>
            <w:webHidden/>
          </w:rPr>
          <w:fldChar w:fldCharType="begin"/>
        </w:r>
        <w:r>
          <w:rPr>
            <w:webHidden/>
          </w:rPr>
          <w:instrText xml:space="preserve"> PAGEREF _Toc225405021 \h </w:instrText>
        </w:r>
        <w:r>
          <w:rPr>
            <w:webHidden/>
          </w:rPr>
        </w:r>
        <w:r>
          <w:rPr>
            <w:webHidden/>
          </w:rPr>
          <w:fldChar w:fldCharType="separate"/>
        </w:r>
        <w:r w:rsidR="00DB67EF">
          <w:rPr>
            <w:webHidden/>
          </w:rPr>
          <w:t>64</w:t>
        </w:r>
        <w:r>
          <w:rPr>
            <w:webHidden/>
          </w:rPr>
          <w:fldChar w:fldCharType="end"/>
        </w:r>
      </w:hyperlink>
    </w:p>
    <w:p w14:paraId="399F9A3C" w14:textId="58CA0462"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2" w:history="1">
        <w:r w:rsidRPr="00831593">
          <w:rPr>
            <w:rStyle w:val="Hyperlink"/>
          </w:rPr>
          <w:t>10.1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Long-Term Goals for the All Students Group</w:t>
        </w:r>
        <w:r>
          <w:rPr>
            <w:webHidden/>
          </w:rPr>
          <w:tab/>
        </w:r>
        <w:r>
          <w:rPr>
            <w:webHidden/>
          </w:rPr>
          <w:fldChar w:fldCharType="begin"/>
        </w:r>
        <w:r>
          <w:rPr>
            <w:webHidden/>
          </w:rPr>
          <w:instrText xml:space="preserve"> PAGEREF _Toc225405022 \h </w:instrText>
        </w:r>
        <w:r>
          <w:rPr>
            <w:webHidden/>
          </w:rPr>
        </w:r>
        <w:r>
          <w:rPr>
            <w:webHidden/>
          </w:rPr>
          <w:fldChar w:fldCharType="separate"/>
        </w:r>
        <w:r w:rsidR="00DB67EF">
          <w:rPr>
            <w:webHidden/>
          </w:rPr>
          <w:t>64</w:t>
        </w:r>
        <w:r>
          <w:rPr>
            <w:webHidden/>
          </w:rPr>
          <w:fldChar w:fldCharType="end"/>
        </w:r>
      </w:hyperlink>
    </w:p>
    <w:p w14:paraId="3AECCCDC" w14:textId="637B58E9"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3" w:history="1">
        <w:r w:rsidRPr="00831593">
          <w:rPr>
            <w:rStyle w:val="Hyperlink"/>
          </w:rPr>
          <w:t>10.2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Long-Term Goals for Subgroups</w:t>
        </w:r>
        <w:r>
          <w:rPr>
            <w:webHidden/>
          </w:rPr>
          <w:tab/>
        </w:r>
        <w:r>
          <w:rPr>
            <w:webHidden/>
          </w:rPr>
          <w:fldChar w:fldCharType="begin"/>
        </w:r>
        <w:r>
          <w:rPr>
            <w:webHidden/>
          </w:rPr>
          <w:instrText xml:space="preserve"> PAGEREF _Toc225405023 \h </w:instrText>
        </w:r>
        <w:r>
          <w:rPr>
            <w:webHidden/>
          </w:rPr>
        </w:r>
        <w:r>
          <w:rPr>
            <w:webHidden/>
          </w:rPr>
          <w:fldChar w:fldCharType="separate"/>
        </w:r>
        <w:r w:rsidR="00DB67EF">
          <w:rPr>
            <w:webHidden/>
          </w:rPr>
          <w:t>64</w:t>
        </w:r>
        <w:r>
          <w:rPr>
            <w:webHidden/>
          </w:rPr>
          <w:fldChar w:fldCharType="end"/>
        </w:r>
      </w:hyperlink>
    </w:p>
    <w:p w14:paraId="297BDE54" w14:textId="6684312A"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4" w:history="1">
        <w:r w:rsidRPr="00831593">
          <w:rPr>
            <w:rStyle w:val="Hyperlink"/>
          </w:rPr>
          <w:t>10.3</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Measures of Interim Progress</w:t>
        </w:r>
        <w:r>
          <w:rPr>
            <w:webHidden/>
          </w:rPr>
          <w:tab/>
        </w:r>
        <w:r>
          <w:rPr>
            <w:webHidden/>
          </w:rPr>
          <w:fldChar w:fldCharType="begin"/>
        </w:r>
        <w:r>
          <w:rPr>
            <w:webHidden/>
          </w:rPr>
          <w:instrText xml:space="preserve"> PAGEREF _Toc225405024 \h </w:instrText>
        </w:r>
        <w:r>
          <w:rPr>
            <w:webHidden/>
          </w:rPr>
        </w:r>
        <w:r>
          <w:rPr>
            <w:webHidden/>
          </w:rPr>
          <w:fldChar w:fldCharType="separate"/>
        </w:r>
        <w:r w:rsidR="00DB67EF">
          <w:rPr>
            <w:webHidden/>
          </w:rPr>
          <w:t>65</w:t>
        </w:r>
        <w:r>
          <w:rPr>
            <w:webHidden/>
          </w:rPr>
          <w:fldChar w:fldCharType="end"/>
        </w:r>
      </w:hyperlink>
    </w:p>
    <w:p w14:paraId="100CFE28" w14:textId="717F8C74"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5" w:history="1">
        <w:r w:rsidRPr="00831593">
          <w:rPr>
            <w:rStyle w:val="Hyperlink"/>
          </w:rPr>
          <w:t>10.4</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Rules for All Goals</w:t>
        </w:r>
        <w:r>
          <w:rPr>
            <w:webHidden/>
          </w:rPr>
          <w:tab/>
        </w:r>
        <w:r>
          <w:rPr>
            <w:webHidden/>
          </w:rPr>
          <w:fldChar w:fldCharType="begin"/>
        </w:r>
        <w:r>
          <w:rPr>
            <w:webHidden/>
          </w:rPr>
          <w:instrText xml:space="preserve"> PAGEREF _Toc225405025 \h </w:instrText>
        </w:r>
        <w:r>
          <w:rPr>
            <w:webHidden/>
          </w:rPr>
        </w:r>
        <w:r>
          <w:rPr>
            <w:webHidden/>
          </w:rPr>
          <w:fldChar w:fldCharType="separate"/>
        </w:r>
        <w:r w:rsidR="00DB67EF">
          <w:rPr>
            <w:webHidden/>
          </w:rPr>
          <w:t>65</w:t>
        </w:r>
        <w:r>
          <w:rPr>
            <w:webHidden/>
          </w:rPr>
          <w:fldChar w:fldCharType="end"/>
        </w:r>
      </w:hyperlink>
    </w:p>
    <w:p w14:paraId="5D7EFC80" w14:textId="307EA6C1"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6" w:history="1">
        <w:r w:rsidRPr="00831593">
          <w:rPr>
            <w:rStyle w:val="Hyperlink"/>
          </w:rPr>
          <w:t>10.5</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Additional Rules for Academic Progress Goals</w:t>
        </w:r>
        <w:r>
          <w:rPr>
            <w:webHidden/>
          </w:rPr>
          <w:tab/>
        </w:r>
        <w:r>
          <w:rPr>
            <w:webHidden/>
          </w:rPr>
          <w:fldChar w:fldCharType="begin"/>
        </w:r>
        <w:r>
          <w:rPr>
            <w:webHidden/>
          </w:rPr>
          <w:instrText xml:space="preserve"> PAGEREF _Toc225405026 \h </w:instrText>
        </w:r>
        <w:r>
          <w:rPr>
            <w:webHidden/>
          </w:rPr>
        </w:r>
        <w:r>
          <w:rPr>
            <w:webHidden/>
          </w:rPr>
          <w:fldChar w:fldCharType="separate"/>
        </w:r>
        <w:r w:rsidR="00DB67EF">
          <w:rPr>
            <w:webHidden/>
          </w:rPr>
          <w:t>66</w:t>
        </w:r>
        <w:r>
          <w:rPr>
            <w:webHidden/>
          </w:rPr>
          <w:fldChar w:fldCharType="end"/>
        </w:r>
      </w:hyperlink>
    </w:p>
    <w:p w14:paraId="6BA9AEA3" w14:textId="1A526C8C"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7" w:history="1">
        <w:r w:rsidRPr="00831593">
          <w:rPr>
            <w:rStyle w:val="Hyperlink"/>
          </w:rPr>
          <w:t>10.6</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Additional Rules for English Learner Progress</w:t>
        </w:r>
        <w:r>
          <w:rPr>
            <w:webHidden/>
          </w:rPr>
          <w:tab/>
        </w:r>
        <w:r>
          <w:rPr>
            <w:webHidden/>
          </w:rPr>
          <w:fldChar w:fldCharType="begin"/>
        </w:r>
        <w:r>
          <w:rPr>
            <w:webHidden/>
          </w:rPr>
          <w:instrText xml:space="preserve"> PAGEREF _Toc225405027 \h </w:instrText>
        </w:r>
        <w:r>
          <w:rPr>
            <w:webHidden/>
          </w:rPr>
        </w:r>
        <w:r>
          <w:rPr>
            <w:webHidden/>
          </w:rPr>
          <w:fldChar w:fldCharType="separate"/>
        </w:r>
        <w:r w:rsidR="00DB67EF">
          <w:rPr>
            <w:webHidden/>
          </w:rPr>
          <w:t>67</w:t>
        </w:r>
        <w:r>
          <w:rPr>
            <w:webHidden/>
          </w:rPr>
          <w:fldChar w:fldCharType="end"/>
        </w:r>
      </w:hyperlink>
    </w:p>
    <w:p w14:paraId="679D91E2" w14:textId="127C6A4D"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5028" w:history="1">
        <w:r w:rsidRPr="00831593">
          <w:rPr>
            <w:rStyle w:val="Hyperlink"/>
          </w:rPr>
          <w:t>11</w:t>
        </w:r>
        <w:r>
          <w:rPr>
            <w:rFonts w:asciiTheme="minorHAnsi" w:eastAsiaTheme="minorEastAsia" w:hAnsiTheme="minorHAnsi" w:cstheme="minorBidi"/>
            <w:b w:val="0"/>
            <w:bCs w:val="0"/>
            <w:iCs w:val="0"/>
            <w:caps w:val="0"/>
            <w:color w:val="auto"/>
            <w:kern w:val="2"/>
            <w14:ligatures w14:val="standardContextual"/>
          </w:rPr>
          <w:tab/>
        </w:r>
        <w:r w:rsidR="0082516C">
          <w:rPr>
            <w:rFonts w:asciiTheme="minorHAnsi" w:eastAsiaTheme="minorEastAsia" w:hAnsiTheme="minorHAnsi" w:cstheme="minorBidi"/>
            <w:b w:val="0"/>
            <w:bCs w:val="0"/>
            <w:iCs w:val="0"/>
            <w:caps w:val="0"/>
            <w:color w:val="auto"/>
            <w:kern w:val="2"/>
            <w14:ligatures w14:val="standardContextual"/>
          </w:rPr>
          <w:t xml:space="preserve"> </w:t>
        </w:r>
        <w:r w:rsidRPr="00831593">
          <w:rPr>
            <w:rStyle w:val="Hyperlink"/>
          </w:rPr>
          <w:t xml:space="preserve">General Business Rules Applied for Accountability and </w:t>
        </w:r>
        <w:r w:rsidR="0082516C">
          <w:rPr>
            <w:rStyle w:val="Hyperlink"/>
          </w:rPr>
          <w:t xml:space="preserve"> </w:t>
        </w:r>
        <w:r w:rsidRPr="00831593">
          <w:rPr>
            <w:rStyle w:val="Hyperlink"/>
          </w:rPr>
          <w:t>Reporting</w:t>
        </w:r>
        <w:r>
          <w:rPr>
            <w:webHidden/>
          </w:rPr>
          <w:tab/>
        </w:r>
        <w:r>
          <w:rPr>
            <w:webHidden/>
          </w:rPr>
          <w:fldChar w:fldCharType="begin"/>
        </w:r>
        <w:r>
          <w:rPr>
            <w:webHidden/>
          </w:rPr>
          <w:instrText xml:space="preserve"> PAGEREF _Toc225405028 \h </w:instrText>
        </w:r>
        <w:r>
          <w:rPr>
            <w:webHidden/>
          </w:rPr>
        </w:r>
        <w:r>
          <w:rPr>
            <w:webHidden/>
          </w:rPr>
          <w:fldChar w:fldCharType="separate"/>
        </w:r>
        <w:r w:rsidR="00DB67EF">
          <w:rPr>
            <w:webHidden/>
          </w:rPr>
          <w:t>71</w:t>
        </w:r>
        <w:r>
          <w:rPr>
            <w:webHidden/>
          </w:rPr>
          <w:fldChar w:fldCharType="end"/>
        </w:r>
      </w:hyperlink>
    </w:p>
    <w:p w14:paraId="22F26FE2" w14:textId="7F81153B"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29" w:history="1">
        <w:r w:rsidRPr="00831593">
          <w:rPr>
            <w:rStyle w:val="Hyperlink"/>
          </w:rPr>
          <w:t>11.1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Inclusion of Data for EL Students in First or Second Year in U.S. Schools</w:t>
        </w:r>
        <w:r>
          <w:rPr>
            <w:webHidden/>
          </w:rPr>
          <w:tab/>
        </w:r>
        <w:r>
          <w:rPr>
            <w:webHidden/>
          </w:rPr>
          <w:fldChar w:fldCharType="begin"/>
        </w:r>
        <w:r>
          <w:rPr>
            <w:webHidden/>
          </w:rPr>
          <w:instrText xml:space="preserve"> PAGEREF _Toc225405029 \h </w:instrText>
        </w:r>
        <w:r>
          <w:rPr>
            <w:webHidden/>
          </w:rPr>
        </w:r>
        <w:r>
          <w:rPr>
            <w:webHidden/>
          </w:rPr>
          <w:fldChar w:fldCharType="separate"/>
        </w:r>
        <w:r w:rsidR="00DB67EF">
          <w:rPr>
            <w:webHidden/>
          </w:rPr>
          <w:t>71</w:t>
        </w:r>
        <w:r>
          <w:rPr>
            <w:webHidden/>
          </w:rPr>
          <w:fldChar w:fldCharType="end"/>
        </w:r>
      </w:hyperlink>
    </w:p>
    <w:p w14:paraId="49BAF057" w14:textId="43A23958"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30" w:history="1">
        <w:r w:rsidRPr="00831593">
          <w:rPr>
            <w:rStyle w:val="Hyperlink"/>
          </w:rPr>
          <w:t>11.2</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General Business Rules Applied to Accountability Indicators</w:t>
        </w:r>
        <w:r>
          <w:rPr>
            <w:webHidden/>
          </w:rPr>
          <w:tab/>
        </w:r>
        <w:r>
          <w:rPr>
            <w:webHidden/>
          </w:rPr>
          <w:fldChar w:fldCharType="begin"/>
        </w:r>
        <w:r>
          <w:rPr>
            <w:webHidden/>
          </w:rPr>
          <w:instrText xml:space="preserve"> PAGEREF _Toc225405030 \h </w:instrText>
        </w:r>
        <w:r>
          <w:rPr>
            <w:webHidden/>
          </w:rPr>
        </w:r>
        <w:r>
          <w:rPr>
            <w:webHidden/>
          </w:rPr>
          <w:fldChar w:fldCharType="separate"/>
        </w:r>
        <w:r w:rsidR="00DB67EF">
          <w:rPr>
            <w:webHidden/>
          </w:rPr>
          <w:t>72</w:t>
        </w:r>
        <w:r>
          <w:rPr>
            <w:webHidden/>
          </w:rPr>
          <w:fldChar w:fldCharType="end"/>
        </w:r>
      </w:hyperlink>
    </w:p>
    <w:p w14:paraId="23A31F23" w14:textId="3695FAEF"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hyperlink w:anchor="_Toc225405031" w:history="1">
        <w:r w:rsidRPr="00831593">
          <w:rPr>
            <w:rStyle w:val="Hyperlink"/>
          </w:rPr>
          <w:t>12</w:t>
        </w:r>
        <w:r>
          <w:rPr>
            <w:rFonts w:asciiTheme="minorHAnsi" w:eastAsiaTheme="minorEastAsia" w:hAnsiTheme="minorHAnsi" w:cstheme="minorBidi"/>
            <w:b w:val="0"/>
            <w:bCs w:val="0"/>
            <w:iCs w:val="0"/>
            <w:caps w:val="0"/>
            <w:color w:val="auto"/>
            <w:kern w:val="2"/>
            <w14:ligatures w14:val="standardContextual"/>
          </w:rPr>
          <w:tab/>
        </w:r>
        <w:r w:rsidR="00FD03AD">
          <w:rPr>
            <w:rFonts w:asciiTheme="minorHAnsi" w:eastAsiaTheme="minorEastAsia" w:hAnsiTheme="minorHAnsi" w:cstheme="minorBidi"/>
            <w:b w:val="0"/>
            <w:bCs w:val="0"/>
            <w:iCs w:val="0"/>
            <w:caps w:val="0"/>
            <w:color w:val="auto"/>
            <w:kern w:val="2"/>
            <w14:ligatures w14:val="standardContextual"/>
          </w:rPr>
          <w:t xml:space="preserve"> </w:t>
        </w:r>
        <w:r w:rsidRPr="00831593">
          <w:rPr>
            <w:rStyle w:val="Hyperlink"/>
          </w:rPr>
          <w:t>Every Student Succeeds Act Accountability Model</w:t>
        </w:r>
        <w:r>
          <w:rPr>
            <w:webHidden/>
          </w:rPr>
          <w:tab/>
        </w:r>
        <w:r>
          <w:rPr>
            <w:webHidden/>
          </w:rPr>
          <w:fldChar w:fldCharType="begin"/>
        </w:r>
        <w:r>
          <w:rPr>
            <w:webHidden/>
          </w:rPr>
          <w:instrText xml:space="preserve"> PAGEREF _Toc225405031 \h </w:instrText>
        </w:r>
        <w:r>
          <w:rPr>
            <w:webHidden/>
          </w:rPr>
        </w:r>
        <w:r>
          <w:rPr>
            <w:webHidden/>
          </w:rPr>
          <w:fldChar w:fldCharType="separate"/>
        </w:r>
        <w:r w:rsidR="00DB67EF">
          <w:rPr>
            <w:webHidden/>
          </w:rPr>
          <w:t>75</w:t>
        </w:r>
        <w:r>
          <w:rPr>
            <w:webHidden/>
          </w:rPr>
          <w:fldChar w:fldCharType="end"/>
        </w:r>
      </w:hyperlink>
    </w:p>
    <w:p w14:paraId="43EE39E9" w14:textId="4CCE60AF" w:rsidR="0019094C" w:rsidRDefault="0019094C">
      <w:pPr>
        <w:pStyle w:val="TOC2"/>
        <w:rPr>
          <w:rFonts w:asciiTheme="minorHAnsi" w:eastAsiaTheme="minorEastAsia" w:hAnsiTheme="minorHAnsi" w:cstheme="minorBidi"/>
          <w:bCs w:val="0"/>
          <w:iCs w:val="0"/>
          <w:color w:val="auto"/>
          <w:kern w:val="2"/>
          <w:szCs w:val="24"/>
          <w14:ligatures w14:val="standardContextual"/>
        </w:rPr>
      </w:pPr>
      <w:hyperlink w:anchor="_Toc225405032" w:history="1">
        <w:r w:rsidRPr="00831593">
          <w:rPr>
            <w:rStyle w:val="Hyperlink"/>
          </w:rPr>
          <w:t>12.1</w:t>
        </w:r>
        <w:r>
          <w:rPr>
            <w:rFonts w:asciiTheme="minorHAnsi" w:eastAsiaTheme="minorEastAsia" w:hAnsiTheme="minorHAnsi" w:cstheme="minorBidi"/>
            <w:bCs w:val="0"/>
            <w:iCs w:val="0"/>
            <w:color w:val="auto"/>
            <w:kern w:val="2"/>
            <w:szCs w:val="24"/>
            <w14:ligatures w14:val="standardContextual"/>
          </w:rPr>
          <w:tab/>
        </w:r>
        <w:r w:rsidRPr="00831593">
          <w:rPr>
            <w:rStyle w:val="Hyperlink"/>
          </w:rPr>
          <w:t>ESSA State Plan</w:t>
        </w:r>
        <w:r>
          <w:rPr>
            <w:webHidden/>
          </w:rPr>
          <w:tab/>
        </w:r>
        <w:r>
          <w:rPr>
            <w:webHidden/>
          </w:rPr>
          <w:fldChar w:fldCharType="begin"/>
        </w:r>
        <w:r>
          <w:rPr>
            <w:webHidden/>
          </w:rPr>
          <w:instrText xml:space="preserve"> PAGEREF _Toc225405032 \h </w:instrText>
        </w:r>
        <w:r>
          <w:rPr>
            <w:webHidden/>
          </w:rPr>
        </w:r>
        <w:r>
          <w:rPr>
            <w:webHidden/>
          </w:rPr>
          <w:fldChar w:fldCharType="separate"/>
        </w:r>
        <w:r w:rsidR="00DB67EF">
          <w:rPr>
            <w:webHidden/>
          </w:rPr>
          <w:t>75</w:t>
        </w:r>
        <w:r>
          <w:rPr>
            <w:webHidden/>
          </w:rPr>
          <w:fldChar w:fldCharType="end"/>
        </w:r>
      </w:hyperlink>
    </w:p>
    <w:p w14:paraId="25308254" w14:textId="537A4DA0" w:rsidR="0019094C" w:rsidRDefault="0019094C">
      <w:pPr>
        <w:pStyle w:val="TOC1"/>
        <w:rPr>
          <w:rFonts w:asciiTheme="minorHAnsi" w:eastAsiaTheme="minorEastAsia" w:hAnsiTheme="minorHAnsi" w:cstheme="minorBidi"/>
          <w:b w:val="0"/>
          <w:bCs w:val="0"/>
          <w:iCs w:val="0"/>
          <w:caps w:val="0"/>
          <w:color w:val="auto"/>
          <w:kern w:val="2"/>
          <w14:ligatures w14:val="standardContextual"/>
        </w:rPr>
      </w:pPr>
    </w:p>
    <w:p w14:paraId="45B475B8" w14:textId="0197D33B" w:rsidR="0033420C" w:rsidRPr="00A50D89" w:rsidRDefault="00E905EB" w:rsidP="009722A9">
      <w:pPr>
        <w:rPr>
          <w:rFonts w:ascii="Arial" w:hAnsi="Arial" w:cs="Arial"/>
          <w:szCs w:val="24"/>
        </w:rPr>
      </w:pPr>
      <w:r>
        <w:rPr>
          <w:rFonts w:ascii="Arial" w:hAnsi="Arial" w:cs="Arial"/>
          <w:bCs/>
          <w:iCs/>
          <w:caps/>
          <w:noProof/>
          <w:szCs w:val="24"/>
        </w:rPr>
        <w:fldChar w:fldCharType="end"/>
      </w:r>
    </w:p>
    <w:p w14:paraId="0A7B27B9" w14:textId="77777777" w:rsidR="00535E0A" w:rsidRDefault="00535E0A">
      <w:pPr>
        <w:spacing w:line="240" w:lineRule="auto"/>
        <w:rPr>
          <w:rFonts w:ascii="Arial" w:hAnsi="Arial" w:cs="Arial"/>
          <w:sz w:val="28"/>
          <w:szCs w:val="28"/>
        </w:rPr>
      </w:pPr>
      <w:r>
        <w:rPr>
          <w:rFonts w:ascii="Arial" w:hAnsi="Arial" w:cs="Arial"/>
          <w:sz w:val="28"/>
          <w:szCs w:val="28"/>
        </w:rPr>
        <w:br w:type="page"/>
      </w:r>
    </w:p>
    <w:p w14:paraId="5ADB90B5" w14:textId="6400B70C" w:rsidR="00861460" w:rsidRPr="001427AF" w:rsidRDefault="00DF0913" w:rsidP="009722A9">
      <w:pPr>
        <w:rPr>
          <w:rFonts w:ascii="Arial" w:hAnsi="Arial" w:cs="Arial"/>
          <w:sz w:val="28"/>
          <w:szCs w:val="28"/>
        </w:rPr>
      </w:pPr>
      <w:r w:rsidRPr="001427AF">
        <w:rPr>
          <w:rFonts w:ascii="Arial" w:hAnsi="Arial" w:cs="Arial"/>
          <w:sz w:val="28"/>
          <w:szCs w:val="28"/>
        </w:rPr>
        <w:lastRenderedPageBreak/>
        <w:t>Preface</w:t>
      </w:r>
    </w:p>
    <w:bookmarkEnd w:id="0"/>
    <w:bookmarkEnd w:id="1"/>
    <w:p w14:paraId="372A2441" w14:textId="77777777" w:rsidR="00861460" w:rsidRPr="001427AF" w:rsidRDefault="00861460" w:rsidP="003D517D">
      <w:pPr>
        <w:pStyle w:val="NormalWeb"/>
        <w:spacing w:before="0" w:beforeAutospacing="0" w:after="0" w:afterAutospacing="0"/>
        <w:contextualSpacing/>
        <w:rPr>
          <w:rFonts w:ascii="Arial" w:hAnsi="Arial" w:cs="Arial"/>
          <w:b/>
          <w:bCs/>
          <w:color w:val="000000"/>
          <w:sz w:val="28"/>
          <w:szCs w:val="28"/>
          <w:shd w:val="clear" w:color="auto" w:fill="FFFFFF"/>
        </w:rPr>
      </w:pPr>
    </w:p>
    <w:p w14:paraId="72A0067C" w14:textId="62EEE6BE" w:rsidR="00DF3703" w:rsidRPr="001427AF" w:rsidRDefault="00DF3703" w:rsidP="003D517D">
      <w:pPr>
        <w:pStyle w:val="NormalWeb"/>
        <w:spacing w:before="0" w:beforeAutospacing="0" w:after="0" w:afterAutospacing="0"/>
        <w:contextualSpacing/>
        <w:rPr>
          <w:rFonts w:ascii="Arial" w:hAnsi="Arial" w:cs="Arial"/>
        </w:rPr>
      </w:pPr>
      <w:r w:rsidRPr="001427AF">
        <w:rPr>
          <w:rFonts w:ascii="Arial" w:hAnsi="Arial" w:cs="Arial"/>
          <w:color w:val="000000"/>
          <w:shd w:val="clear" w:color="auto" w:fill="FFFFFF"/>
        </w:rPr>
        <w:t xml:space="preserve">The mission of the </w:t>
      </w:r>
      <w:r w:rsidR="00590501" w:rsidRPr="001427AF">
        <w:rPr>
          <w:rFonts w:ascii="Arial" w:hAnsi="Arial" w:cs="Arial"/>
          <w:color w:val="000000"/>
          <w:shd w:val="clear" w:color="auto" w:fill="FFFFFF"/>
        </w:rPr>
        <w:t>Office of Accountability and Testing</w:t>
      </w:r>
      <w:r w:rsidRPr="001427AF">
        <w:rPr>
          <w:rFonts w:ascii="Arial" w:hAnsi="Arial" w:cs="Arial"/>
          <w:color w:val="000000"/>
          <w:shd w:val="clear" w:color="auto" w:fill="FFFFFF"/>
        </w:rPr>
        <w:t xml:space="preserve"> is to promote the academic achievement of all North Carolina public school students and to assist stakeholders in understanding and gauging this achievement against state and national standards. The major thrust of this mission is threefold: the design and development of reliable and valid assessment instruments, the uniform implementation of and access to suitable assessment instruments for all students</w:t>
      </w:r>
      <w:r w:rsidR="00357B66" w:rsidRPr="001427AF">
        <w:rPr>
          <w:rFonts w:ascii="Arial" w:hAnsi="Arial" w:cs="Arial"/>
          <w:color w:val="000000"/>
          <w:shd w:val="clear" w:color="auto" w:fill="FFFFFF"/>
        </w:rPr>
        <w:t>,</w:t>
      </w:r>
      <w:r w:rsidRPr="001427AF">
        <w:rPr>
          <w:rFonts w:ascii="Arial" w:hAnsi="Arial" w:cs="Arial"/>
          <w:color w:val="000000"/>
          <w:shd w:val="clear" w:color="auto" w:fill="FFFFFF"/>
        </w:rPr>
        <w:t xml:space="preserve"> and the provision of accurate and statistically appropriate reports.</w:t>
      </w:r>
      <w:r w:rsidR="00291F95" w:rsidRPr="001427AF">
        <w:rPr>
          <w:rFonts w:ascii="Arial" w:hAnsi="Arial" w:cs="Arial"/>
          <w:color w:val="000000"/>
          <w:shd w:val="clear" w:color="auto" w:fill="FFFFFF"/>
        </w:rPr>
        <w:t xml:space="preserve"> North Carolina’s accountability model </w:t>
      </w:r>
      <w:r w:rsidR="00E448E4" w:rsidRPr="001427AF">
        <w:rPr>
          <w:rFonts w:ascii="Arial" w:hAnsi="Arial" w:cs="Arial"/>
          <w:color w:val="000000"/>
          <w:shd w:val="clear" w:color="auto" w:fill="FFFFFF"/>
        </w:rPr>
        <w:t xml:space="preserve">has been designed to </w:t>
      </w:r>
      <w:r w:rsidR="00A97D18" w:rsidRPr="001427AF">
        <w:rPr>
          <w:rFonts w:ascii="Arial" w:hAnsi="Arial" w:cs="Arial"/>
          <w:color w:val="000000"/>
          <w:shd w:val="clear" w:color="auto" w:fill="FFFFFF"/>
        </w:rPr>
        <w:t xml:space="preserve">ensure the mission of the </w:t>
      </w:r>
      <w:r w:rsidR="00120540" w:rsidRPr="001427AF">
        <w:rPr>
          <w:rFonts w:ascii="Arial" w:hAnsi="Arial" w:cs="Arial"/>
          <w:color w:val="000000"/>
          <w:shd w:val="clear" w:color="auto" w:fill="FFFFFF"/>
        </w:rPr>
        <w:t xml:space="preserve">Office of Accountability and Testing </w:t>
      </w:r>
      <w:r w:rsidR="00A97D18" w:rsidRPr="001427AF">
        <w:rPr>
          <w:rFonts w:ascii="Arial" w:hAnsi="Arial" w:cs="Arial"/>
          <w:color w:val="000000"/>
          <w:shd w:val="clear" w:color="auto" w:fill="FFFFFF"/>
        </w:rPr>
        <w:t xml:space="preserve">is </w:t>
      </w:r>
      <w:r w:rsidR="00E448E4" w:rsidRPr="001427AF">
        <w:rPr>
          <w:rFonts w:ascii="Arial" w:hAnsi="Arial" w:cs="Arial"/>
          <w:color w:val="000000"/>
          <w:shd w:val="clear" w:color="auto" w:fill="FFFFFF"/>
        </w:rPr>
        <w:t>fulfilled</w:t>
      </w:r>
      <w:r w:rsidR="0058606A" w:rsidRPr="001427AF">
        <w:rPr>
          <w:rFonts w:ascii="Arial" w:hAnsi="Arial" w:cs="Arial"/>
          <w:color w:val="000000"/>
          <w:shd w:val="clear" w:color="auto" w:fill="FFFFFF"/>
        </w:rPr>
        <w:t>,</w:t>
      </w:r>
      <w:r w:rsidR="00E448E4" w:rsidRPr="001427AF">
        <w:rPr>
          <w:rFonts w:ascii="Arial" w:hAnsi="Arial" w:cs="Arial"/>
          <w:color w:val="000000"/>
          <w:shd w:val="clear" w:color="auto" w:fill="FFFFFF"/>
        </w:rPr>
        <w:t xml:space="preserve"> </w:t>
      </w:r>
      <w:r w:rsidR="0070109C" w:rsidRPr="001427AF">
        <w:rPr>
          <w:rFonts w:ascii="Arial" w:hAnsi="Arial" w:cs="Arial"/>
          <w:color w:val="000000"/>
          <w:shd w:val="clear" w:color="auto" w:fill="FFFFFF"/>
        </w:rPr>
        <w:t>and stakeholders</w:t>
      </w:r>
      <w:r w:rsidR="00F239CF" w:rsidRPr="001427AF">
        <w:rPr>
          <w:rFonts w:ascii="Arial" w:hAnsi="Arial" w:cs="Arial"/>
          <w:color w:val="000000"/>
          <w:shd w:val="clear" w:color="auto" w:fill="FFFFFF"/>
        </w:rPr>
        <w:t xml:space="preserve"> are </w:t>
      </w:r>
      <w:proofErr w:type="gramStart"/>
      <w:r w:rsidR="00F239CF" w:rsidRPr="001427AF">
        <w:rPr>
          <w:rFonts w:ascii="Arial" w:hAnsi="Arial" w:cs="Arial"/>
          <w:color w:val="000000"/>
          <w:shd w:val="clear" w:color="auto" w:fill="FFFFFF"/>
        </w:rPr>
        <w:t>provided</w:t>
      </w:r>
      <w:proofErr w:type="gramEnd"/>
      <w:r w:rsidR="009724F5" w:rsidRPr="001427AF">
        <w:rPr>
          <w:rFonts w:ascii="Arial" w:hAnsi="Arial" w:cs="Arial"/>
          <w:color w:val="000000"/>
          <w:shd w:val="clear" w:color="auto" w:fill="FFFFFF"/>
        </w:rPr>
        <w:t xml:space="preserve"> </w:t>
      </w:r>
      <w:r w:rsidR="00500798" w:rsidRPr="001427AF">
        <w:rPr>
          <w:rFonts w:ascii="Arial" w:hAnsi="Arial" w:cs="Arial"/>
          <w:color w:val="000000"/>
          <w:shd w:val="clear" w:color="auto" w:fill="FFFFFF"/>
        </w:rPr>
        <w:t xml:space="preserve">the needed </w:t>
      </w:r>
      <w:r w:rsidR="009724F5" w:rsidRPr="001427AF">
        <w:rPr>
          <w:rFonts w:ascii="Arial" w:hAnsi="Arial" w:cs="Arial"/>
          <w:color w:val="000000"/>
          <w:shd w:val="clear" w:color="auto" w:fill="FFFFFF"/>
        </w:rPr>
        <w:t>information</w:t>
      </w:r>
      <w:r w:rsidR="0070109C" w:rsidRPr="001427AF">
        <w:rPr>
          <w:rFonts w:ascii="Arial" w:hAnsi="Arial" w:cs="Arial"/>
          <w:color w:val="000000"/>
          <w:shd w:val="clear" w:color="auto" w:fill="FFFFFF"/>
        </w:rPr>
        <w:t xml:space="preserve"> </w:t>
      </w:r>
      <w:r w:rsidR="00500798" w:rsidRPr="001427AF">
        <w:rPr>
          <w:rFonts w:ascii="Arial" w:hAnsi="Arial" w:cs="Arial"/>
          <w:color w:val="000000"/>
          <w:shd w:val="clear" w:color="auto" w:fill="FFFFFF"/>
        </w:rPr>
        <w:t>t</w:t>
      </w:r>
      <w:r w:rsidR="00201DF6" w:rsidRPr="001427AF">
        <w:rPr>
          <w:rFonts w:ascii="Arial" w:hAnsi="Arial" w:cs="Arial"/>
          <w:color w:val="000000"/>
          <w:shd w:val="clear" w:color="auto" w:fill="FFFFFF"/>
        </w:rPr>
        <w:t xml:space="preserve">o </w:t>
      </w:r>
      <w:r w:rsidR="000549EF" w:rsidRPr="001427AF">
        <w:rPr>
          <w:rFonts w:ascii="Arial" w:hAnsi="Arial" w:cs="Arial"/>
          <w:color w:val="000000"/>
          <w:shd w:val="clear" w:color="auto" w:fill="FFFFFF"/>
        </w:rPr>
        <w:t>mak</w:t>
      </w:r>
      <w:r w:rsidR="00201DF6" w:rsidRPr="001427AF">
        <w:rPr>
          <w:rFonts w:ascii="Arial" w:hAnsi="Arial" w:cs="Arial"/>
          <w:color w:val="000000"/>
          <w:shd w:val="clear" w:color="auto" w:fill="FFFFFF"/>
        </w:rPr>
        <w:t xml:space="preserve">e </w:t>
      </w:r>
      <w:r w:rsidR="000549EF" w:rsidRPr="001427AF">
        <w:rPr>
          <w:rFonts w:ascii="Arial" w:hAnsi="Arial" w:cs="Arial"/>
          <w:color w:val="000000"/>
          <w:shd w:val="clear" w:color="auto" w:fill="FFFFFF"/>
        </w:rPr>
        <w:t>informed decisions</w:t>
      </w:r>
      <w:r w:rsidR="00A07A59" w:rsidRPr="001427AF">
        <w:rPr>
          <w:rFonts w:ascii="Arial" w:hAnsi="Arial" w:cs="Arial"/>
          <w:color w:val="000000"/>
          <w:shd w:val="clear" w:color="auto" w:fill="FFFFFF"/>
        </w:rPr>
        <w:t xml:space="preserve"> about the academic achievement of all North Carolina public school students. </w:t>
      </w:r>
    </w:p>
    <w:p w14:paraId="40F48046" w14:textId="77777777" w:rsidR="00DF3703" w:rsidRPr="001427AF" w:rsidRDefault="00DF3703" w:rsidP="003D517D">
      <w:pPr>
        <w:pStyle w:val="NormalWeb"/>
        <w:spacing w:before="0" w:beforeAutospacing="0" w:after="0" w:afterAutospacing="0"/>
        <w:contextualSpacing/>
        <w:rPr>
          <w:rFonts w:ascii="Arial" w:hAnsi="Arial" w:cs="Arial"/>
        </w:rPr>
      </w:pPr>
    </w:p>
    <w:p w14:paraId="7857B67A" w14:textId="441D6D67" w:rsidR="00293AB4" w:rsidRPr="001427AF" w:rsidRDefault="00500798" w:rsidP="003D517D">
      <w:pPr>
        <w:pStyle w:val="NormalWeb"/>
        <w:spacing w:before="0" w:beforeAutospacing="0" w:after="0" w:afterAutospacing="0"/>
        <w:contextualSpacing/>
        <w:rPr>
          <w:rFonts w:ascii="Arial" w:hAnsi="Arial" w:cs="Arial"/>
        </w:rPr>
      </w:pPr>
      <w:r w:rsidRPr="001427AF">
        <w:rPr>
          <w:rFonts w:ascii="Arial" w:hAnsi="Arial" w:cs="Arial"/>
        </w:rPr>
        <w:t xml:space="preserve">North Carolina’s accountability model has changed throughout the years. </w:t>
      </w:r>
      <w:r w:rsidR="006203FE" w:rsidRPr="001427AF">
        <w:rPr>
          <w:rFonts w:ascii="Arial" w:hAnsi="Arial" w:cs="Arial"/>
        </w:rPr>
        <w:t xml:space="preserve">In 1993, North Carolina began testing all students in grades </w:t>
      </w:r>
      <w:r w:rsidR="001B48B8" w:rsidRPr="001427AF">
        <w:rPr>
          <w:rFonts w:ascii="Arial" w:hAnsi="Arial" w:cs="Arial"/>
        </w:rPr>
        <w:t xml:space="preserve">three through eight </w:t>
      </w:r>
      <w:r w:rsidR="006203FE" w:rsidRPr="001427AF">
        <w:rPr>
          <w:rFonts w:ascii="Arial" w:hAnsi="Arial" w:cs="Arial"/>
        </w:rPr>
        <w:t>in reading and mathematics</w:t>
      </w:r>
      <w:r w:rsidR="00E10DBC" w:rsidRPr="001427AF">
        <w:rPr>
          <w:rFonts w:ascii="Arial" w:hAnsi="Arial" w:cs="Arial"/>
        </w:rPr>
        <w:t>;</w:t>
      </w:r>
      <w:r w:rsidR="006203FE" w:rsidRPr="001427AF">
        <w:rPr>
          <w:rFonts w:ascii="Arial" w:hAnsi="Arial" w:cs="Arial"/>
        </w:rPr>
        <w:t xml:space="preserve"> building upon the end-of-course high school assessment model that began in the 1980s. With this assessment data, North Carolina built a school-based accountability model prioritizing academic achievement and growth for all students.</w:t>
      </w:r>
      <w:r w:rsidR="00F8203A" w:rsidRPr="001427AF">
        <w:rPr>
          <w:rFonts w:ascii="Arial" w:hAnsi="Arial" w:cs="Arial"/>
        </w:rPr>
        <w:t xml:space="preserve"> </w:t>
      </w:r>
    </w:p>
    <w:p w14:paraId="22C5F04A" w14:textId="77777777" w:rsidR="00293AB4" w:rsidRPr="001427AF" w:rsidRDefault="00293AB4" w:rsidP="003D517D">
      <w:pPr>
        <w:pStyle w:val="NormalWeb"/>
        <w:spacing w:before="0" w:beforeAutospacing="0" w:after="0" w:afterAutospacing="0"/>
        <w:contextualSpacing/>
        <w:rPr>
          <w:rFonts w:ascii="Arial" w:hAnsi="Arial" w:cs="Arial"/>
        </w:rPr>
      </w:pPr>
    </w:p>
    <w:p w14:paraId="57D56FC2" w14:textId="0249E99B" w:rsidR="00E40111" w:rsidRPr="001427AF" w:rsidRDefault="004758B7" w:rsidP="003D517D">
      <w:pPr>
        <w:pStyle w:val="NormalWeb"/>
        <w:spacing w:before="0" w:beforeAutospacing="0" w:after="0" w:afterAutospacing="0"/>
        <w:contextualSpacing/>
        <w:rPr>
          <w:rFonts w:ascii="Arial" w:hAnsi="Arial" w:cs="Arial"/>
        </w:rPr>
      </w:pPr>
      <w:r w:rsidRPr="001427AF">
        <w:rPr>
          <w:rFonts w:ascii="Arial" w:hAnsi="Arial" w:cs="Arial"/>
        </w:rPr>
        <w:t xml:space="preserve">In 1994, end-of-grade assessments designed to measure the </w:t>
      </w:r>
      <w:r w:rsidR="00120540" w:rsidRPr="001427AF">
        <w:rPr>
          <w:rFonts w:ascii="Arial" w:hAnsi="Arial" w:cs="Arial"/>
        </w:rPr>
        <w:t xml:space="preserve">State </w:t>
      </w:r>
      <w:r w:rsidR="008B647D" w:rsidRPr="001427AF">
        <w:rPr>
          <w:rFonts w:ascii="Arial" w:hAnsi="Arial" w:cs="Arial"/>
        </w:rPr>
        <w:t>Board of Education</w:t>
      </w:r>
      <w:r w:rsidRPr="001427AF">
        <w:rPr>
          <w:rFonts w:ascii="Arial" w:hAnsi="Arial" w:cs="Arial"/>
        </w:rPr>
        <w:t>’s</w:t>
      </w:r>
      <w:r w:rsidR="008B647D" w:rsidRPr="001427AF">
        <w:rPr>
          <w:rFonts w:ascii="Arial" w:hAnsi="Arial" w:cs="Arial"/>
        </w:rPr>
        <w:t xml:space="preserve"> (SBE)</w:t>
      </w:r>
      <w:r w:rsidRPr="001427AF">
        <w:rPr>
          <w:rFonts w:ascii="Arial" w:hAnsi="Arial" w:cs="Arial"/>
        </w:rPr>
        <w:t xml:space="preserve"> adopted content standards were administered</w:t>
      </w:r>
      <w:r w:rsidR="00441CDE" w:rsidRPr="001427AF">
        <w:rPr>
          <w:rFonts w:ascii="Arial" w:hAnsi="Arial" w:cs="Arial"/>
        </w:rPr>
        <w:t xml:space="preserve"> for</w:t>
      </w:r>
      <w:r w:rsidRPr="001427AF">
        <w:rPr>
          <w:rFonts w:ascii="Arial" w:hAnsi="Arial" w:cs="Arial"/>
        </w:rPr>
        <w:t xml:space="preserve"> the first time to all students in grades </w:t>
      </w:r>
      <w:r w:rsidR="0067722B" w:rsidRPr="001427AF">
        <w:rPr>
          <w:rFonts w:ascii="Arial" w:hAnsi="Arial" w:cs="Arial"/>
        </w:rPr>
        <w:t xml:space="preserve">three through eight. </w:t>
      </w:r>
      <w:r w:rsidRPr="001427AF">
        <w:rPr>
          <w:rFonts w:ascii="Arial" w:hAnsi="Arial" w:cs="Arial"/>
        </w:rPr>
        <w:t xml:space="preserve">Previously, assessments had not met alignment criteria, resulting in students not consistently receiving instruction on the content standards across the state. </w:t>
      </w:r>
    </w:p>
    <w:p w14:paraId="0D477393" w14:textId="77777777" w:rsidR="00E40111" w:rsidRPr="001427AF" w:rsidRDefault="00E40111" w:rsidP="003D517D">
      <w:pPr>
        <w:pStyle w:val="NormalWeb"/>
        <w:spacing w:before="0" w:beforeAutospacing="0" w:after="0" w:afterAutospacing="0"/>
        <w:contextualSpacing/>
        <w:rPr>
          <w:rFonts w:ascii="Arial" w:hAnsi="Arial" w:cs="Arial"/>
        </w:rPr>
      </w:pPr>
    </w:p>
    <w:p w14:paraId="4D3C05A1" w14:textId="1988DF1E" w:rsidR="00727BDE" w:rsidRPr="001427AF" w:rsidRDefault="004758B7" w:rsidP="003D517D">
      <w:pPr>
        <w:pStyle w:val="NormalWeb"/>
        <w:spacing w:before="0" w:beforeAutospacing="0" w:after="0" w:afterAutospacing="0"/>
        <w:contextualSpacing/>
        <w:rPr>
          <w:rFonts w:ascii="Arial" w:hAnsi="Arial" w:cs="Arial"/>
        </w:rPr>
      </w:pPr>
      <w:r w:rsidRPr="001427AF">
        <w:rPr>
          <w:rFonts w:ascii="Arial" w:hAnsi="Arial" w:cs="Arial"/>
        </w:rPr>
        <w:t>In 1996, the accountability system</w:t>
      </w:r>
      <w:r w:rsidR="00E05E5A" w:rsidRPr="001427AF">
        <w:rPr>
          <w:rFonts w:ascii="Arial" w:hAnsi="Arial" w:cs="Arial"/>
        </w:rPr>
        <w:t xml:space="preserve"> (</w:t>
      </w:r>
      <w:r w:rsidRPr="001427AF">
        <w:rPr>
          <w:rFonts w:ascii="Arial" w:hAnsi="Arial" w:cs="Arial"/>
        </w:rPr>
        <w:t>referred to as Accountability, Basics</w:t>
      </w:r>
      <w:r w:rsidR="00120540" w:rsidRPr="001427AF">
        <w:rPr>
          <w:rFonts w:ascii="Arial" w:hAnsi="Arial" w:cs="Arial"/>
        </w:rPr>
        <w:t>,</w:t>
      </w:r>
      <w:r w:rsidRPr="001427AF">
        <w:rPr>
          <w:rFonts w:ascii="Arial" w:hAnsi="Arial" w:cs="Arial"/>
        </w:rPr>
        <w:t xml:space="preserve"> and Local Control </w:t>
      </w:r>
      <w:r w:rsidR="00120540" w:rsidRPr="001427AF">
        <w:rPr>
          <w:rFonts w:ascii="Arial" w:hAnsi="Arial" w:cs="Arial"/>
        </w:rPr>
        <w:t>[</w:t>
      </w:r>
      <w:r w:rsidRPr="001427AF">
        <w:rPr>
          <w:rFonts w:ascii="Arial" w:hAnsi="Arial" w:cs="Arial"/>
        </w:rPr>
        <w:t>ABCs</w:t>
      </w:r>
      <w:r w:rsidR="00120540" w:rsidRPr="001427AF">
        <w:rPr>
          <w:rFonts w:ascii="Arial" w:hAnsi="Arial" w:cs="Arial"/>
        </w:rPr>
        <w:t xml:space="preserve">]) </w:t>
      </w:r>
      <w:r w:rsidRPr="001427AF">
        <w:rPr>
          <w:rFonts w:ascii="Arial" w:hAnsi="Arial" w:cs="Arial"/>
        </w:rPr>
        <w:t xml:space="preserve">used data from the end-of-grade assessments to </w:t>
      </w:r>
      <w:r w:rsidR="00A901EC" w:rsidRPr="001427AF">
        <w:rPr>
          <w:rFonts w:ascii="Arial" w:hAnsi="Arial" w:cs="Arial"/>
        </w:rPr>
        <w:t xml:space="preserve">annually </w:t>
      </w:r>
      <w:r w:rsidRPr="001427AF">
        <w:rPr>
          <w:rFonts w:ascii="Arial" w:hAnsi="Arial" w:cs="Arial"/>
        </w:rPr>
        <w:t>inform parents, educators</w:t>
      </w:r>
      <w:r w:rsidR="000A6858" w:rsidRPr="001427AF">
        <w:rPr>
          <w:rFonts w:ascii="Arial" w:hAnsi="Arial" w:cs="Arial"/>
        </w:rPr>
        <w:t>,</w:t>
      </w:r>
      <w:r w:rsidRPr="001427AF">
        <w:rPr>
          <w:rFonts w:ascii="Arial" w:hAnsi="Arial" w:cs="Arial"/>
        </w:rPr>
        <w:t xml:space="preserve"> and the public on the status of achievement at the school level. In the 1997–98 school year, five end-of-course tests were added to the ABCs school accountability model. </w:t>
      </w:r>
      <w:r w:rsidR="00054741" w:rsidRPr="001427AF">
        <w:rPr>
          <w:rFonts w:ascii="Arial" w:hAnsi="Arial" w:cs="Arial"/>
        </w:rPr>
        <w:t xml:space="preserve">The state of North Carolina’s commitment to measuring student achievement and providing support for school improvement predates </w:t>
      </w:r>
      <w:r w:rsidR="002A1BF2" w:rsidRPr="001427AF">
        <w:rPr>
          <w:rFonts w:ascii="Arial" w:hAnsi="Arial" w:cs="Arial"/>
        </w:rPr>
        <w:t xml:space="preserve">the </w:t>
      </w:r>
      <w:r w:rsidR="00054741" w:rsidRPr="001427AF">
        <w:rPr>
          <w:rFonts w:ascii="Arial" w:hAnsi="Arial" w:cs="Arial"/>
          <w:i/>
        </w:rPr>
        <w:t>No Child Left Behind</w:t>
      </w:r>
      <w:r w:rsidR="002A1BF2" w:rsidRPr="001427AF">
        <w:rPr>
          <w:rFonts w:ascii="Arial" w:hAnsi="Arial" w:cs="Arial"/>
          <w:i/>
          <w:iCs/>
        </w:rPr>
        <w:t xml:space="preserve"> Act </w:t>
      </w:r>
      <w:r w:rsidR="002A1BF2" w:rsidRPr="001427AF">
        <w:rPr>
          <w:rFonts w:ascii="Arial" w:hAnsi="Arial" w:cs="Arial"/>
        </w:rPr>
        <w:t>of 2001</w:t>
      </w:r>
      <w:r w:rsidR="00054741" w:rsidRPr="001427AF">
        <w:rPr>
          <w:rFonts w:ascii="Arial" w:hAnsi="Arial" w:cs="Arial"/>
        </w:rPr>
        <w:t>.</w:t>
      </w:r>
    </w:p>
    <w:p w14:paraId="2669252D" w14:textId="77777777" w:rsidR="00727BDE" w:rsidRPr="001427AF" w:rsidRDefault="00727BDE" w:rsidP="003D517D">
      <w:pPr>
        <w:pStyle w:val="NormalWeb"/>
        <w:spacing w:before="0" w:beforeAutospacing="0" w:after="0" w:afterAutospacing="0"/>
        <w:contextualSpacing/>
        <w:rPr>
          <w:rFonts w:ascii="Arial" w:hAnsi="Arial" w:cs="Arial"/>
        </w:rPr>
      </w:pPr>
    </w:p>
    <w:p w14:paraId="05289218" w14:textId="3DD308A1" w:rsidR="00024D2F" w:rsidRPr="001427AF" w:rsidRDefault="00294546" w:rsidP="003D517D">
      <w:pPr>
        <w:pStyle w:val="NormalWeb"/>
        <w:spacing w:before="0" w:beforeAutospacing="0" w:after="0" w:afterAutospacing="0"/>
        <w:contextualSpacing/>
        <w:rPr>
          <w:rFonts w:ascii="Arial" w:hAnsi="Arial" w:cs="Arial"/>
        </w:rPr>
      </w:pPr>
      <w:r w:rsidRPr="001427AF">
        <w:rPr>
          <w:rFonts w:ascii="Arial" w:hAnsi="Arial" w:cs="Arial"/>
        </w:rPr>
        <w:t xml:space="preserve">Since the 1990s, North Carolina has continually evolved its assessment and accountability system to increase academic </w:t>
      </w:r>
      <w:r w:rsidR="00383990" w:rsidRPr="001427AF">
        <w:rPr>
          <w:rFonts w:ascii="Arial" w:hAnsi="Arial" w:cs="Arial"/>
        </w:rPr>
        <w:t>expectations,</w:t>
      </w:r>
      <w:r w:rsidRPr="001427AF">
        <w:rPr>
          <w:rFonts w:ascii="Arial" w:hAnsi="Arial" w:cs="Arial"/>
        </w:rPr>
        <w:t xml:space="preserve"> so students are prepared for success after high school. This was accomplished by reevaluating the content standards on a </w:t>
      </w:r>
      <w:r w:rsidR="0016457A" w:rsidRPr="001427AF">
        <w:rPr>
          <w:rFonts w:ascii="Arial" w:hAnsi="Arial" w:cs="Arial"/>
        </w:rPr>
        <w:t>five</w:t>
      </w:r>
      <w:r w:rsidRPr="001427AF">
        <w:rPr>
          <w:rFonts w:ascii="Arial" w:hAnsi="Arial" w:cs="Arial"/>
        </w:rPr>
        <w:t>-year cycle</w:t>
      </w:r>
      <w:r w:rsidR="002A1BF2" w:rsidRPr="001427AF">
        <w:rPr>
          <w:rFonts w:ascii="Arial" w:hAnsi="Arial" w:cs="Arial"/>
        </w:rPr>
        <w:t>,</w:t>
      </w:r>
      <w:r w:rsidRPr="001427AF">
        <w:rPr>
          <w:rFonts w:ascii="Arial" w:hAnsi="Arial" w:cs="Arial"/>
        </w:rPr>
        <w:t xml:space="preserve"> and based on these reviews</w:t>
      </w:r>
      <w:r w:rsidRPr="001427AF" w:rsidDel="002A1BF2">
        <w:rPr>
          <w:rFonts w:ascii="Arial" w:hAnsi="Arial" w:cs="Arial"/>
        </w:rPr>
        <w:t>,</w:t>
      </w:r>
      <w:r w:rsidRPr="001427AF">
        <w:rPr>
          <w:rFonts w:ascii="Arial" w:hAnsi="Arial" w:cs="Arial"/>
        </w:rPr>
        <w:t xml:space="preserve"> developing aligned assessments. Likewise, in keeping with continuous improvement, the ABCs model was amended to include additional end-of-course assessments </w:t>
      </w:r>
      <w:r w:rsidR="00316D72" w:rsidRPr="001427AF">
        <w:rPr>
          <w:rFonts w:ascii="Arial" w:hAnsi="Arial" w:cs="Arial"/>
        </w:rPr>
        <w:t xml:space="preserve">as well as </w:t>
      </w:r>
      <w:r w:rsidR="002F5D3C" w:rsidRPr="001427AF">
        <w:rPr>
          <w:rFonts w:ascii="Arial" w:hAnsi="Arial" w:cs="Arial"/>
        </w:rPr>
        <w:t xml:space="preserve">updated </w:t>
      </w:r>
      <w:r w:rsidRPr="001427AF">
        <w:rPr>
          <w:rFonts w:ascii="Arial" w:hAnsi="Arial" w:cs="Arial"/>
        </w:rPr>
        <w:t xml:space="preserve">business </w:t>
      </w:r>
      <w:r w:rsidR="00D31308" w:rsidRPr="001427AF">
        <w:rPr>
          <w:rFonts w:ascii="Arial" w:hAnsi="Arial" w:cs="Arial"/>
        </w:rPr>
        <w:t xml:space="preserve">guidelines </w:t>
      </w:r>
      <w:r w:rsidRPr="001427AF">
        <w:rPr>
          <w:rFonts w:ascii="Arial" w:hAnsi="Arial" w:cs="Arial"/>
        </w:rPr>
        <w:t xml:space="preserve">to ensure schools were held accountable for all students. </w:t>
      </w:r>
    </w:p>
    <w:p w14:paraId="154C6B3D" w14:textId="77777777" w:rsidR="003D517D" w:rsidRPr="001427AF" w:rsidRDefault="003D517D" w:rsidP="003D517D">
      <w:pPr>
        <w:pStyle w:val="NormalWeb"/>
        <w:spacing w:before="0" w:beforeAutospacing="0" w:after="0" w:afterAutospacing="0"/>
        <w:contextualSpacing/>
        <w:rPr>
          <w:rFonts w:ascii="Arial" w:hAnsi="Arial" w:cs="Arial"/>
        </w:rPr>
      </w:pPr>
    </w:p>
    <w:p w14:paraId="5CDF9663" w14:textId="7B46E344" w:rsidR="00294546" w:rsidRPr="001427AF" w:rsidRDefault="00294546" w:rsidP="003D517D">
      <w:pPr>
        <w:pStyle w:val="BodyText"/>
        <w:spacing w:after="0" w:line="240" w:lineRule="auto"/>
        <w:contextualSpacing/>
        <w:jc w:val="left"/>
        <w:rPr>
          <w:rFonts w:ascii="Arial" w:hAnsi="Arial" w:cs="Arial"/>
          <w:szCs w:val="24"/>
        </w:rPr>
      </w:pPr>
      <w:r w:rsidRPr="001427AF">
        <w:rPr>
          <w:rFonts w:ascii="Arial" w:hAnsi="Arial" w:cs="Arial"/>
          <w:szCs w:val="24"/>
        </w:rPr>
        <w:t>The ABCs model continued until the 2012</w:t>
      </w:r>
      <w:r w:rsidR="002A1BF2" w:rsidRPr="001427AF">
        <w:rPr>
          <w:rFonts w:ascii="Arial" w:hAnsi="Arial" w:cs="Arial"/>
          <w:szCs w:val="24"/>
        </w:rPr>
        <w:t>–</w:t>
      </w:r>
      <w:r w:rsidRPr="001427AF">
        <w:rPr>
          <w:rFonts w:ascii="Arial" w:hAnsi="Arial" w:cs="Arial"/>
          <w:szCs w:val="24"/>
        </w:rPr>
        <w:t>13 school year when assessments aligned to the Common Cores State Standards in Mathematics and Reading/English Language Arts (adopted by the SBE in June 2010) and the NC Essential Standards (adopted by the SBE in February 2010) were implemented</w:t>
      </w:r>
      <w:r w:rsidR="0035611F" w:rsidRPr="001427AF">
        <w:rPr>
          <w:rFonts w:ascii="Arial" w:hAnsi="Arial" w:cs="Arial"/>
          <w:szCs w:val="24"/>
        </w:rPr>
        <w:t>. At this time</w:t>
      </w:r>
      <w:r w:rsidRPr="001427AF">
        <w:rPr>
          <w:rFonts w:ascii="Arial" w:hAnsi="Arial" w:cs="Arial"/>
          <w:szCs w:val="24"/>
        </w:rPr>
        <w:t xml:space="preserve">, the </w:t>
      </w:r>
      <w:r w:rsidR="002A1BF2" w:rsidRPr="001427AF">
        <w:rPr>
          <w:rFonts w:ascii="Arial" w:hAnsi="Arial" w:cs="Arial"/>
          <w:szCs w:val="24"/>
        </w:rPr>
        <w:t>SBE</w:t>
      </w:r>
      <w:r w:rsidRPr="001427AF">
        <w:rPr>
          <w:rFonts w:ascii="Arial" w:hAnsi="Arial" w:cs="Arial"/>
          <w:szCs w:val="24"/>
        </w:rPr>
        <w:t xml:space="preserve"> adopted a new </w:t>
      </w:r>
      <w:r w:rsidRPr="001427AF">
        <w:rPr>
          <w:rFonts w:ascii="Arial" w:hAnsi="Arial" w:cs="Arial"/>
          <w:szCs w:val="24"/>
        </w:rPr>
        <w:lastRenderedPageBreak/>
        <w:t xml:space="preserve">accountability model. </w:t>
      </w:r>
      <w:r w:rsidR="00352AFE" w:rsidRPr="001427AF">
        <w:rPr>
          <w:rFonts w:ascii="Arial" w:hAnsi="Arial" w:cs="Arial"/>
          <w:szCs w:val="24"/>
        </w:rPr>
        <w:t>As</w:t>
      </w:r>
      <w:r w:rsidRPr="001427AF">
        <w:rPr>
          <w:rFonts w:ascii="Arial" w:hAnsi="Arial" w:cs="Arial"/>
          <w:szCs w:val="24"/>
        </w:rPr>
        <w:t xml:space="preserve"> with the ABCs, the test data are used for school accountability and federal reporting.</w:t>
      </w:r>
    </w:p>
    <w:p w14:paraId="68E3AD2C" w14:textId="77777777" w:rsidR="00FA59B0" w:rsidRPr="001427AF" w:rsidRDefault="00FA59B0" w:rsidP="003D517D">
      <w:pPr>
        <w:pStyle w:val="BodyText"/>
        <w:spacing w:after="0" w:line="240" w:lineRule="auto"/>
        <w:contextualSpacing/>
        <w:jc w:val="left"/>
        <w:rPr>
          <w:rFonts w:ascii="Arial" w:hAnsi="Arial" w:cs="Arial"/>
          <w:szCs w:val="24"/>
        </w:rPr>
      </w:pPr>
    </w:p>
    <w:p w14:paraId="056B8581" w14:textId="0E4F5F00" w:rsidR="003D517D" w:rsidRPr="001427AF" w:rsidRDefault="00483C69" w:rsidP="003D517D">
      <w:pPr>
        <w:pStyle w:val="BodyText"/>
        <w:spacing w:after="0" w:line="240" w:lineRule="auto"/>
        <w:contextualSpacing/>
        <w:jc w:val="left"/>
        <w:rPr>
          <w:rFonts w:ascii="Arial" w:hAnsi="Arial" w:cs="Arial"/>
          <w:szCs w:val="24"/>
        </w:rPr>
      </w:pPr>
      <w:r w:rsidRPr="001427AF">
        <w:rPr>
          <w:rFonts w:ascii="Arial" w:hAnsi="Arial" w:cs="Arial"/>
          <w:szCs w:val="24"/>
        </w:rPr>
        <w:t xml:space="preserve">Since the 2013–14 school year, </w:t>
      </w:r>
      <w:r w:rsidR="00C37439" w:rsidRPr="001427AF">
        <w:rPr>
          <w:rFonts w:ascii="Arial" w:hAnsi="Arial" w:cs="Arial"/>
          <w:szCs w:val="24"/>
        </w:rPr>
        <w:t>a</w:t>
      </w:r>
      <w:r w:rsidR="00DE34A5" w:rsidRPr="001427AF">
        <w:rPr>
          <w:rFonts w:ascii="Arial" w:hAnsi="Arial" w:cs="Arial"/>
          <w:szCs w:val="24"/>
        </w:rPr>
        <w:t>ll schools have received school performance grades (A</w:t>
      </w:r>
      <w:r w:rsidR="002A1BF2" w:rsidRPr="001427AF">
        <w:rPr>
          <w:rFonts w:ascii="Arial" w:hAnsi="Arial" w:cs="Arial"/>
          <w:szCs w:val="24"/>
        </w:rPr>
        <w:t>–</w:t>
      </w:r>
      <w:r w:rsidR="00DE34A5" w:rsidRPr="001427AF">
        <w:rPr>
          <w:rFonts w:ascii="Arial" w:hAnsi="Arial" w:cs="Arial"/>
          <w:szCs w:val="24"/>
        </w:rPr>
        <w:t xml:space="preserve">F), with the addition of English </w:t>
      </w:r>
      <w:r w:rsidR="001E08EF" w:rsidRPr="001427AF">
        <w:rPr>
          <w:rFonts w:ascii="Arial" w:hAnsi="Arial" w:cs="Arial"/>
          <w:szCs w:val="24"/>
        </w:rPr>
        <w:t>L</w:t>
      </w:r>
      <w:r w:rsidR="00DE34A5" w:rsidRPr="001427AF">
        <w:rPr>
          <w:rFonts w:ascii="Arial" w:hAnsi="Arial" w:cs="Arial"/>
          <w:szCs w:val="24"/>
        </w:rPr>
        <w:t xml:space="preserve">earner’s </w:t>
      </w:r>
      <w:r w:rsidR="001E08EF" w:rsidRPr="001427AF">
        <w:rPr>
          <w:rFonts w:ascii="Arial" w:hAnsi="Arial" w:cs="Arial"/>
          <w:szCs w:val="24"/>
        </w:rPr>
        <w:t>P</w:t>
      </w:r>
      <w:r w:rsidR="00DE34A5" w:rsidRPr="001427AF">
        <w:rPr>
          <w:rFonts w:ascii="Arial" w:hAnsi="Arial" w:cs="Arial"/>
          <w:szCs w:val="24"/>
        </w:rPr>
        <w:t xml:space="preserve">rogress and adjustments to some high school indicators in 2017 to ensure compliance with </w:t>
      </w:r>
      <w:proofErr w:type="gramStart"/>
      <w:r w:rsidR="00DE34A5" w:rsidRPr="001427AF">
        <w:rPr>
          <w:rFonts w:ascii="Arial" w:hAnsi="Arial" w:cs="Arial"/>
          <w:szCs w:val="24"/>
        </w:rPr>
        <w:t xml:space="preserve">the </w:t>
      </w:r>
      <w:r w:rsidR="00DE34A5" w:rsidRPr="001427AF">
        <w:rPr>
          <w:rFonts w:ascii="Arial" w:hAnsi="Arial" w:cs="Arial"/>
          <w:i/>
          <w:szCs w:val="24"/>
        </w:rPr>
        <w:t>Every</w:t>
      </w:r>
      <w:proofErr w:type="gramEnd"/>
      <w:r w:rsidR="00DE34A5" w:rsidRPr="001427AF">
        <w:rPr>
          <w:rFonts w:ascii="Arial" w:hAnsi="Arial" w:cs="Arial"/>
          <w:i/>
          <w:szCs w:val="24"/>
        </w:rPr>
        <w:t xml:space="preserve"> Student Succeeds Act</w:t>
      </w:r>
      <w:r w:rsidR="00DE34A5" w:rsidRPr="001427AF">
        <w:rPr>
          <w:rFonts w:ascii="Arial" w:hAnsi="Arial" w:cs="Arial"/>
          <w:szCs w:val="24"/>
        </w:rPr>
        <w:t xml:space="preserve"> (ESSA). This was mandated by </w:t>
      </w:r>
      <w:hyperlink r:id="rId11" w:history="1">
        <w:r w:rsidR="00DE34A5" w:rsidRPr="001427AF">
          <w:rPr>
            <w:rStyle w:val="Hyperlink"/>
            <w:rFonts w:ascii="Arial" w:hAnsi="Arial" w:cs="Arial"/>
            <w:szCs w:val="24"/>
          </w:rPr>
          <w:t>G.S. §115C-83.15</w:t>
        </w:r>
      </w:hyperlink>
      <w:r w:rsidR="00DE34A5" w:rsidRPr="001427AF">
        <w:rPr>
          <w:rFonts w:ascii="Arial" w:hAnsi="Arial" w:cs="Arial"/>
          <w:szCs w:val="24"/>
        </w:rPr>
        <w:t xml:space="preserve"> </w:t>
      </w:r>
      <w:r w:rsidR="0070382B" w:rsidRPr="001427AF">
        <w:rPr>
          <w:rFonts w:ascii="Arial" w:hAnsi="Arial" w:cs="Arial"/>
          <w:szCs w:val="24"/>
        </w:rPr>
        <w:t>(</w:t>
      </w:r>
      <w:r w:rsidR="00DE34A5" w:rsidRPr="001427AF">
        <w:rPr>
          <w:rFonts w:ascii="Arial" w:hAnsi="Arial" w:cs="Arial"/>
          <w:szCs w:val="24"/>
        </w:rPr>
        <w:t>passed during the 2013 long session of the North Carolina General Assembly</w:t>
      </w:r>
      <w:r w:rsidR="0070382B" w:rsidRPr="001427AF">
        <w:rPr>
          <w:rFonts w:ascii="Arial" w:hAnsi="Arial" w:cs="Arial"/>
          <w:szCs w:val="24"/>
        </w:rPr>
        <w:t>)</w:t>
      </w:r>
      <w:r w:rsidR="00DE34A5" w:rsidRPr="001427AF">
        <w:rPr>
          <w:rFonts w:ascii="Arial" w:hAnsi="Arial" w:cs="Arial"/>
          <w:szCs w:val="24"/>
        </w:rPr>
        <w:t xml:space="preserve"> </w:t>
      </w:r>
      <w:r w:rsidR="004B70B5" w:rsidRPr="001427AF">
        <w:rPr>
          <w:rFonts w:ascii="Arial" w:hAnsi="Arial" w:cs="Arial"/>
          <w:szCs w:val="24"/>
        </w:rPr>
        <w:t>and</w:t>
      </w:r>
      <w:r w:rsidR="00287522" w:rsidRPr="001427AF">
        <w:rPr>
          <w:rFonts w:ascii="Arial" w:hAnsi="Arial" w:cs="Arial"/>
          <w:szCs w:val="24"/>
        </w:rPr>
        <w:t xml:space="preserve"> </w:t>
      </w:r>
      <w:r w:rsidR="00DE34A5" w:rsidRPr="001427AF">
        <w:rPr>
          <w:rFonts w:ascii="Arial" w:hAnsi="Arial" w:cs="Arial"/>
          <w:szCs w:val="24"/>
        </w:rPr>
        <w:t xml:space="preserve">required the inclusion of </w:t>
      </w:r>
      <w:r w:rsidR="00E5628B" w:rsidRPr="001427AF">
        <w:rPr>
          <w:rFonts w:ascii="Arial" w:hAnsi="Arial" w:cs="Arial"/>
          <w:szCs w:val="24"/>
        </w:rPr>
        <w:t>s</w:t>
      </w:r>
      <w:r w:rsidR="00DE34A5" w:rsidRPr="001427AF">
        <w:rPr>
          <w:rFonts w:ascii="Arial" w:hAnsi="Arial" w:cs="Arial"/>
          <w:szCs w:val="24"/>
        </w:rPr>
        <w:t>chool</w:t>
      </w:r>
      <w:r w:rsidR="00E5628B" w:rsidRPr="001427AF">
        <w:rPr>
          <w:rFonts w:ascii="Arial" w:hAnsi="Arial" w:cs="Arial"/>
          <w:szCs w:val="24"/>
        </w:rPr>
        <w:t xml:space="preserve"> p</w:t>
      </w:r>
      <w:r w:rsidR="00DE34A5" w:rsidRPr="001427AF">
        <w:rPr>
          <w:rFonts w:ascii="Arial" w:hAnsi="Arial" w:cs="Arial"/>
          <w:szCs w:val="24"/>
        </w:rPr>
        <w:t xml:space="preserve">erformance </w:t>
      </w:r>
      <w:r w:rsidR="00E5628B" w:rsidRPr="001427AF">
        <w:rPr>
          <w:rFonts w:ascii="Arial" w:hAnsi="Arial" w:cs="Arial"/>
          <w:szCs w:val="24"/>
        </w:rPr>
        <w:t>g</w:t>
      </w:r>
      <w:r w:rsidR="00DE34A5" w:rsidRPr="001427AF">
        <w:rPr>
          <w:rFonts w:ascii="Arial" w:hAnsi="Arial" w:cs="Arial"/>
          <w:szCs w:val="24"/>
        </w:rPr>
        <w:t xml:space="preserve">rades as part of the North Carolina </w:t>
      </w:r>
      <w:r w:rsidR="00E5628B" w:rsidRPr="001427AF">
        <w:rPr>
          <w:rFonts w:ascii="Arial" w:hAnsi="Arial" w:cs="Arial"/>
          <w:szCs w:val="24"/>
        </w:rPr>
        <w:t>s</w:t>
      </w:r>
      <w:r w:rsidR="00DE34A5" w:rsidRPr="001427AF">
        <w:rPr>
          <w:rFonts w:ascii="Arial" w:hAnsi="Arial" w:cs="Arial"/>
          <w:szCs w:val="24"/>
        </w:rPr>
        <w:t xml:space="preserve">chool </w:t>
      </w:r>
      <w:r w:rsidR="00E5628B" w:rsidRPr="001427AF">
        <w:rPr>
          <w:rFonts w:ascii="Arial" w:hAnsi="Arial" w:cs="Arial"/>
          <w:szCs w:val="24"/>
        </w:rPr>
        <w:t>r</w:t>
      </w:r>
      <w:r w:rsidR="00DE34A5" w:rsidRPr="001427AF">
        <w:rPr>
          <w:rFonts w:ascii="Arial" w:hAnsi="Arial" w:cs="Arial"/>
          <w:szCs w:val="24"/>
        </w:rPr>
        <w:t xml:space="preserve">eport </w:t>
      </w:r>
      <w:r w:rsidR="00E5628B" w:rsidRPr="001427AF">
        <w:rPr>
          <w:rFonts w:ascii="Arial" w:hAnsi="Arial" w:cs="Arial"/>
          <w:szCs w:val="24"/>
        </w:rPr>
        <w:t>c</w:t>
      </w:r>
      <w:r w:rsidR="00DE34A5" w:rsidRPr="001427AF">
        <w:rPr>
          <w:rFonts w:ascii="Arial" w:hAnsi="Arial" w:cs="Arial"/>
          <w:szCs w:val="24"/>
        </w:rPr>
        <w:t xml:space="preserve">ards. </w:t>
      </w:r>
    </w:p>
    <w:p w14:paraId="13D9D82B" w14:textId="77777777" w:rsidR="003D517D" w:rsidRPr="001427AF" w:rsidRDefault="003D517D" w:rsidP="003D517D">
      <w:pPr>
        <w:pStyle w:val="BodyText"/>
        <w:spacing w:after="0" w:line="240" w:lineRule="auto"/>
        <w:contextualSpacing/>
        <w:jc w:val="left"/>
        <w:rPr>
          <w:rFonts w:ascii="Arial" w:hAnsi="Arial" w:cs="Arial"/>
          <w:szCs w:val="24"/>
        </w:rPr>
      </w:pPr>
    </w:p>
    <w:p w14:paraId="2984B38B" w14:textId="4090E927" w:rsidR="007F4D6F" w:rsidRPr="001427AF" w:rsidRDefault="00AD1405" w:rsidP="003D517D">
      <w:pPr>
        <w:pStyle w:val="BodyText"/>
        <w:spacing w:after="0" w:line="240" w:lineRule="auto"/>
        <w:contextualSpacing/>
        <w:jc w:val="left"/>
        <w:rPr>
          <w:rFonts w:ascii="Arial" w:hAnsi="Arial" w:cs="Arial"/>
          <w:color w:val="000000"/>
          <w:shd w:val="clear" w:color="auto" w:fill="FFFFFF"/>
        </w:rPr>
      </w:pPr>
      <w:r w:rsidRPr="001427AF">
        <w:rPr>
          <w:rFonts w:ascii="Arial" w:hAnsi="Arial" w:cs="Arial"/>
        </w:rPr>
        <w:t xml:space="preserve">Currently, </w:t>
      </w:r>
      <w:r w:rsidR="00A8322F" w:rsidRPr="001427AF">
        <w:rPr>
          <w:rFonts w:ascii="Arial" w:hAnsi="Arial" w:cs="Arial"/>
        </w:rPr>
        <w:t>North Carolina administer</w:t>
      </w:r>
      <w:r w:rsidR="00E8354C" w:rsidRPr="001427AF">
        <w:rPr>
          <w:rFonts w:ascii="Arial" w:hAnsi="Arial" w:cs="Arial"/>
        </w:rPr>
        <w:t>s</w:t>
      </w:r>
      <w:r w:rsidR="00A8322F" w:rsidRPr="001427AF">
        <w:rPr>
          <w:rFonts w:ascii="Arial" w:hAnsi="Arial" w:cs="Arial"/>
        </w:rPr>
        <w:t xml:space="preserve"> the required statewide assessments in reading, </w:t>
      </w:r>
      <w:r w:rsidR="00D64534" w:rsidRPr="001427AF">
        <w:rPr>
          <w:rFonts w:ascii="Arial" w:hAnsi="Arial" w:cs="Arial"/>
        </w:rPr>
        <w:t>m</w:t>
      </w:r>
      <w:r w:rsidR="00A8322F" w:rsidRPr="001427AF">
        <w:rPr>
          <w:rFonts w:ascii="Arial" w:hAnsi="Arial" w:cs="Arial"/>
        </w:rPr>
        <w:t>athematics</w:t>
      </w:r>
      <w:r w:rsidR="00A075D1" w:rsidRPr="001427AF">
        <w:rPr>
          <w:rFonts w:ascii="Arial" w:hAnsi="Arial" w:cs="Arial"/>
        </w:rPr>
        <w:t>,</w:t>
      </w:r>
      <w:r w:rsidR="00A8322F" w:rsidRPr="001427AF">
        <w:rPr>
          <w:rFonts w:ascii="Arial" w:hAnsi="Arial" w:cs="Arial"/>
        </w:rPr>
        <w:t xml:space="preserve"> and science as specified in the </w:t>
      </w:r>
      <w:r w:rsidR="00A8322F" w:rsidRPr="001427AF">
        <w:rPr>
          <w:rFonts w:ascii="Arial" w:hAnsi="Arial" w:cs="Arial"/>
          <w:i/>
        </w:rPr>
        <w:t>Elementary and Secondary Education Act</w:t>
      </w:r>
      <w:r w:rsidR="00A8322F" w:rsidRPr="001427AF">
        <w:rPr>
          <w:rFonts w:ascii="Arial" w:hAnsi="Arial" w:cs="Arial"/>
        </w:rPr>
        <w:t xml:space="preserve"> of 1965 as amended by the ESSA in 2015.</w:t>
      </w:r>
      <w:r w:rsidR="350F900B" w:rsidRPr="001427AF">
        <w:rPr>
          <w:rFonts w:ascii="Arial" w:hAnsi="Arial" w:cs="Arial"/>
          <w:color w:val="000000"/>
          <w:shd w:val="clear" w:color="auto" w:fill="FFFFFF"/>
        </w:rPr>
        <w:t xml:space="preserve"> ESSA reauthorizes the nation’s national education law and longstanding commitment to equal opportunity for all students and replaces the </w:t>
      </w:r>
      <w:r w:rsidR="350F900B" w:rsidRPr="001427AF">
        <w:rPr>
          <w:rFonts w:ascii="Arial" w:hAnsi="Arial" w:cs="Arial"/>
          <w:i/>
          <w:color w:val="000000"/>
          <w:shd w:val="clear" w:color="auto" w:fill="FFFFFF"/>
        </w:rPr>
        <w:t>No Child Left Behind Act</w:t>
      </w:r>
      <w:r w:rsidR="350F900B" w:rsidRPr="001427AF">
        <w:rPr>
          <w:rFonts w:ascii="Arial" w:hAnsi="Arial" w:cs="Arial"/>
          <w:color w:val="000000"/>
          <w:shd w:val="clear" w:color="auto" w:fill="FFFFFF"/>
        </w:rPr>
        <w:t xml:space="preserve"> of 2001. </w:t>
      </w:r>
      <w:r w:rsidR="1F8D4794" w:rsidRPr="001427AF">
        <w:rPr>
          <w:rFonts w:ascii="Arial" w:hAnsi="Arial" w:cs="Arial"/>
          <w:color w:val="000000"/>
          <w:shd w:val="clear" w:color="auto" w:fill="FFFFFF"/>
        </w:rPr>
        <w:t xml:space="preserve">The </w:t>
      </w:r>
      <w:r w:rsidR="00CA50DE" w:rsidRPr="001427AF">
        <w:rPr>
          <w:rFonts w:ascii="Arial" w:hAnsi="Arial" w:cs="Arial"/>
          <w:color w:val="000000"/>
          <w:shd w:val="clear" w:color="auto" w:fill="FFFFFF"/>
        </w:rPr>
        <w:t>United States</w:t>
      </w:r>
      <w:r w:rsidR="13D0171C" w:rsidRPr="001427AF">
        <w:rPr>
          <w:rFonts w:ascii="Arial" w:hAnsi="Arial" w:cs="Arial"/>
          <w:color w:val="000000"/>
          <w:shd w:val="clear" w:color="auto" w:fill="FFFFFF"/>
        </w:rPr>
        <w:t xml:space="preserve"> Department </w:t>
      </w:r>
      <w:r w:rsidR="63E4C254" w:rsidRPr="001427AF">
        <w:rPr>
          <w:rFonts w:ascii="Arial" w:hAnsi="Arial" w:cs="Arial"/>
          <w:color w:val="000000"/>
          <w:shd w:val="clear" w:color="auto" w:fill="FFFFFF"/>
        </w:rPr>
        <w:t>of Education (USED)</w:t>
      </w:r>
      <w:r w:rsidR="13D0171C" w:rsidRPr="001427AF">
        <w:rPr>
          <w:rFonts w:ascii="Arial" w:hAnsi="Arial" w:cs="Arial"/>
          <w:color w:val="000000"/>
          <w:shd w:val="clear" w:color="auto" w:fill="FFFFFF"/>
        </w:rPr>
        <w:t xml:space="preserve"> approved North Carolina’s plan under the ESSA June 5, 2018</w:t>
      </w:r>
      <w:r w:rsidR="00CE625B" w:rsidRPr="001427AF">
        <w:rPr>
          <w:rFonts w:ascii="Arial" w:hAnsi="Arial" w:cs="Arial"/>
          <w:color w:val="000000"/>
          <w:shd w:val="clear" w:color="auto" w:fill="FFFFFF"/>
        </w:rPr>
        <w:t>,</w:t>
      </w:r>
      <w:r w:rsidR="7C5DD0F9" w:rsidRPr="001427AF">
        <w:rPr>
          <w:rFonts w:ascii="Arial" w:hAnsi="Arial" w:cs="Arial"/>
          <w:color w:val="000000"/>
          <w:shd w:val="clear" w:color="auto" w:fill="FFFFFF"/>
        </w:rPr>
        <w:t xml:space="preserve"> and approved </w:t>
      </w:r>
      <w:r w:rsidR="007E3DAC" w:rsidRPr="001427AF">
        <w:rPr>
          <w:rFonts w:ascii="Arial" w:hAnsi="Arial" w:cs="Arial"/>
          <w:color w:val="000000"/>
          <w:shd w:val="clear" w:color="auto" w:fill="FFFFFF"/>
        </w:rPr>
        <w:t xml:space="preserve">the most recent amendment to the </w:t>
      </w:r>
      <w:r w:rsidR="009E0451" w:rsidRPr="001427AF">
        <w:rPr>
          <w:rFonts w:ascii="Arial" w:hAnsi="Arial" w:cs="Arial"/>
          <w:color w:val="000000"/>
          <w:shd w:val="clear" w:color="auto" w:fill="FFFFFF"/>
        </w:rPr>
        <w:t xml:space="preserve">plan on </w:t>
      </w:r>
      <w:r w:rsidR="00017D1C" w:rsidRPr="001427AF">
        <w:rPr>
          <w:rFonts w:ascii="Arial" w:hAnsi="Arial" w:cs="Arial"/>
          <w:color w:val="000000"/>
          <w:shd w:val="clear" w:color="auto" w:fill="FFFFFF"/>
        </w:rPr>
        <w:t>April 10, 2023</w:t>
      </w:r>
      <w:r w:rsidR="13D0171C" w:rsidRPr="001427AF">
        <w:rPr>
          <w:rFonts w:ascii="Arial" w:hAnsi="Arial" w:cs="Arial"/>
          <w:color w:val="000000"/>
          <w:shd w:val="clear" w:color="auto" w:fill="FFFFFF"/>
        </w:rPr>
        <w:t xml:space="preserve">. The state plan </w:t>
      </w:r>
      <w:r w:rsidR="723C8E70" w:rsidRPr="001427AF">
        <w:rPr>
          <w:rFonts w:ascii="Arial" w:hAnsi="Arial" w:cs="Arial"/>
          <w:color w:val="000000"/>
          <w:shd w:val="clear" w:color="auto" w:fill="FFFFFF"/>
        </w:rPr>
        <w:t>continues the School Performance Grades model</w:t>
      </w:r>
      <w:r w:rsidR="322DB909" w:rsidRPr="001427AF">
        <w:rPr>
          <w:rFonts w:ascii="Arial" w:hAnsi="Arial" w:cs="Arial"/>
          <w:color w:val="000000"/>
          <w:shd w:val="clear" w:color="auto" w:fill="FFFFFF"/>
        </w:rPr>
        <w:t xml:space="preserve"> for school identifi</w:t>
      </w:r>
      <w:r w:rsidR="763878E9" w:rsidRPr="001427AF">
        <w:rPr>
          <w:rFonts w:ascii="Arial" w:hAnsi="Arial" w:cs="Arial"/>
          <w:color w:val="000000"/>
          <w:shd w:val="clear" w:color="auto" w:fill="FFFFFF"/>
        </w:rPr>
        <w:t>cation under ESSA</w:t>
      </w:r>
      <w:r w:rsidR="723C8E70" w:rsidRPr="001427AF">
        <w:rPr>
          <w:rFonts w:ascii="Arial" w:hAnsi="Arial" w:cs="Arial"/>
          <w:color w:val="000000"/>
          <w:shd w:val="clear" w:color="auto" w:fill="FFFFFF"/>
        </w:rPr>
        <w:t>, in which schools earn A</w:t>
      </w:r>
      <w:r w:rsidR="00A075D1" w:rsidRPr="001427AF">
        <w:rPr>
          <w:rFonts w:ascii="Arial" w:hAnsi="Arial" w:cs="Arial"/>
          <w:color w:val="000000"/>
          <w:shd w:val="clear" w:color="auto" w:fill="FFFFFF"/>
        </w:rPr>
        <w:t>–</w:t>
      </w:r>
      <w:r w:rsidR="723C8E70" w:rsidRPr="001427AF">
        <w:rPr>
          <w:rFonts w:ascii="Arial" w:hAnsi="Arial" w:cs="Arial"/>
          <w:color w:val="000000"/>
          <w:shd w:val="clear" w:color="auto" w:fill="FFFFFF"/>
        </w:rPr>
        <w:t>F grades based on proficiency measures and student-growth targets</w:t>
      </w:r>
      <w:r w:rsidR="63E4C254" w:rsidRPr="001427AF">
        <w:rPr>
          <w:rFonts w:ascii="Arial" w:hAnsi="Arial" w:cs="Arial"/>
          <w:color w:val="000000"/>
          <w:shd w:val="clear" w:color="auto" w:fill="FFFFFF"/>
        </w:rPr>
        <w:t xml:space="preserve"> as required by </w:t>
      </w:r>
      <w:r w:rsidR="00A075D1" w:rsidRPr="001427AF">
        <w:rPr>
          <w:rFonts w:ascii="Arial" w:hAnsi="Arial" w:cs="Arial"/>
          <w:color w:val="000000"/>
          <w:shd w:val="clear" w:color="auto" w:fill="FFFFFF"/>
        </w:rPr>
        <w:t xml:space="preserve">the </w:t>
      </w:r>
      <w:r w:rsidR="139C8CFA" w:rsidRPr="001427AF">
        <w:rPr>
          <w:rFonts w:ascii="Arial" w:hAnsi="Arial" w:cs="Arial"/>
          <w:color w:val="000000"/>
          <w:shd w:val="clear" w:color="auto" w:fill="FFFFFF"/>
        </w:rPr>
        <w:t xml:space="preserve">North Carolina General Assembly </w:t>
      </w:r>
      <w:r w:rsidR="00C53C20" w:rsidRPr="001427AF">
        <w:rPr>
          <w:rFonts w:ascii="Arial" w:hAnsi="Arial" w:cs="Arial"/>
          <w:color w:val="000000"/>
          <w:shd w:val="clear" w:color="auto" w:fill="FFFFFF"/>
        </w:rPr>
        <w:t>L</w:t>
      </w:r>
      <w:r w:rsidR="139C8CFA" w:rsidRPr="001427AF">
        <w:rPr>
          <w:rFonts w:ascii="Arial" w:hAnsi="Arial" w:cs="Arial"/>
          <w:color w:val="000000"/>
          <w:shd w:val="clear" w:color="auto" w:fill="FFFFFF"/>
        </w:rPr>
        <w:t xml:space="preserve">egislation </w:t>
      </w:r>
      <w:r w:rsidR="7F54106F" w:rsidRPr="001427AF">
        <w:rPr>
          <w:rFonts w:ascii="Arial" w:hAnsi="Arial" w:cs="Arial"/>
          <w:color w:val="000000"/>
          <w:shd w:val="clear" w:color="auto" w:fill="FFFFFF"/>
        </w:rPr>
        <w:t>(</w:t>
      </w:r>
      <w:hyperlink r:id="rId12" w:history="1">
        <w:r w:rsidR="7F54106F" w:rsidRPr="001427AF">
          <w:rPr>
            <w:rStyle w:val="Hyperlink"/>
            <w:rFonts w:ascii="Arial" w:hAnsi="Arial" w:cs="Arial"/>
          </w:rPr>
          <w:t>G.S. §115C-83.16</w:t>
        </w:r>
      </w:hyperlink>
      <w:r w:rsidR="7F54106F" w:rsidRPr="001427AF">
        <w:rPr>
          <w:rFonts w:ascii="Arial" w:hAnsi="Arial" w:cs="Arial"/>
        </w:rPr>
        <w:t>)</w:t>
      </w:r>
      <w:r w:rsidR="723C8E70" w:rsidRPr="001427AF">
        <w:rPr>
          <w:rFonts w:ascii="Arial" w:hAnsi="Arial" w:cs="Arial"/>
          <w:color w:val="000000"/>
          <w:shd w:val="clear" w:color="auto" w:fill="FFFFFF"/>
        </w:rPr>
        <w:t>.</w:t>
      </w:r>
      <w:r w:rsidR="20BF0869" w:rsidRPr="001427AF">
        <w:rPr>
          <w:rFonts w:ascii="Arial" w:hAnsi="Arial" w:cs="Arial"/>
          <w:color w:val="000000"/>
          <w:shd w:val="clear" w:color="auto" w:fill="FFFFFF"/>
        </w:rPr>
        <w:t xml:space="preserve"> </w:t>
      </w:r>
      <w:r w:rsidR="3AD74F81" w:rsidRPr="001427AF">
        <w:rPr>
          <w:rFonts w:ascii="Arial" w:hAnsi="Arial" w:cs="Arial"/>
          <w:color w:val="000000"/>
          <w:shd w:val="clear" w:color="auto" w:fill="FFFFFF"/>
        </w:rPr>
        <w:t xml:space="preserve">The full ESSA plan is available on </w:t>
      </w:r>
      <w:r w:rsidR="6A901927" w:rsidRPr="001427AF">
        <w:rPr>
          <w:rFonts w:ascii="Arial" w:hAnsi="Arial" w:cs="Arial"/>
          <w:color w:val="000000"/>
          <w:shd w:val="clear" w:color="auto" w:fill="FFFFFF"/>
        </w:rPr>
        <w:t xml:space="preserve">the </w:t>
      </w:r>
      <w:r w:rsidR="006C771B" w:rsidRPr="001427AF">
        <w:rPr>
          <w:rFonts w:ascii="Arial" w:hAnsi="Arial" w:cs="Arial"/>
          <w:shd w:val="clear" w:color="auto" w:fill="FFFFFF"/>
        </w:rPr>
        <w:t>USED website</w:t>
      </w:r>
      <w:r w:rsidR="006C771B" w:rsidRPr="001427AF">
        <w:rPr>
          <w:rStyle w:val="Hyperlink"/>
          <w:rFonts w:ascii="Arial" w:hAnsi="Arial" w:cs="Arial"/>
          <w:shd w:val="clear" w:color="auto" w:fill="FFFFFF"/>
        </w:rPr>
        <w:t xml:space="preserve"> </w:t>
      </w:r>
      <w:r w:rsidR="006C771B" w:rsidRPr="001427AF">
        <w:rPr>
          <w:rStyle w:val="Hyperlink"/>
          <w:rFonts w:ascii="Arial" w:hAnsi="Arial" w:cs="Arial"/>
          <w:color w:val="000000" w:themeColor="text1"/>
          <w:u w:val="none"/>
          <w:shd w:val="clear" w:color="auto" w:fill="FFFFFF"/>
        </w:rPr>
        <w:t>at</w:t>
      </w:r>
      <w:r w:rsidR="00F66508" w:rsidRPr="001427AF">
        <w:rPr>
          <w:rStyle w:val="Hyperlink"/>
          <w:rFonts w:ascii="Arial" w:hAnsi="Arial" w:cs="Arial"/>
          <w:shd w:val="clear" w:color="auto" w:fill="FFFFFF"/>
        </w:rPr>
        <w:t xml:space="preserve"> </w:t>
      </w:r>
      <w:r w:rsidR="006C771B" w:rsidRPr="001427AF">
        <w:rPr>
          <w:rStyle w:val="Hyperlink"/>
          <w:rFonts w:ascii="Arial" w:hAnsi="Arial" w:cs="Arial"/>
          <w:shd w:val="clear" w:color="auto" w:fill="FFFFFF"/>
        </w:rPr>
        <w:t>https://oese.ed.gov/offices/office-of-formula-grants/school-support-and-accountability/essa-consolidated-state-plans/</w:t>
      </w:r>
      <w:r w:rsidR="0CB1E466" w:rsidRPr="001427AF">
        <w:rPr>
          <w:rFonts w:ascii="Arial" w:hAnsi="Arial" w:cs="Arial"/>
          <w:color w:val="000000"/>
          <w:shd w:val="clear" w:color="auto" w:fill="FFFFFF"/>
        </w:rPr>
        <w:t>.</w:t>
      </w:r>
      <w:r w:rsidR="6A901927" w:rsidRPr="001427AF">
        <w:rPr>
          <w:rFonts w:ascii="Arial" w:hAnsi="Arial" w:cs="Arial"/>
          <w:color w:val="000000"/>
          <w:shd w:val="clear" w:color="auto" w:fill="FFFFFF"/>
        </w:rPr>
        <w:t xml:space="preserve"> </w:t>
      </w:r>
    </w:p>
    <w:p w14:paraId="285A46CD" w14:textId="77777777" w:rsidR="006C771B" w:rsidRPr="001427AF" w:rsidRDefault="006C771B" w:rsidP="003D517D">
      <w:pPr>
        <w:pStyle w:val="BodyText"/>
        <w:spacing w:after="0" w:line="240" w:lineRule="auto"/>
        <w:contextualSpacing/>
        <w:jc w:val="left"/>
        <w:rPr>
          <w:rStyle w:val="Hyperlink"/>
          <w:rFonts w:ascii="Arial" w:hAnsi="Arial" w:cs="Arial"/>
          <w:color w:val="auto"/>
          <w:u w:val="none"/>
          <w:shd w:val="clear" w:color="auto" w:fill="FFFFFF"/>
        </w:rPr>
      </w:pPr>
    </w:p>
    <w:p w14:paraId="6D7F05F9" w14:textId="355FADBE" w:rsidR="00523A23" w:rsidRPr="001427AF" w:rsidRDefault="00300E5B" w:rsidP="003D517D">
      <w:pPr>
        <w:pStyle w:val="BodyText"/>
        <w:spacing w:after="0" w:line="240" w:lineRule="auto"/>
        <w:contextualSpacing/>
        <w:jc w:val="left"/>
        <w:rPr>
          <w:rFonts w:ascii="Arial" w:hAnsi="Arial" w:cs="Arial"/>
          <w:szCs w:val="24"/>
        </w:rPr>
      </w:pPr>
      <w:r w:rsidRPr="001427AF">
        <w:rPr>
          <w:rFonts w:ascii="Arial" w:hAnsi="Arial" w:cs="Arial"/>
          <w:szCs w:val="24"/>
        </w:rPr>
        <w:t>This technical guide provides the decision requirement</w:t>
      </w:r>
      <w:r w:rsidR="00DF337D" w:rsidRPr="001427AF">
        <w:rPr>
          <w:rFonts w:ascii="Arial" w:hAnsi="Arial" w:cs="Arial"/>
          <w:szCs w:val="24"/>
        </w:rPr>
        <w:t xml:space="preserve"> provision</w:t>
      </w:r>
      <w:r w:rsidRPr="001427AF">
        <w:rPr>
          <w:rFonts w:ascii="Arial" w:hAnsi="Arial" w:cs="Arial"/>
          <w:szCs w:val="24"/>
        </w:rPr>
        <w:t>s for each indicator</w:t>
      </w:r>
      <w:r w:rsidR="00157E24" w:rsidRPr="001427AF">
        <w:rPr>
          <w:rFonts w:ascii="Arial" w:hAnsi="Arial" w:cs="Arial"/>
          <w:szCs w:val="24"/>
        </w:rPr>
        <w:t xml:space="preserve"> </w:t>
      </w:r>
      <w:r w:rsidR="00F24698" w:rsidRPr="001427AF">
        <w:rPr>
          <w:rFonts w:ascii="Arial" w:hAnsi="Arial" w:cs="Arial"/>
          <w:szCs w:val="24"/>
        </w:rPr>
        <w:t xml:space="preserve">and </w:t>
      </w:r>
      <w:r w:rsidR="00C2444C" w:rsidRPr="001427AF">
        <w:rPr>
          <w:rFonts w:ascii="Arial" w:hAnsi="Arial" w:cs="Arial"/>
          <w:szCs w:val="24"/>
        </w:rPr>
        <w:t xml:space="preserve">the </w:t>
      </w:r>
      <w:r w:rsidRPr="001427AF">
        <w:rPr>
          <w:rFonts w:ascii="Arial" w:hAnsi="Arial" w:cs="Arial"/>
          <w:szCs w:val="24"/>
        </w:rPr>
        <w:t>calculation parameters</w:t>
      </w:r>
      <w:r w:rsidR="00F24698" w:rsidRPr="001427AF">
        <w:rPr>
          <w:rFonts w:ascii="Arial" w:hAnsi="Arial" w:cs="Arial"/>
          <w:szCs w:val="24"/>
        </w:rPr>
        <w:t xml:space="preserve"> </w:t>
      </w:r>
      <w:r w:rsidRPr="001427AF">
        <w:rPr>
          <w:rFonts w:ascii="Arial" w:hAnsi="Arial" w:cs="Arial"/>
          <w:szCs w:val="24"/>
        </w:rPr>
        <w:t>of the data</w:t>
      </w:r>
      <w:r w:rsidR="00FA42B7" w:rsidRPr="001427AF">
        <w:rPr>
          <w:rFonts w:ascii="Arial" w:hAnsi="Arial" w:cs="Arial"/>
          <w:szCs w:val="24"/>
        </w:rPr>
        <w:t xml:space="preserve"> </w:t>
      </w:r>
      <w:r w:rsidR="0058635A" w:rsidRPr="001427AF">
        <w:rPr>
          <w:rFonts w:ascii="Arial" w:hAnsi="Arial" w:cs="Arial"/>
          <w:szCs w:val="24"/>
        </w:rPr>
        <w:t>for the current accountability model</w:t>
      </w:r>
      <w:r w:rsidRPr="001427AF">
        <w:rPr>
          <w:rFonts w:ascii="Arial" w:hAnsi="Arial" w:cs="Arial"/>
          <w:szCs w:val="24"/>
        </w:rPr>
        <w:t xml:space="preserve">. </w:t>
      </w:r>
      <w:r w:rsidR="009A7A0D" w:rsidRPr="001427AF">
        <w:rPr>
          <w:rFonts w:ascii="Arial" w:hAnsi="Arial" w:cs="Arial"/>
          <w:szCs w:val="24"/>
        </w:rPr>
        <w:t xml:space="preserve">It </w:t>
      </w:r>
      <w:r w:rsidR="00100C5E" w:rsidRPr="001427AF">
        <w:rPr>
          <w:rFonts w:ascii="Arial" w:hAnsi="Arial" w:cs="Arial"/>
          <w:color w:val="000000"/>
          <w:szCs w:val="24"/>
        </w:rPr>
        <w:t xml:space="preserve">outlines the procedures and methodologies used to determine the annual </w:t>
      </w:r>
      <w:r w:rsidR="006D7E9E" w:rsidRPr="001427AF">
        <w:rPr>
          <w:rFonts w:ascii="Arial" w:hAnsi="Arial" w:cs="Arial"/>
          <w:color w:val="000000"/>
          <w:szCs w:val="24"/>
        </w:rPr>
        <w:t>s</w:t>
      </w:r>
      <w:r w:rsidR="00100C5E" w:rsidRPr="001427AF">
        <w:rPr>
          <w:rFonts w:ascii="Arial" w:hAnsi="Arial" w:cs="Arial"/>
          <w:color w:val="000000"/>
          <w:szCs w:val="24"/>
        </w:rPr>
        <w:t>chool</w:t>
      </w:r>
      <w:r w:rsidR="006D7E9E" w:rsidRPr="001427AF">
        <w:rPr>
          <w:rFonts w:ascii="Arial" w:hAnsi="Arial" w:cs="Arial"/>
          <w:color w:val="000000"/>
          <w:szCs w:val="24"/>
        </w:rPr>
        <w:t xml:space="preserve"> p</w:t>
      </w:r>
      <w:r w:rsidR="00100C5E" w:rsidRPr="001427AF">
        <w:rPr>
          <w:rFonts w:ascii="Arial" w:hAnsi="Arial" w:cs="Arial"/>
          <w:color w:val="000000"/>
          <w:szCs w:val="24"/>
        </w:rPr>
        <w:t xml:space="preserve">erformance </w:t>
      </w:r>
      <w:r w:rsidR="006D7E9E" w:rsidRPr="001427AF">
        <w:rPr>
          <w:rFonts w:ascii="Arial" w:hAnsi="Arial" w:cs="Arial"/>
          <w:color w:val="000000"/>
          <w:szCs w:val="24"/>
        </w:rPr>
        <w:t>g</w:t>
      </w:r>
      <w:r w:rsidR="00100C5E" w:rsidRPr="001427AF">
        <w:rPr>
          <w:rFonts w:ascii="Arial" w:hAnsi="Arial" w:cs="Arial"/>
          <w:color w:val="000000"/>
          <w:szCs w:val="24"/>
        </w:rPr>
        <w:t xml:space="preserve">rades of North Carolina’s schools </w:t>
      </w:r>
      <w:r w:rsidR="00100C5E" w:rsidRPr="001427AF">
        <w:rPr>
          <w:rFonts w:ascii="Arial" w:hAnsi="Arial" w:cs="Arial"/>
          <w:szCs w:val="24"/>
        </w:rPr>
        <w:t xml:space="preserve">in accordance with federal and state law. </w:t>
      </w:r>
      <w:r w:rsidRPr="001427AF">
        <w:rPr>
          <w:rFonts w:ascii="Arial" w:hAnsi="Arial" w:cs="Arial"/>
          <w:szCs w:val="24"/>
        </w:rPr>
        <w:t xml:space="preserve">The business requirements provided in this guide apply to all public schools within the state of North Carolina. </w:t>
      </w:r>
      <w:r w:rsidR="00523A23" w:rsidRPr="001427AF">
        <w:rPr>
          <w:rFonts w:ascii="Arial" w:hAnsi="Arial" w:cs="Arial"/>
          <w:szCs w:val="24"/>
        </w:rPr>
        <w:t xml:space="preserve">The school grading system focuses on different student success measures between the elementary/middle and high school levels. </w:t>
      </w:r>
    </w:p>
    <w:p w14:paraId="5C5B25D6" w14:textId="77777777" w:rsidR="00FA59B0" w:rsidRPr="001427AF" w:rsidRDefault="00FA59B0" w:rsidP="003D517D">
      <w:pPr>
        <w:pStyle w:val="BodyText"/>
        <w:spacing w:after="0" w:line="240" w:lineRule="auto"/>
        <w:contextualSpacing/>
        <w:jc w:val="left"/>
        <w:rPr>
          <w:rFonts w:ascii="Arial" w:hAnsi="Arial" w:cs="Arial"/>
          <w:szCs w:val="24"/>
        </w:rPr>
      </w:pPr>
    </w:p>
    <w:p w14:paraId="0BC856DD" w14:textId="7BD94A83" w:rsidR="00330E22" w:rsidRPr="001427AF" w:rsidRDefault="000B4BD7" w:rsidP="003D517D">
      <w:pPr>
        <w:pStyle w:val="BodyText"/>
        <w:spacing w:after="0" w:line="240" w:lineRule="auto"/>
        <w:contextualSpacing/>
        <w:jc w:val="left"/>
        <w:rPr>
          <w:rFonts w:ascii="Arial" w:hAnsi="Arial" w:cs="Arial"/>
          <w:szCs w:val="24"/>
        </w:rPr>
      </w:pPr>
      <w:r w:rsidRPr="001427AF">
        <w:rPr>
          <w:rFonts w:ascii="Arial" w:hAnsi="Arial" w:cs="Arial"/>
          <w:szCs w:val="24"/>
        </w:rPr>
        <w:t xml:space="preserve">To provide additional context for the current </w:t>
      </w:r>
      <w:r w:rsidR="002F5698" w:rsidRPr="001427AF">
        <w:rPr>
          <w:rFonts w:ascii="Arial" w:hAnsi="Arial" w:cs="Arial"/>
          <w:szCs w:val="24"/>
        </w:rPr>
        <w:t xml:space="preserve">accountability model </w:t>
      </w:r>
      <w:r w:rsidRPr="001427AF">
        <w:rPr>
          <w:rFonts w:ascii="Arial" w:hAnsi="Arial" w:cs="Arial"/>
          <w:szCs w:val="24"/>
        </w:rPr>
        <w:t xml:space="preserve">and the timeline for implementation, see </w:t>
      </w:r>
      <w:r w:rsidR="00585ACA" w:rsidRPr="001427AF">
        <w:rPr>
          <w:rFonts w:ascii="Arial" w:hAnsi="Arial" w:cs="Arial"/>
          <w:szCs w:val="24"/>
        </w:rPr>
        <w:t>below:</w:t>
      </w:r>
    </w:p>
    <w:p w14:paraId="35FF4168" w14:textId="77777777" w:rsidR="00535E0A" w:rsidRDefault="00535E0A">
      <w:pPr>
        <w:spacing w:line="240" w:lineRule="auto"/>
        <w:rPr>
          <w:rFonts w:ascii="Arial" w:hAnsi="Arial" w:cs="Arial"/>
          <w:b/>
          <w:bCs/>
          <w:color w:val="auto"/>
          <w:szCs w:val="24"/>
        </w:rPr>
      </w:pPr>
      <w:r>
        <w:rPr>
          <w:rFonts w:ascii="Arial" w:hAnsi="Arial" w:cs="Arial"/>
          <w:b/>
          <w:bCs/>
          <w:szCs w:val="24"/>
        </w:rPr>
        <w:br w:type="page"/>
      </w:r>
    </w:p>
    <w:p w14:paraId="32711C76" w14:textId="31AF87F3" w:rsidR="00F61034" w:rsidRPr="001427AF" w:rsidRDefault="000B5F6E" w:rsidP="00236A38">
      <w:pPr>
        <w:pStyle w:val="BodyText"/>
        <w:spacing w:after="0" w:line="240" w:lineRule="auto"/>
        <w:contextualSpacing/>
        <w:jc w:val="left"/>
        <w:rPr>
          <w:rFonts w:ascii="Arial" w:hAnsi="Arial" w:cs="Arial"/>
          <w:b/>
          <w:szCs w:val="24"/>
        </w:rPr>
      </w:pPr>
      <w:r w:rsidRPr="001427AF">
        <w:rPr>
          <w:rFonts w:ascii="Arial" w:hAnsi="Arial" w:cs="Arial"/>
          <w:b/>
          <w:bCs/>
          <w:szCs w:val="24"/>
        </w:rPr>
        <w:lastRenderedPageBreak/>
        <w:t>A</w:t>
      </w:r>
      <w:r w:rsidR="00236A38" w:rsidRPr="001427AF">
        <w:rPr>
          <w:rFonts w:ascii="Arial" w:hAnsi="Arial" w:cs="Arial"/>
          <w:b/>
          <w:bCs/>
          <w:szCs w:val="24"/>
        </w:rPr>
        <w:t xml:space="preserve">ccountability </w:t>
      </w:r>
      <w:r w:rsidRPr="001427AF">
        <w:rPr>
          <w:rFonts w:ascii="Arial" w:hAnsi="Arial" w:cs="Arial"/>
          <w:b/>
          <w:bCs/>
          <w:szCs w:val="24"/>
        </w:rPr>
        <w:t>M</w:t>
      </w:r>
      <w:r w:rsidR="00236A38" w:rsidRPr="001427AF">
        <w:rPr>
          <w:rFonts w:ascii="Arial" w:hAnsi="Arial" w:cs="Arial"/>
          <w:b/>
          <w:bCs/>
          <w:szCs w:val="24"/>
        </w:rPr>
        <w:t>odel</w:t>
      </w:r>
      <w:r w:rsidRPr="001427AF">
        <w:rPr>
          <w:rFonts w:ascii="Arial" w:hAnsi="Arial" w:cs="Arial"/>
          <w:b/>
          <w:bCs/>
          <w:szCs w:val="24"/>
        </w:rPr>
        <w:t xml:space="preserve"> T</w:t>
      </w:r>
      <w:r w:rsidR="00236A38" w:rsidRPr="001427AF">
        <w:rPr>
          <w:rFonts w:ascii="Arial" w:hAnsi="Arial" w:cs="Arial"/>
          <w:b/>
          <w:bCs/>
          <w:szCs w:val="24"/>
        </w:rPr>
        <w:t>hrough</w:t>
      </w:r>
      <w:r w:rsidRPr="001427AF">
        <w:rPr>
          <w:rFonts w:ascii="Arial" w:hAnsi="Arial" w:cs="Arial"/>
          <w:b/>
          <w:bCs/>
          <w:szCs w:val="24"/>
        </w:rPr>
        <w:t xml:space="preserve"> </w:t>
      </w:r>
      <w:r w:rsidR="00236A38" w:rsidRPr="001427AF">
        <w:rPr>
          <w:rFonts w:ascii="Arial" w:hAnsi="Arial" w:cs="Arial"/>
          <w:b/>
          <w:bCs/>
          <w:szCs w:val="24"/>
        </w:rPr>
        <w:t>the</w:t>
      </w:r>
      <w:r w:rsidRPr="001427AF">
        <w:rPr>
          <w:rFonts w:ascii="Arial" w:hAnsi="Arial" w:cs="Arial"/>
          <w:b/>
          <w:bCs/>
          <w:szCs w:val="24"/>
        </w:rPr>
        <w:t xml:space="preserve"> Y</w:t>
      </w:r>
      <w:r w:rsidR="00236A38" w:rsidRPr="001427AF">
        <w:rPr>
          <w:rFonts w:ascii="Arial" w:hAnsi="Arial" w:cs="Arial"/>
          <w:b/>
          <w:bCs/>
          <w:szCs w:val="24"/>
        </w:rPr>
        <w:t>ears</w:t>
      </w:r>
    </w:p>
    <w:tbl>
      <w:tblPr>
        <w:tblStyle w:val="TableGrid"/>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8480"/>
      </w:tblGrid>
      <w:tr w:rsidR="00455A02" w:rsidRPr="001427AF" w14:paraId="2CE92B73" w14:textId="77777777" w:rsidTr="007F5128">
        <w:trPr>
          <w:trHeight w:val="206"/>
          <w:tblHeader/>
        </w:trPr>
        <w:tc>
          <w:tcPr>
            <w:tcW w:w="1106" w:type="dxa"/>
            <w:shd w:val="clear" w:color="auto" w:fill="ACB9CA" w:themeFill="text2" w:themeFillTint="66"/>
          </w:tcPr>
          <w:p w14:paraId="47EAA67C" w14:textId="557DF1A9" w:rsidR="00455A02" w:rsidRPr="001427AF" w:rsidRDefault="000551DC" w:rsidP="003D517D">
            <w:pPr>
              <w:pStyle w:val="BodyText"/>
              <w:spacing w:after="0" w:line="240" w:lineRule="auto"/>
              <w:ind w:right="74"/>
              <w:contextualSpacing/>
              <w:jc w:val="left"/>
              <w:rPr>
                <w:rFonts w:ascii="Arial" w:hAnsi="Arial" w:cs="Arial"/>
                <w:b/>
                <w:bCs/>
                <w:sz w:val="20"/>
              </w:rPr>
            </w:pPr>
            <w:r w:rsidRPr="001427AF">
              <w:rPr>
                <w:rFonts w:ascii="Arial" w:hAnsi="Arial" w:cs="Arial"/>
                <w:b/>
                <w:bCs/>
                <w:sz w:val="20"/>
              </w:rPr>
              <w:t>Year</w:t>
            </w:r>
          </w:p>
        </w:tc>
        <w:tc>
          <w:tcPr>
            <w:tcW w:w="0" w:type="auto"/>
            <w:shd w:val="clear" w:color="auto" w:fill="ACB9CA" w:themeFill="text2" w:themeFillTint="66"/>
          </w:tcPr>
          <w:p w14:paraId="1001B77F" w14:textId="78D09C1E" w:rsidR="00455A02" w:rsidRPr="001427AF" w:rsidRDefault="000551DC" w:rsidP="003D517D">
            <w:pPr>
              <w:pStyle w:val="BodyText"/>
              <w:spacing w:after="0" w:line="240" w:lineRule="auto"/>
              <w:contextualSpacing/>
              <w:jc w:val="left"/>
              <w:rPr>
                <w:rFonts w:ascii="Arial" w:hAnsi="Arial" w:cs="Arial"/>
                <w:b/>
                <w:bCs/>
                <w:sz w:val="20"/>
              </w:rPr>
            </w:pPr>
            <w:r w:rsidRPr="001427AF">
              <w:rPr>
                <w:rFonts w:ascii="Arial" w:hAnsi="Arial" w:cs="Arial"/>
                <w:b/>
                <w:bCs/>
                <w:sz w:val="20"/>
              </w:rPr>
              <w:t>Action</w:t>
            </w:r>
          </w:p>
        </w:tc>
      </w:tr>
      <w:tr w:rsidR="0013300A" w:rsidRPr="001427AF" w14:paraId="57346121" w14:textId="77777777" w:rsidTr="007F5128">
        <w:trPr>
          <w:trHeight w:val="494"/>
        </w:trPr>
        <w:tc>
          <w:tcPr>
            <w:tcW w:w="1106" w:type="dxa"/>
            <w:vAlign w:val="center"/>
          </w:tcPr>
          <w:p w14:paraId="2CC9D1AE" w14:textId="33DBA4BB" w:rsidR="0013300A" w:rsidRPr="001427AF" w:rsidRDefault="00D80ECA" w:rsidP="003D517D">
            <w:pPr>
              <w:pStyle w:val="BodyText"/>
              <w:spacing w:after="0" w:line="240" w:lineRule="auto"/>
              <w:contextualSpacing/>
              <w:jc w:val="left"/>
              <w:rPr>
                <w:rFonts w:ascii="Arial" w:hAnsi="Arial" w:cs="Arial"/>
                <w:sz w:val="20"/>
              </w:rPr>
            </w:pPr>
            <w:r w:rsidRPr="001427AF">
              <w:rPr>
                <w:rFonts w:ascii="Arial" w:hAnsi="Arial" w:cs="Arial"/>
                <w:sz w:val="20"/>
              </w:rPr>
              <w:t>1993</w:t>
            </w:r>
          </w:p>
        </w:tc>
        <w:tc>
          <w:tcPr>
            <w:tcW w:w="0" w:type="auto"/>
          </w:tcPr>
          <w:p w14:paraId="557DD3D4" w14:textId="694E16DA" w:rsidR="0013300A" w:rsidRPr="001427AF" w:rsidRDefault="00D80ECA" w:rsidP="003D517D">
            <w:pPr>
              <w:pStyle w:val="BodyText"/>
              <w:spacing w:after="0" w:line="240" w:lineRule="auto"/>
              <w:contextualSpacing/>
              <w:jc w:val="left"/>
              <w:rPr>
                <w:rFonts w:ascii="Arial" w:hAnsi="Arial" w:cs="Arial"/>
                <w:sz w:val="20"/>
              </w:rPr>
            </w:pPr>
            <w:r w:rsidRPr="001427AF">
              <w:rPr>
                <w:rFonts w:ascii="Arial" w:hAnsi="Arial" w:cs="Arial"/>
                <w:sz w:val="20"/>
              </w:rPr>
              <w:t xml:space="preserve">North Carolina began testing all students in grades </w:t>
            </w:r>
            <w:r w:rsidR="000C53B0" w:rsidRPr="001427AF">
              <w:rPr>
                <w:rFonts w:ascii="Arial" w:hAnsi="Arial" w:cs="Arial"/>
                <w:sz w:val="20"/>
              </w:rPr>
              <w:t xml:space="preserve">three through eight </w:t>
            </w:r>
            <w:r w:rsidRPr="001427AF">
              <w:rPr>
                <w:rFonts w:ascii="Arial" w:hAnsi="Arial" w:cs="Arial"/>
                <w:sz w:val="20"/>
              </w:rPr>
              <w:t xml:space="preserve">in reading and mathematics. First school-based </w:t>
            </w:r>
            <w:r w:rsidR="00D10468" w:rsidRPr="001427AF">
              <w:rPr>
                <w:rFonts w:ascii="Arial" w:hAnsi="Arial" w:cs="Arial"/>
                <w:sz w:val="20"/>
              </w:rPr>
              <w:t xml:space="preserve">accountability model </w:t>
            </w:r>
            <w:proofErr w:type="gramStart"/>
            <w:r w:rsidR="00D10468" w:rsidRPr="001427AF">
              <w:rPr>
                <w:rFonts w:ascii="Arial" w:hAnsi="Arial" w:cs="Arial"/>
                <w:sz w:val="20"/>
              </w:rPr>
              <w:t>created</w:t>
            </w:r>
            <w:proofErr w:type="gramEnd"/>
            <w:r w:rsidR="00D10468" w:rsidRPr="001427AF">
              <w:rPr>
                <w:rFonts w:ascii="Arial" w:hAnsi="Arial" w:cs="Arial"/>
                <w:sz w:val="20"/>
              </w:rPr>
              <w:t xml:space="preserve">. </w:t>
            </w:r>
          </w:p>
        </w:tc>
      </w:tr>
      <w:tr w:rsidR="0013300A" w:rsidRPr="001427AF" w14:paraId="68C8BAAF" w14:textId="77777777" w:rsidTr="007F5128">
        <w:trPr>
          <w:trHeight w:val="413"/>
        </w:trPr>
        <w:tc>
          <w:tcPr>
            <w:tcW w:w="1106" w:type="dxa"/>
            <w:vAlign w:val="center"/>
          </w:tcPr>
          <w:p w14:paraId="0F7F0529" w14:textId="4C9437D0" w:rsidR="0013300A" w:rsidRPr="001427AF" w:rsidRDefault="00D10468" w:rsidP="003D517D">
            <w:pPr>
              <w:pStyle w:val="BodyText"/>
              <w:spacing w:after="0" w:line="240" w:lineRule="auto"/>
              <w:contextualSpacing/>
              <w:jc w:val="left"/>
              <w:rPr>
                <w:rFonts w:ascii="Arial" w:hAnsi="Arial" w:cs="Arial"/>
                <w:sz w:val="20"/>
              </w:rPr>
            </w:pPr>
            <w:r w:rsidRPr="001427AF">
              <w:rPr>
                <w:rFonts w:ascii="Arial" w:hAnsi="Arial" w:cs="Arial"/>
                <w:sz w:val="20"/>
              </w:rPr>
              <w:t>1994</w:t>
            </w:r>
          </w:p>
        </w:tc>
        <w:tc>
          <w:tcPr>
            <w:tcW w:w="0" w:type="auto"/>
          </w:tcPr>
          <w:p w14:paraId="16F5A507" w14:textId="3650FECE" w:rsidR="0013300A" w:rsidRPr="001427AF" w:rsidRDefault="002E21BA" w:rsidP="003D517D">
            <w:pPr>
              <w:pStyle w:val="BodyText"/>
              <w:spacing w:after="0" w:line="240" w:lineRule="auto"/>
              <w:contextualSpacing/>
              <w:jc w:val="left"/>
              <w:rPr>
                <w:rFonts w:ascii="Arial" w:hAnsi="Arial" w:cs="Arial"/>
                <w:sz w:val="20"/>
              </w:rPr>
            </w:pPr>
            <w:r w:rsidRPr="001427AF">
              <w:rPr>
                <w:rFonts w:ascii="Arial" w:hAnsi="Arial" w:cs="Arial"/>
                <w:sz w:val="20"/>
              </w:rPr>
              <w:t>End</w:t>
            </w:r>
            <w:r w:rsidR="00D10468" w:rsidRPr="001427AF">
              <w:rPr>
                <w:rFonts w:ascii="Arial" w:hAnsi="Arial" w:cs="Arial"/>
                <w:sz w:val="20"/>
              </w:rPr>
              <w:t>-of-grade assessments designed to measure the S</w:t>
            </w:r>
            <w:r w:rsidR="006D58A7" w:rsidRPr="001427AF">
              <w:rPr>
                <w:rFonts w:ascii="Arial" w:hAnsi="Arial" w:cs="Arial"/>
                <w:sz w:val="20"/>
              </w:rPr>
              <w:t xml:space="preserve">BE’s </w:t>
            </w:r>
            <w:r w:rsidR="00D10468" w:rsidRPr="001427AF">
              <w:rPr>
                <w:rFonts w:ascii="Arial" w:hAnsi="Arial" w:cs="Arial"/>
                <w:sz w:val="20"/>
              </w:rPr>
              <w:t xml:space="preserve">adopted content standards were administered for the first time to all students in grades </w:t>
            </w:r>
            <w:r w:rsidR="000C53B0" w:rsidRPr="001427AF">
              <w:rPr>
                <w:rFonts w:ascii="Arial" w:hAnsi="Arial" w:cs="Arial"/>
                <w:sz w:val="20"/>
              </w:rPr>
              <w:t xml:space="preserve">three through eight. </w:t>
            </w:r>
          </w:p>
        </w:tc>
      </w:tr>
      <w:tr w:rsidR="0013300A" w:rsidRPr="001427AF" w14:paraId="78F80300" w14:textId="77777777" w:rsidTr="007F5128">
        <w:trPr>
          <w:trHeight w:val="602"/>
        </w:trPr>
        <w:tc>
          <w:tcPr>
            <w:tcW w:w="1106" w:type="dxa"/>
            <w:vAlign w:val="center"/>
          </w:tcPr>
          <w:p w14:paraId="77AEADCD" w14:textId="00AF353F" w:rsidR="0013300A" w:rsidRPr="001427AF" w:rsidRDefault="002E21BA" w:rsidP="003D517D">
            <w:pPr>
              <w:pStyle w:val="BodyText"/>
              <w:spacing w:after="0" w:line="240" w:lineRule="auto"/>
              <w:contextualSpacing/>
              <w:jc w:val="left"/>
              <w:rPr>
                <w:rFonts w:ascii="Arial" w:hAnsi="Arial" w:cs="Arial"/>
                <w:sz w:val="20"/>
              </w:rPr>
            </w:pPr>
            <w:r w:rsidRPr="001427AF">
              <w:rPr>
                <w:rFonts w:ascii="Arial" w:hAnsi="Arial" w:cs="Arial"/>
                <w:sz w:val="20"/>
              </w:rPr>
              <w:t>1996</w:t>
            </w:r>
          </w:p>
        </w:tc>
        <w:tc>
          <w:tcPr>
            <w:tcW w:w="0" w:type="auto"/>
          </w:tcPr>
          <w:p w14:paraId="034E96B3" w14:textId="3D64C432" w:rsidR="0013300A" w:rsidRPr="001427AF" w:rsidRDefault="006D58A7" w:rsidP="003D517D">
            <w:pPr>
              <w:pStyle w:val="BodyText"/>
              <w:spacing w:after="0" w:line="240" w:lineRule="auto"/>
              <w:contextualSpacing/>
              <w:jc w:val="left"/>
              <w:rPr>
                <w:rFonts w:ascii="Arial" w:hAnsi="Arial" w:cs="Arial"/>
                <w:sz w:val="20"/>
              </w:rPr>
            </w:pPr>
            <w:r w:rsidRPr="001427AF">
              <w:rPr>
                <w:rFonts w:ascii="Arial" w:hAnsi="Arial" w:cs="Arial"/>
                <w:sz w:val="20"/>
              </w:rPr>
              <w:t xml:space="preserve">The </w:t>
            </w:r>
            <w:r w:rsidR="002E21BA" w:rsidRPr="001427AF">
              <w:rPr>
                <w:rFonts w:ascii="Arial" w:hAnsi="Arial" w:cs="Arial"/>
                <w:sz w:val="20"/>
              </w:rPr>
              <w:t>accountability system, referred to as Accountability, Basics, and Local Control (ABCs), used data from the end-of-grade assessments to inform parents, educators</w:t>
            </w:r>
            <w:r w:rsidR="00A075D1" w:rsidRPr="001427AF">
              <w:rPr>
                <w:rFonts w:ascii="Arial" w:hAnsi="Arial" w:cs="Arial"/>
                <w:sz w:val="20"/>
              </w:rPr>
              <w:t>,</w:t>
            </w:r>
            <w:r w:rsidR="002E21BA" w:rsidRPr="001427AF">
              <w:rPr>
                <w:rFonts w:ascii="Arial" w:hAnsi="Arial" w:cs="Arial"/>
                <w:sz w:val="20"/>
              </w:rPr>
              <w:t xml:space="preserve"> and the public annually on the status of achievement at the school level.</w:t>
            </w:r>
          </w:p>
        </w:tc>
      </w:tr>
      <w:tr w:rsidR="0013300A" w:rsidRPr="001427AF" w14:paraId="7A5C2E3B" w14:textId="77777777" w:rsidTr="007F5128">
        <w:trPr>
          <w:trHeight w:val="62"/>
        </w:trPr>
        <w:tc>
          <w:tcPr>
            <w:tcW w:w="1106" w:type="dxa"/>
            <w:vAlign w:val="center"/>
          </w:tcPr>
          <w:p w14:paraId="5D981D1F" w14:textId="0E678525" w:rsidR="0013300A" w:rsidRPr="001427AF" w:rsidRDefault="00286CD5" w:rsidP="003D517D">
            <w:pPr>
              <w:pStyle w:val="BodyText"/>
              <w:spacing w:after="0" w:line="240" w:lineRule="auto"/>
              <w:contextualSpacing/>
              <w:jc w:val="left"/>
              <w:rPr>
                <w:rFonts w:ascii="Arial" w:hAnsi="Arial" w:cs="Arial"/>
                <w:sz w:val="20"/>
              </w:rPr>
            </w:pPr>
            <w:r w:rsidRPr="001427AF">
              <w:rPr>
                <w:rFonts w:ascii="Arial" w:hAnsi="Arial" w:cs="Arial"/>
                <w:sz w:val="20"/>
              </w:rPr>
              <w:t>1997</w:t>
            </w:r>
            <w:r w:rsidR="00A075D1" w:rsidRPr="001427AF">
              <w:rPr>
                <w:rFonts w:ascii="Arial" w:hAnsi="Arial" w:cs="Arial"/>
                <w:sz w:val="20"/>
              </w:rPr>
              <w:t>–</w:t>
            </w:r>
            <w:r w:rsidRPr="001427AF">
              <w:rPr>
                <w:rFonts w:ascii="Arial" w:hAnsi="Arial" w:cs="Arial"/>
                <w:sz w:val="20"/>
              </w:rPr>
              <w:t>98</w:t>
            </w:r>
          </w:p>
        </w:tc>
        <w:tc>
          <w:tcPr>
            <w:tcW w:w="0" w:type="auto"/>
          </w:tcPr>
          <w:p w14:paraId="2FA2246D" w14:textId="3DE9A58D" w:rsidR="0013300A" w:rsidRPr="001427AF" w:rsidRDefault="00286CD5" w:rsidP="003D517D">
            <w:pPr>
              <w:pStyle w:val="NormalWeb"/>
              <w:spacing w:before="0" w:beforeAutospacing="0" w:after="0" w:afterAutospacing="0"/>
              <w:contextualSpacing/>
              <w:rPr>
                <w:rFonts w:ascii="Arial" w:hAnsi="Arial" w:cs="Arial"/>
                <w:sz w:val="20"/>
                <w:szCs w:val="20"/>
              </w:rPr>
            </w:pPr>
            <w:r w:rsidRPr="001427AF">
              <w:rPr>
                <w:rFonts w:ascii="Arial" w:hAnsi="Arial" w:cs="Arial"/>
                <w:sz w:val="20"/>
                <w:szCs w:val="20"/>
              </w:rPr>
              <w:t xml:space="preserve">Five end-of-course tests were added to the ABCs school accountability model. </w:t>
            </w:r>
          </w:p>
        </w:tc>
      </w:tr>
      <w:tr w:rsidR="00455A02" w:rsidRPr="001427AF" w14:paraId="5D624674" w14:textId="77777777" w:rsidTr="007F5128">
        <w:trPr>
          <w:trHeight w:val="260"/>
        </w:trPr>
        <w:tc>
          <w:tcPr>
            <w:tcW w:w="1106" w:type="dxa"/>
            <w:vAlign w:val="center"/>
          </w:tcPr>
          <w:p w14:paraId="0834A9FB" w14:textId="6A485442" w:rsidR="00455A02" w:rsidRPr="001427AF" w:rsidRDefault="00C665BA" w:rsidP="003D517D">
            <w:pPr>
              <w:pStyle w:val="BodyText"/>
              <w:spacing w:after="0" w:line="240" w:lineRule="auto"/>
              <w:contextualSpacing/>
              <w:jc w:val="left"/>
              <w:rPr>
                <w:rFonts w:ascii="Arial" w:hAnsi="Arial" w:cs="Arial"/>
                <w:sz w:val="20"/>
              </w:rPr>
            </w:pPr>
            <w:r w:rsidRPr="001427AF">
              <w:rPr>
                <w:rFonts w:ascii="Arial" w:hAnsi="Arial" w:cs="Arial"/>
                <w:sz w:val="20"/>
              </w:rPr>
              <w:t>2010</w:t>
            </w:r>
          </w:p>
        </w:tc>
        <w:tc>
          <w:tcPr>
            <w:tcW w:w="0" w:type="auto"/>
          </w:tcPr>
          <w:p w14:paraId="6769B56F" w14:textId="34EE6F8F" w:rsidR="00455A02" w:rsidRPr="001427AF" w:rsidRDefault="00C51259" w:rsidP="003D517D">
            <w:pPr>
              <w:pStyle w:val="BodyText"/>
              <w:spacing w:after="0" w:line="240" w:lineRule="auto"/>
              <w:contextualSpacing/>
              <w:jc w:val="left"/>
              <w:rPr>
                <w:rFonts w:ascii="Arial" w:hAnsi="Arial" w:cs="Arial"/>
                <w:sz w:val="20"/>
              </w:rPr>
            </w:pPr>
            <w:r w:rsidRPr="001427AF">
              <w:rPr>
                <w:rFonts w:ascii="Arial" w:hAnsi="Arial" w:cs="Arial"/>
                <w:sz w:val="20"/>
              </w:rPr>
              <w:t xml:space="preserve">The SBE adopted </w:t>
            </w:r>
            <w:r w:rsidR="00D23523" w:rsidRPr="001427AF">
              <w:rPr>
                <w:rFonts w:ascii="Arial" w:hAnsi="Arial" w:cs="Arial"/>
                <w:sz w:val="20"/>
              </w:rPr>
              <w:t xml:space="preserve">the Standard Couse of Study (based on Common Core Standards for English </w:t>
            </w:r>
            <w:r w:rsidR="009911B7" w:rsidRPr="001427AF">
              <w:rPr>
                <w:rFonts w:ascii="Arial" w:hAnsi="Arial" w:cs="Arial"/>
                <w:sz w:val="20"/>
              </w:rPr>
              <w:t>L</w:t>
            </w:r>
            <w:r w:rsidR="00D23523" w:rsidRPr="001427AF">
              <w:rPr>
                <w:rFonts w:ascii="Arial" w:hAnsi="Arial" w:cs="Arial"/>
                <w:sz w:val="20"/>
              </w:rPr>
              <w:t xml:space="preserve">anguage </w:t>
            </w:r>
            <w:r w:rsidR="009911B7" w:rsidRPr="001427AF">
              <w:rPr>
                <w:rFonts w:ascii="Arial" w:hAnsi="Arial" w:cs="Arial"/>
                <w:sz w:val="20"/>
              </w:rPr>
              <w:t>A</w:t>
            </w:r>
            <w:r w:rsidR="00D23523" w:rsidRPr="001427AF">
              <w:rPr>
                <w:rFonts w:ascii="Arial" w:hAnsi="Arial" w:cs="Arial"/>
                <w:sz w:val="20"/>
              </w:rPr>
              <w:t>rts and Mathematics</w:t>
            </w:r>
            <w:r w:rsidR="009911B7" w:rsidRPr="001427AF">
              <w:rPr>
                <w:rFonts w:ascii="Arial" w:hAnsi="Arial" w:cs="Arial"/>
                <w:sz w:val="20"/>
              </w:rPr>
              <w:t>)</w:t>
            </w:r>
            <w:r w:rsidR="00BA1E67" w:rsidRPr="001427AF">
              <w:rPr>
                <w:rFonts w:ascii="Arial" w:hAnsi="Arial" w:cs="Arial"/>
                <w:sz w:val="20"/>
              </w:rPr>
              <w:t xml:space="preserve">. </w:t>
            </w:r>
          </w:p>
        </w:tc>
      </w:tr>
      <w:tr w:rsidR="00455A02" w:rsidRPr="001427AF" w14:paraId="542C2D35" w14:textId="77777777" w:rsidTr="007F5128">
        <w:trPr>
          <w:trHeight w:val="269"/>
        </w:trPr>
        <w:tc>
          <w:tcPr>
            <w:tcW w:w="1106" w:type="dxa"/>
            <w:vAlign w:val="center"/>
          </w:tcPr>
          <w:p w14:paraId="7E76EA50" w14:textId="5B590B43" w:rsidR="00455A02" w:rsidRPr="001427AF" w:rsidRDefault="00C51259" w:rsidP="003D517D">
            <w:pPr>
              <w:pStyle w:val="BodyText"/>
              <w:spacing w:after="0" w:line="240" w:lineRule="auto"/>
              <w:contextualSpacing/>
              <w:jc w:val="left"/>
              <w:rPr>
                <w:rFonts w:ascii="Arial" w:hAnsi="Arial" w:cs="Arial"/>
                <w:sz w:val="20"/>
              </w:rPr>
            </w:pPr>
            <w:r w:rsidRPr="001427AF">
              <w:rPr>
                <w:rFonts w:ascii="Arial" w:hAnsi="Arial" w:cs="Arial"/>
                <w:sz w:val="20"/>
              </w:rPr>
              <w:t>2012–13</w:t>
            </w:r>
          </w:p>
        </w:tc>
        <w:tc>
          <w:tcPr>
            <w:tcW w:w="0" w:type="auto"/>
          </w:tcPr>
          <w:p w14:paraId="3307FAC5" w14:textId="50600403" w:rsidR="00455A02" w:rsidRPr="001427AF" w:rsidRDefault="009E70BB" w:rsidP="003D517D">
            <w:pPr>
              <w:pStyle w:val="BodyText"/>
              <w:spacing w:after="0" w:line="240" w:lineRule="auto"/>
              <w:contextualSpacing/>
              <w:jc w:val="left"/>
              <w:rPr>
                <w:rFonts w:ascii="Arial" w:hAnsi="Arial" w:cs="Arial"/>
                <w:sz w:val="20"/>
              </w:rPr>
            </w:pPr>
            <w:r w:rsidRPr="001427AF">
              <w:rPr>
                <w:rFonts w:ascii="Arial" w:hAnsi="Arial" w:cs="Arial"/>
                <w:sz w:val="20"/>
              </w:rPr>
              <w:t xml:space="preserve">A new accountability model </w:t>
            </w:r>
            <w:proofErr w:type="gramStart"/>
            <w:r w:rsidRPr="001427AF">
              <w:rPr>
                <w:rFonts w:ascii="Arial" w:hAnsi="Arial" w:cs="Arial"/>
                <w:sz w:val="20"/>
              </w:rPr>
              <w:t>was</w:t>
            </w:r>
            <w:proofErr w:type="gramEnd"/>
            <w:r w:rsidRPr="001427AF">
              <w:rPr>
                <w:rFonts w:ascii="Arial" w:hAnsi="Arial" w:cs="Arial"/>
                <w:sz w:val="20"/>
              </w:rPr>
              <w:t xml:space="preserve"> implemented. </w:t>
            </w:r>
          </w:p>
        </w:tc>
      </w:tr>
      <w:tr w:rsidR="00455A02" w:rsidRPr="001427AF" w14:paraId="026B79D7" w14:textId="77777777" w:rsidTr="007F5128">
        <w:trPr>
          <w:trHeight w:hRule="exact" w:val="720"/>
        </w:trPr>
        <w:tc>
          <w:tcPr>
            <w:tcW w:w="1106" w:type="dxa"/>
            <w:vAlign w:val="center"/>
          </w:tcPr>
          <w:p w14:paraId="55617F3E" w14:textId="1DCBB87D" w:rsidR="00455A02" w:rsidRPr="001427AF" w:rsidRDefault="009E70BB" w:rsidP="00A1294A">
            <w:pPr>
              <w:pStyle w:val="BodyText"/>
              <w:spacing w:line="240" w:lineRule="auto"/>
              <w:contextualSpacing/>
              <w:jc w:val="left"/>
              <w:rPr>
                <w:rFonts w:ascii="Arial" w:hAnsi="Arial" w:cs="Arial"/>
                <w:sz w:val="20"/>
              </w:rPr>
            </w:pPr>
            <w:r w:rsidRPr="001427AF">
              <w:rPr>
                <w:rFonts w:ascii="Arial" w:hAnsi="Arial" w:cs="Arial"/>
                <w:sz w:val="20"/>
              </w:rPr>
              <w:t>2013</w:t>
            </w:r>
            <w:r w:rsidR="00A075D1" w:rsidRPr="001427AF">
              <w:rPr>
                <w:rFonts w:ascii="Arial" w:hAnsi="Arial" w:cs="Arial"/>
                <w:sz w:val="20"/>
              </w:rPr>
              <w:t>–</w:t>
            </w:r>
            <w:r w:rsidRPr="001427AF">
              <w:rPr>
                <w:rFonts w:ascii="Arial" w:hAnsi="Arial" w:cs="Arial"/>
                <w:sz w:val="20"/>
              </w:rPr>
              <w:t>1</w:t>
            </w:r>
            <w:r w:rsidR="00D01E86" w:rsidRPr="001427AF">
              <w:rPr>
                <w:rFonts w:ascii="Arial" w:hAnsi="Arial" w:cs="Arial"/>
                <w:sz w:val="20"/>
              </w:rPr>
              <w:t>7</w:t>
            </w:r>
          </w:p>
        </w:tc>
        <w:tc>
          <w:tcPr>
            <w:tcW w:w="0" w:type="auto"/>
          </w:tcPr>
          <w:p w14:paraId="185B5228" w14:textId="6D37729D" w:rsidR="00455A02" w:rsidRPr="001427AF" w:rsidRDefault="00AC70BE" w:rsidP="00A1294A">
            <w:pPr>
              <w:pStyle w:val="BodyText"/>
              <w:spacing w:line="240" w:lineRule="auto"/>
              <w:contextualSpacing/>
              <w:jc w:val="left"/>
              <w:rPr>
                <w:rFonts w:ascii="Arial" w:hAnsi="Arial" w:cs="Arial"/>
                <w:sz w:val="20"/>
              </w:rPr>
            </w:pPr>
            <w:r w:rsidRPr="001427AF">
              <w:rPr>
                <w:rFonts w:ascii="Arial" w:hAnsi="Arial" w:cs="Arial"/>
                <w:sz w:val="20"/>
              </w:rPr>
              <w:t>All schools have received school performance grades (A</w:t>
            </w:r>
            <w:r w:rsidR="00A075D1" w:rsidRPr="001427AF">
              <w:rPr>
                <w:rFonts w:ascii="Arial" w:hAnsi="Arial" w:cs="Arial"/>
                <w:sz w:val="20"/>
              </w:rPr>
              <w:t>–</w:t>
            </w:r>
            <w:r w:rsidRPr="001427AF">
              <w:rPr>
                <w:rFonts w:ascii="Arial" w:hAnsi="Arial" w:cs="Arial"/>
                <w:sz w:val="20"/>
              </w:rPr>
              <w:t xml:space="preserve">F), with the addition of English </w:t>
            </w:r>
            <w:r w:rsidR="00BA19FB" w:rsidRPr="001427AF">
              <w:rPr>
                <w:rFonts w:ascii="Arial" w:hAnsi="Arial" w:cs="Arial"/>
                <w:sz w:val="20"/>
              </w:rPr>
              <w:t>L</w:t>
            </w:r>
            <w:r w:rsidRPr="001427AF">
              <w:rPr>
                <w:rFonts w:ascii="Arial" w:hAnsi="Arial" w:cs="Arial"/>
                <w:sz w:val="20"/>
              </w:rPr>
              <w:t xml:space="preserve">earner’s </w:t>
            </w:r>
            <w:r w:rsidR="00BA19FB" w:rsidRPr="001427AF">
              <w:rPr>
                <w:rFonts w:ascii="Arial" w:hAnsi="Arial" w:cs="Arial"/>
                <w:sz w:val="20"/>
              </w:rPr>
              <w:t>P</w:t>
            </w:r>
            <w:r w:rsidRPr="001427AF">
              <w:rPr>
                <w:rFonts w:ascii="Arial" w:hAnsi="Arial" w:cs="Arial"/>
                <w:sz w:val="20"/>
              </w:rPr>
              <w:t xml:space="preserve">rogress and adjustments to some high school indicators in 2017 to ensure compliance with </w:t>
            </w:r>
            <w:proofErr w:type="gramStart"/>
            <w:r w:rsidRPr="001427AF">
              <w:rPr>
                <w:rFonts w:ascii="Arial" w:hAnsi="Arial" w:cs="Arial"/>
                <w:sz w:val="20"/>
              </w:rPr>
              <w:t xml:space="preserve">the </w:t>
            </w:r>
            <w:r w:rsidRPr="001427AF">
              <w:rPr>
                <w:rFonts w:ascii="Arial" w:hAnsi="Arial" w:cs="Arial"/>
                <w:i/>
                <w:sz w:val="20"/>
              </w:rPr>
              <w:t>Every</w:t>
            </w:r>
            <w:proofErr w:type="gramEnd"/>
            <w:r w:rsidRPr="001427AF">
              <w:rPr>
                <w:rFonts w:ascii="Arial" w:hAnsi="Arial" w:cs="Arial"/>
                <w:i/>
                <w:sz w:val="20"/>
              </w:rPr>
              <w:t xml:space="preserve"> Student Succeeds Act</w:t>
            </w:r>
            <w:r w:rsidRPr="001427AF">
              <w:rPr>
                <w:rFonts w:ascii="Arial" w:hAnsi="Arial" w:cs="Arial"/>
                <w:sz w:val="20"/>
              </w:rPr>
              <w:t xml:space="preserve"> (ESSA).</w:t>
            </w:r>
          </w:p>
        </w:tc>
      </w:tr>
      <w:tr w:rsidR="00013E62" w:rsidRPr="001427AF" w14:paraId="76BF897D" w14:textId="77777777" w:rsidTr="007F5128">
        <w:trPr>
          <w:trHeight w:hRule="exact" w:val="460"/>
        </w:trPr>
        <w:tc>
          <w:tcPr>
            <w:tcW w:w="1106" w:type="dxa"/>
            <w:vAlign w:val="center"/>
          </w:tcPr>
          <w:p w14:paraId="62293BE2" w14:textId="4AADBA0E" w:rsidR="00013E62" w:rsidRPr="001427AF" w:rsidRDefault="0030139A" w:rsidP="00A1294A">
            <w:pPr>
              <w:pStyle w:val="BodyText"/>
              <w:spacing w:line="240" w:lineRule="auto"/>
              <w:contextualSpacing/>
              <w:jc w:val="left"/>
              <w:rPr>
                <w:rFonts w:ascii="Arial" w:hAnsi="Arial" w:cs="Arial"/>
                <w:sz w:val="20"/>
              </w:rPr>
            </w:pPr>
            <w:r w:rsidRPr="001427AF">
              <w:rPr>
                <w:rFonts w:ascii="Arial" w:hAnsi="Arial" w:cs="Arial"/>
                <w:sz w:val="20"/>
              </w:rPr>
              <w:t>2018</w:t>
            </w:r>
            <w:r w:rsidR="00A075D1" w:rsidRPr="001427AF">
              <w:rPr>
                <w:rFonts w:ascii="Arial" w:hAnsi="Arial" w:cs="Arial"/>
                <w:sz w:val="20"/>
              </w:rPr>
              <w:t>–</w:t>
            </w:r>
            <w:r w:rsidRPr="001427AF">
              <w:rPr>
                <w:rFonts w:ascii="Arial" w:hAnsi="Arial" w:cs="Arial"/>
                <w:sz w:val="20"/>
              </w:rPr>
              <w:t>20</w:t>
            </w:r>
          </w:p>
        </w:tc>
        <w:tc>
          <w:tcPr>
            <w:tcW w:w="0" w:type="auto"/>
          </w:tcPr>
          <w:p w14:paraId="62EB44E9" w14:textId="51579460" w:rsidR="00013E62" w:rsidRPr="001427AF" w:rsidRDefault="00013E62" w:rsidP="00A1294A">
            <w:pPr>
              <w:pStyle w:val="BodyText"/>
              <w:spacing w:line="240" w:lineRule="auto"/>
              <w:contextualSpacing/>
              <w:jc w:val="left"/>
              <w:rPr>
                <w:rFonts w:ascii="Arial" w:hAnsi="Arial" w:cs="Arial"/>
                <w:sz w:val="20"/>
              </w:rPr>
            </w:pPr>
            <w:r w:rsidRPr="001427AF">
              <w:rPr>
                <w:rFonts w:ascii="Arial" w:hAnsi="Arial" w:cs="Arial"/>
                <w:color w:val="000000"/>
                <w:sz w:val="20"/>
                <w:shd w:val="clear" w:color="auto" w:fill="FFFFFF"/>
              </w:rPr>
              <w:t>The US Department of Education (USED) approved North Carolina’s plan under the ESSA June 5, 2018</w:t>
            </w:r>
            <w:r w:rsidR="00384CE7" w:rsidRPr="001427AF">
              <w:rPr>
                <w:rFonts w:ascii="Arial" w:hAnsi="Arial" w:cs="Arial"/>
                <w:color w:val="000000"/>
                <w:sz w:val="20"/>
                <w:shd w:val="clear" w:color="auto" w:fill="FFFFFF"/>
              </w:rPr>
              <w:t>,</w:t>
            </w:r>
            <w:r w:rsidRPr="001427AF">
              <w:rPr>
                <w:rFonts w:ascii="Arial" w:hAnsi="Arial" w:cs="Arial"/>
                <w:color w:val="000000"/>
                <w:sz w:val="20"/>
                <w:shd w:val="clear" w:color="auto" w:fill="FFFFFF"/>
              </w:rPr>
              <w:t xml:space="preserve"> and approved an amendment to the plan June 16, 2020. </w:t>
            </w:r>
          </w:p>
        </w:tc>
      </w:tr>
      <w:tr w:rsidR="0083789D" w:rsidRPr="001427AF" w14:paraId="4405C555" w14:textId="77777777" w:rsidTr="007F5128">
        <w:trPr>
          <w:trHeight w:hRule="exact" w:val="964"/>
        </w:trPr>
        <w:tc>
          <w:tcPr>
            <w:tcW w:w="1106" w:type="dxa"/>
            <w:vAlign w:val="center"/>
          </w:tcPr>
          <w:p w14:paraId="12DBDABA" w14:textId="27E3F8EC" w:rsidR="0083789D" w:rsidRPr="001427AF" w:rsidRDefault="0083789D" w:rsidP="00A1294A">
            <w:pPr>
              <w:pStyle w:val="BodyText"/>
              <w:spacing w:line="240" w:lineRule="auto"/>
              <w:contextualSpacing/>
              <w:jc w:val="left"/>
              <w:rPr>
                <w:rFonts w:ascii="Arial" w:hAnsi="Arial" w:cs="Arial"/>
                <w:sz w:val="20"/>
              </w:rPr>
            </w:pPr>
            <w:r w:rsidRPr="001427AF">
              <w:rPr>
                <w:rFonts w:ascii="Arial" w:hAnsi="Arial" w:cs="Arial"/>
                <w:sz w:val="20"/>
              </w:rPr>
              <w:t>2019</w:t>
            </w:r>
            <w:r w:rsidR="00A075D1" w:rsidRPr="001427AF">
              <w:rPr>
                <w:rFonts w:ascii="Arial" w:hAnsi="Arial" w:cs="Arial"/>
                <w:sz w:val="20"/>
              </w:rPr>
              <w:t>–</w:t>
            </w:r>
            <w:r w:rsidR="00CD26CA" w:rsidRPr="001427AF">
              <w:rPr>
                <w:rFonts w:ascii="Arial" w:hAnsi="Arial" w:cs="Arial"/>
                <w:sz w:val="20"/>
              </w:rPr>
              <w:t>21</w:t>
            </w:r>
          </w:p>
        </w:tc>
        <w:tc>
          <w:tcPr>
            <w:tcW w:w="0" w:type="auto"/>
          </w:tcPr>
          <w:p w14:paraId="7B735B0A" w14:textId="6FD14B99" w:rsidR="00650C7C" w:rsidRPr="001427AF" w:rsidRDefault="00A028D9" w:rsidP="00A1294A">
            <w:pPr>
              <w:pStyle w:val="BodyText"/>
              <w:spacing w:line="240" w:lineRule="auto"/>
              <w:contextualSpacing/>
              <w:jc w:val="left"/>
              <w:rPr>
                <w:rFonts w:ascii="Arial" w:hAnsi="Arial" w:cs="Arial"/>
                <w:color w:val="000000"/>
                <w:sz w:val="20"/>
                <w:shd w:val="clear" w:color="auto" w:fill="FFFFFF"/>
              </w:rPr>
            </w:pPr>
            <w:r w:rsidRPr="001427AF">
              <w:rPr>
                <w:rFonts w:ascii="Arial" w:hAnsi="Arial" w:cs="Arial"/>
                <w:color w:val="000000"/>
                <w:sz w:val="20"/>
                <w:shd w:val="clear" w:color="auto" w:fill="FFFFFF"/>
              </w:rPr>
              <w:t>Due to</w:t>
            </w:r>
            <w:r w:rsidR="00A075D1" w:rsidRPr="001427AF">
              <w:rPr>
                <w:rFonts w:ascii="Arial" w:hAnsi="Arial" w:cs="Arial"/>
                <w:color w:val="000000"/>
                <w:sz w:val="20"/>
                <w:shd w:val="clear" w:color="auto" w:fill="FFFFFF"/>
              </w:rPr>
              <w:t xml:space="preserve"> the</w:t>
            </w:r>
            <w:r w:rsidRPr="001427AF">
              <w:rPr>
                <w:rFonts w:ascii="Arial" w:hAnsi="Arial" w:cs="Arial"/>
                <w:color w:val="000000"/>
                <w:sz w:val="20"/>
                <w:shd w:val="clear" w:color="auto" w:fill="FFFFFF"/>
              </w:rPr>
              <w:t xml:space="preserve"> </w:t>
            </w:r>
            <w:r w:rsidR="00C761AF" w:rsidRPr="001427AF">
              <w:rPr>
                <w:rFonts w:ascii="Arial" w:hAnsi="Arial" w:cs="Arial"/>
                <w:color w:val="000000"/>
                <w:sz w:val="20"/>
                <w:shd w:val="clear" w:color="auto" w:fill="FFFFFF"/>
              </w:rPr>
              <w:t xml:space="preserve">impact of </w:t>
            </w:r>
            <w:r w:rsidRPr="001427AF">
              <w:rPr>
                <w:rFonts w:ascii="Arial" w:hAnsi="Arial" w:cs="Arial"/>
                <w:color w:val="000000"/>
                <w:sz w:val="20"/>
                <w:shd w:val="clear" w:color="auto" w:fill="FFFFFF"/>
              </w:rPr>
              <w:t>COVID-1</w:t>
            </w:r>
            <w:r w:rsidR="00C761AF" w:rsidRPr="001427AF">
              <w:rPr>
                <w:rFonts w:ascii="Arial" w:hAnsi="Arial" w:cs="Arial"/>
                <w:color w:val="000000"/>
                <w:sz w:val="20"/>
                <w:shd w:val="clear" w:color="auto" w:fill="FFFFFF"/>
              </w:rPr>
              <w:t>9, t</w:t>
            </w:r>
            <w:r w:rsidR="0083789D" w:rsidRPr="001427AF">
              <w:rPr>
                <w:rFonts w:ascii="Arial" w:hAnsi="Arial" w:cs="Arial"/>
                <w:color w:val="000000"/>
                <w:sz w:val="20"/>
                <w:shd w:val="clear" w:color="auto" w:fill="FFFFFF"/>
              </w:rPr>
              <w:t>he USED an</w:t>
            </w:r>
            <w:r w:rsidR="00DB481B" w:rsidRPr="001427AF">
              <w:rPr>
                <w:rFonts w:ascii="Arial" w:hAnsi="Arial" w:cs="Arial"/>
                <w:color w:val="000000"/>
                <w:sz w:val="20"/>
                <w:shd w:val="clear" w:color="auto" w:fill="FFFFFF"/>
              </w:rPr>
              <w:t>d</w:t>
            </w:r>
            <w:r w:rsidR="0083789D" w:rsidRPr="001427AF">
              <w:rPr>
                <w:rFonts w:ascii="Arial" w:hAnsi="Arial" w:cs="Arial"/>
                <w:color w:val="000000"/>
                <w:sz w:val="20"/>
                <w:shd w:val="clear" w:color="auto" w:fill="FFFFFF"/>
              </w:rPr>
              <w:t xml:space="preserve"> </w:t>
            </w:r>
            <w:r w:rsidR="00CD26CA" w:rsidRPr="001427AF">
              <w:rPr>
                <w:rFonts w:ascii="Arial" w:hAnsi="Arial" w:cs="Arial"/>
                <w:color w:val="000000"/>
                <w:sz w:val="20"/>
                <w:shd w:val="clear" w:color="auto" w:fill="FFFFFF"/>
              </w:rPr>
              <w:t>General Assembly waived</w:t>
            </w:r>
            <w:r w:rsidR="00DB481B" w:rsidRPr="001427AF">
              <w:rPr>
                <w:rFonts w:ascii="Arial" w:hAnsi="Arial" w:cs="Arial"/>
                <w:color w:val="000000"/>
                <w:sz w:val="20"/>
                <w:shd w:val="clear" w:color="auto" w:fill="FFFFFF"/>
              </w:rPr>
              <w:t xml:space="preserve"> testing and </w:t>
            </w:r>
            <w:r w:rsidR="00CD26CA" w:rsidRPr="001427AF">
              <w:rPr>
                <w:rFonts w:ascii="Arial" w:hAnsi="Arial" w:cs="Arial"/>
                <w:color w:val="000000"/>
                <w:sz w:val="20"/>
                <w:shd w:val="clear" w:color="auto" w:fill="FFFFFF"/>
              </w:rPr>
              <w:t xml:space="preserve">accountability reporting </w:t>
            </w:r>
            <w:r w:rsidR="00C761AF" w:rsidRPr="001427AF">
              <w:rPr>
                <w:rFonts w:ascii="Arial" w:hAnsi="Arial" w:cs="Arial"/>
                <w:color w:val="000000"/>
                <w:sz w:val="20"/>
                <w:shd w:val="clear" w:color="auto" w:fill="FFFFFF"/>
              </w:rPr>
              <w:t xml:space="preserve">in </w:t>
            </w:r>
            <w:r w:rsidR="00CD26CA" w:rsidRPr="001427AF">
              <w:rPr>
                <w:rFonts w:ascii="Arial" w:hAnsi="Arial" w:cs="Arial"/>
                <w:color w:val="000000"/>
                <w:sz w:val="20"/>
                <w:shd w:val="clear" w:color="auto" w:fill="FFFFFF"/>
              </w:rPr>
              <w:t>the</w:t>
            </w:r>
            <w:r w:rsidR="00DB481B" w:rsidRPr="001427AF">
              <w:rPr>
                <w:rFonts w:ascii="Arial" w:hAnsi="Arial" w:cs="Arial"/>
                <w:color w:val="000000"/>
                <w:sz w:val="20"/>
                <w:shd w:val="clear" w:color="auto" w:fill="FFFFFF"/>
              </w:rPr>
              <w:t xml:space="preserve"> </w:t>
            </w:r>
            <w:r w:rsidR="00247DDA" w:rsidRPr="001427AF">
              <w:rPr>
                <w:rFonts w:ascii="Arial" w:hAnsi="Arial" w:cs="Arial"/>
                <w:color w:val="000000"/>
                <w:sz w:val="20"/>
                <w:shd w:val="clear" w:color="auto" w:fill="FFFFFF"/>
              </w:rPr>
              <w:t xml:space="preserve">spring of </w:t>
            </w:r>
            <w:r w:rsidR="00DB481B" w:rsidRPr="001427AF">
              <w:rPr>
                <w:rFonts w:ascii="Arial" w:hAnsi="Arial" w:cs="Arial"/>
                <w:color w:val="000000"/>
                <w:sz w:val="20"/>
                <w:shd w:val="clear" w:color="auto" w:fill="FFFFFF"/>
              </w:rPr>
              <w:t>2019</w:t>
            </w:r>
            <w:r w:rsidR="00A075D1" w:rsidRPr="001427AF">
              <w:rPr>
                <w:rFonts w:ascii="Arial" w:hAnsi="Arial" w:cs="Arial"/>
                <w:color w:val="000000"/>
                <w:sz w:val="20"/>
                <w:shd w:val="clear" w:color="auto" w:fill="FFFFFF"/>
              </w:rPr>
              <w:t>–</w:t>
            </w:r>
            <w:r w:rsidR="00247DDA" w:rsidRPr="001427AF">
              <w:rPr>
                <w:rFonts w:ascii="Arial" w:hAnsi="Arial" w:cs="Arial"/>
                <w:color w:val="000000"/>
                <w:sz w:val="20"/>
                <w:shd w:val="clear" w:color="auto" w:fill="FFFFFF"/>
              </w:rPr>
              <w:t xml:space="preserve">20. </w:t>
            </w:r>
          </w:p>
          <w:p w14:paraId="745F03AA" w14:textId="77777777" w:rsidR="00650C7C" w:rsidRPr="001427AF" w:rsidRDefault="00650C7C" w:rsidP="00A1294A">
            <w:pPr>
              <w:pStyle w:val="BodyText"/>
              <w:spacing w:line="240" w:lineRule="auto"/>
              <w:contextualSpacing/>
              <w:jc w:val="left"/>
              <w:rPr>
                <w:rFonts w:ascii="Arial" w:hAnsi="Arial" w:cs="Arial"/>
                <w:color w:val="000000"/>
                <w:sz w:val="20"/>
                <w:shd w:val="clear" w:color="auto" w:fill="FFFFFF"/>
              </w:rPr>
            </w:pPr>
          </w:p>
          <w:p w14:paraId="1762CAAB" w14:textId="1C25E215" w:rsidR="0083789D" w:rsidRPr="001427AF" w:rsidRDefault="00FB0E7A" w:rsidP="00A1294A">
            <w:pPr>
              <w:pStyle w:val="BodyText"/>
              <w:spacing w:line="240" w:lineRule="auto"/>
              <w:contextualSpacing/>
              <w:jc w:val="left"/>
              <w:rPr>
                <w:rFonts w:ascii="Arial" w:hAnsi="Arial" w:cs="Arial"/>
                <w:color w:val="000000"/>
                <w:sz w:val="20"/>
                <w:shd w:val="clear" w:color="auto" w:fill="FFFFFF"/>
              </w:rPr>
            </w:pPr>
            <w:r w:rsidRPr="001427AF">
              <w:rPr>
                <w:rFonts w:ascii="Arial" w:hAnsi="Arial" w:cs="Arial"/>
                <w:color w:val="000000"/>
                <w:sz w:val="20"/>
                <w:shd w:val="clear" w:color="auto" w:fill="FFFFFF"/>
              </w:rPr>
              <w:t>In the 2020</w:t>
            </w:r>
            <w:r w:rsidR="00A075D1" w:rsidRPr="001427AF">
              <w:rPr>
                <w:rFonts w:ascii="Arial" w:hAnsi="Arial" w:cs="Arial"/>
                <w:color w:val="000000"/>
                <w:sz w:val="20"/>
                <w:shd w:val="clear" w:color="auto" w:fill="FFFFFF"/>
              </w:rPr>
              <w:t>–</w:t>
            </w:r>
            <w:r w:rsidRPr="001427AF">
              <w:rPr>
                <w:rFonts w:ascii="Arial" w:hAnsi="Arial" w:cs="Arial"/>
                <w:color w:val="000000"/>
                <w:sz w:val="20"/>
                <w:shd w:val="clear" w:color="auto" w:fill="FFFFFF"/>
              </w:rPr>
              <w:t xml:space="preserve">21 </w:t>
            </w:r>
            <w:r w:rsidR="00247DDA" w:rsidRPr="001427AF">
              <w:rPr>
                <w:rFonts w:ascii="Arial" w:hAnsi="Arial" w:cs="Arial"/>
                <w:color w:val="000000"/>
                <w:sz w:val="20"/>
                <w:shd w:val="clear" w:color="auto" w:fill="FFFFFF"/>
              </w:rPr>
              <w:t>school year</w:t>
            </w:r>
            <w:r w:rsidRPr="001427AF">
              <w:rPr>
                <w:rFonts w:ascii="Arial" w:hAnsi="Arial" w:cs="Arial"/>
                <w:color w:val="000000"/>
                <w:sz w:val="20"/>
                <w:shd w:val="clear" w:color="auto" w:fill="FFFFFF"/>
              </w:rPr>
              <w:t xml:space="preserve">, accountability reporting was also waived. </w:t>
            </w:r>
          </w:p>
        </w:tc>
      </w:tr>
      <w:tr w:rsidR="00013E62" w:rsidRPr="001427AF" w14:paraId="1F1FEC1B" w14:textId="77777777" w:rsidTr="007F5128">
        <w:trPr>
          <w:trHeight w:hRule="exact" w:val="739"/>
        </w:trPr>
        <w:tc>
          <w:tcPr>
            <w:tcW w:w="1106" w:type="dxa"/>
            <w:vAlign w:val="center"/>
          </w:tcPr>
          <w:p w14:paraId="7F5B33C3" w14:textId="5EACF581" w:rsidR="00013E62" w:rsidRPr="001427AF" w:rsidRDefault="009F4A05" w:rsidP="00A1294A">
            <w:pPr>
              <w:pStyle w:val="BodyText"/>
              <w:spacing w:line="240" w:lineRule="auto"/>
              <w:contextualSpacing/>
              <w:jc w:val="left"/>
              <w:rPr>
                <w:rFonts w:ascii="Arial" w:hAnsi="Arial" w:cs="Arial"/>
                <w:sz w:val="20"/>
              </w:rPr>
            </w:pPr>
            <w:r w:rsidRPr="001427AF">
              <w:rPr>
                <w:rFonts w:ascii="Arial" w:hAnsi="Arial" w:cs="Arial"/>
                <w:sz w:val="20"/>
              </w:rPr>
              <w:t>2021–</w:t>
            </w:r>
            <w:r w:rsidR="0030139A" w:rsidRPr="001427AF">
              <w:rPr>
                <w:rFonts w:ascii="Arial" w:hAnsi="Arial" w:cs="Arial"/>
                <w:sz w:val="20"/>
              </w:rPr>
              <w:t>Current</w:t>
            </w:r>
          </w:p>
        </w:tc>
        <w:tc>
          <w:tcPr>
            <w:tcW w:w="0" w:type="auto"/>
          </w:tcPr>
          <w:p w14:paraId="68DDC6C9" w14:textId="2E9F4CC9" w:rsidR="00013E62" w:rsidRPr="001427AF" w:rsidRDefault="0030139A" w:rsidP="00A1294A">
            <w:pPr>
              <w:pStyle w:val="BodyText"/>
              <w:spacing w:line="240" w:lineRule="auto"/>
              <w:contextualSpacing/>
              <w:jc w:val="left"/>
              <w:rPr>
                <w:rFonts w:ascii="Arial" w:hAnsi="Arial" w:cs="Arial"/>
                <w:sz w:val="20"/>
              </w:rPr>
            </w:pPr>
            <w:r w:rsidRPr="001427AF">
              <w:rPr>
                <w:rFonts w:ascii="Arial" w:hAnsi="Arial" w:cs="Arial"/>
                <w:color w:val="000000"/>
                <w:sz w:val="20"/>
                <w:shd w:val="clear" w:color="auto" w:fill="FFFFFF"/>
              </w:rPr>
              <w:t xml:space="preserve">The state plan continues the School Performance Grades model for school identification under ESSA, in which schools earn </w:t>
            </w:r>
            <w:r w:rsidR="00CC510C" w:rsidRPr="001427AF">
              <w:rPr>
                <w:rFonts w:ascii="Arial" w:hAnsi="Arial" w:cs="Arial"/>
                <w:color w:val="000000"/>
                <w:sz w:val="20"/>
                <w:shd w:val="clear" w:color="auto" w:fill="FFFFFF"/>
              </w:rPr>
              <w:t>grades (</w:t>
            </w:r>
            <w:r w:rsidRPr="001427AF">
              <w:rPr>
                <w:rFonts w:ascii="Arial" w:hAnsi="Arial" w:cs="Arial"/>
                <w:color w:val="000000"/>
                <w:sz w:val="20"/>
                <w:shd w:val="clear" w:color="auto" w:fill="FFFFFF"/>
              </w:rPr>
              <w:t>A</w:t>
            </w:r>
            <w:r w:rsidR="00433BA5" w:rsidRPr="001427AF">
              <w:rPr>
                <w:rFonts w:ascii="Arial" w:hAnsi="Arial" w:cs="Arial"/>
                <w:color w:val="000000"/>
                <w:sz w:val="20"/>
                <w:shd w:val="clear" w:color="auto" w:fill="FFFFFF"/>
              </w:rPr>
              <w:t>–</w:t>
            </w:r>
            <w:r w:rsidRPr="001427AF">
              <w:rPr>
                <w:rFonts w:ascii="Arial" w:hAnsi="Arial" w:cs="Arial"/>
                <w:color w:val="000000"/>
                <w:sz w:val="20"/>
                <w:shd w:val="clear" w:color="auto" w:fill="FFFFFF"/>
              </w:rPr>
              <w:t>F</w:t>
            </w:r>
            <w:r w:rsidR="00CC510C" w:rsidRPr="001427AF">
              <w:rPr>
                <w:rFonts w:ascii="Arial" w:hAnsi="Arial" w:cs="Arial"/>
                <w:color w:val="000000"/>
                <w:sz w:val="20"/>
                <w:shd w:val="clear" w:color="auto" w:fill="FFFFFF"/>
              </w:rPr>
              <w:t xml:space="preserve">) </w:t>
            </w:r>
            <w:r w:rsidRPr="001427AF">
              <w:rPr>
                <w:rFonts w:ascii="Arial" w:hAnsi="Arial" w:cs="Arial"/>
                <w:color w:val="000000"/>
                <w:sz w:val="20"/>
                <w:shd w:val="clear" w:color="auto" w:fill="FFFFFF"/>
              </w:rPr>
              <w:t xml:space="preserve">based on proficiency measures and student-growth targets as required by </w:t>
            </w:r>
            <w:hyperlink r:id="rId13" w:history="1">
              <w:r w:rsidRPr="001427AF">
                <w:rPr>
                  <w:rStyle w:val="Hyperlink"/>
                  <w:rFonts w:ascii="Arial" w:hAnsi="Arial" w:cs="Arial"/>
                  <w:sz w:val="20"/>
                </w:rPr>
                <w:t>G.S. §115C-83.16</w:t>
              </w:r>
            </w:hyperlink>
            <w:r w:rsidRPr="001427AF">
              <w:rPr>
                <w:rFonts w:ascii="Arial" w:hAnsi="Arial" w:cs="Arial"/>
                <w:color w:val="000000"/>
                <w:sz w:val="20"/>
                <w:shd w:val="clear" w:color="auto" w:fill="FFFFFF"/>
              </w:rPr>
              <w:t>.</w:t>
            </w:r>
          </w:p>
        </w:tc>
      </w:tr>
    </w:tbl>
    <w:p w14:paraId="79DEC66B" w14:textId="77777777" w:rsidR="00DD3AB6" w:rsidRPr="001427AF" w:rsidRDefault="00DD3AB6">
      <w:pPr>
        <w:spacing w:line="240" w:lineRule="auto"/>
        <w:rPr>
          <w:rFonts w:ascii="Arial" w:hAnsi="Arial" w:cs="Arial"/>
          <w:b/>
          <w:bCs/>
          <w:sz w:val="28"/>
          <w:szCs w:val="28"/>
          <w:shd w:val="clear" w:color="auto" w:fill="FFFFFF"/>
        </w:rPr>
      </w:pPr>
      <w:bookmarkStart w:id="2" w:name="Abbreviations"/>
      <w:r w:rsidRPr="001427AF">
        <w:rPr>
          <w:rFonts w:ascii="Arial" w:hAnsi="Arial" w:cs="Arial"/>
          <w:b/>
          <w:bCs/>
          <w:sz w:val="28"/>
          <w:szCs w:val="28"/>
          <w:shd w:val="clear" w:color="auto" w:fill="FFFFFF"/>
        </w:rPr>
        <w:br w:type="page"/>
      </w:r>
    </w:p>
    <w:p w14:paraId="77CF7465" w14:textId="04BDA139" w:rsidR="00F61034" w:rsidRPr="001427AF" w:rsidRDefault="002A67CC" w:rsidP="00682E92">
      <w:pPr>
        <w:rPr>
          <w:rFonts w:ascii="Arial" w:hAnsi="Arial" w:cs="Arial"/>
          <w:i/>
          <w:sz w:val="28"/>
          <w:szCs w:val="28"/>
          <w:shd w:val="clear" w:color="auto" w:fill="FFFFFF"/>
        </w:rPr>
      </w:pPr>
      <w:r w:rsidRPr="001427AF">
        <w:rPr>
          <w:rFonts w:ascii="Arial" w:hAnsi="Arial" w:cs="Arial"/>
          <w:i/>
          <w:sz w:val="28"/>
          <w:szCs w:val="28"/>
          <w:shd w:val="clear" w:color="auto" w:fill="FFFFFF"/>
        </w:rPr>
        <w:lastRenderedPageBreak/>
        <w:t>Abbreviations</w:t>
      </w:r>
    </w:p>
    <w:tbl>
      <w:tblPr>
        <w:tblW w:w="9367" w:type="dxa"/>
        <w:jc w:val="center"/>
        <w:tblBorders>
          <w:top w:val="outset" w:sz="6" w:space="0" w:color="auto"/>
          <w:left w:val="outset" w:sz="6" w:space="0" w:color="auto"/>
          <w:bottom w:val="outset" w:sz="6" w:space="0" w:color="auto"/>
          <w:right w:val="outset" w:sz="6" w:space="0" w:color="auto"/>
        </w:tblBorders>
        <w:tblCellMar>
          <w:left w:w="58" w:type="dxa"/>
          <w:right w:w="0" w:type="dxa"/>
        </w:tblCellMar>
        <w:tblLook w:val="04A0" w:firstRow="1" w:lastRow="0" w:firstColumn="1" w:lastColumn="0" w:noHBand="0" w:noVBand="1"/>
      </w:tblPr>
      <w:tblGrid>
        <w:gridCol w:w="1972"/>
        <w:gridCol w:w="7395"/>
      </w:tblGrid>
      <w:tr w:rsidR="00C105A4" w:rsidRPr="001427AF" w14:paraId="2AE89820" w14:textId="77777777" w:rsidTr="002815C9">
        <w:trPr>
          <w:trHeight w:val="282"/>
          <w:tblHeader/>
          <w:jc w:val="center"/>
        </w:trPr>
        <w:tc>
          <w:tcPr>
            <w:tcW w:w="1972" w:type="dxa"/>
            <w:tcBorders>
              <w:top w:val="single" w:sz="6" w:space="0" w:color="000000"/>
              <w:left w:val="single" w:sz="6" w:space="0" w:color="000000"/>
              <w:bottom w:val="single" w:sz="6" w:space="0" w:color="000000"/>
              <w:right w:val="single" w:sz="6" w:space="0" w:color="000000"/>
            </w:tcBorders>
            <w:shd w:val="clear" w:color="auto" w:fill="ACB9CA" w:themeFill="text2" w:themeFillTint="66"/>
            <w:hideMark/>
          </w:tcPr>
          <w:bookmarkEnd w:id="2"/>
          <w:p w14:paraId="267026DF" w14:textId="77777777" w:rsidR="00C105A4" w:rsidRPr="001427AF" w:rsidRDefault="00C105A4" w:rsidP="000D6E49">
            <w:pPr>
              <w:spacing w:line="240" w:lineRule="auto"/>
              <w:textAlignment w:val="baseline"/>
              <w:rPr>
                <w:rFonts w:ascii="Arial" w:hAnsi="Arial" w:cs="Arial"/>
                <w:color w:val="auto"/>
                <w:sz w:val="20"/>
              </w:rPr>
            </w:pPr>
            <w:r w:rsidRPr="001427AF">
              <w:rPr>
                <w:rFonts w:ascii="Arial" w:hAnsi="Arial" w:cs="Arial"/>
                <w:b/>
                <w:bCs/>
                <w:color w:val="auto"/>
                <w:sz w:val="20"/>
              </w:rPr>
              <w:t>Acronym</w:t>
            </w:r>
            <w:r w:rsidRPr="001427AF">
              <w:rPr>
                <w:rFonts w:ascii="Arial" w:hAnsi="Arial" w:cs="Arial"/>
                <w:color w:val="auto"/>
                <w:sz w:val="20"/>
              </w:rPr>
              <w:t> </w:t>
            </w:r>
          </w:p>
        </w:tc>
        <w:tc>
          <w:tcPr>
            <w:tcW w:w="7395" w:type="dxa"/>
            <w:tcBorders>
              <w:top w:val="single" w:sz="6" w:space="0" w:color="000000"/>
              <w:left w:val="nil"/>
              <w:bottom w:val="single" w:sz="6" w:space="0" w:color="000000"/>
              <w:right w:val="single" w:sz="6" w:space="0" w:color="000000"/>
            </w:tcBorders>
            <w:shd w:val="clear" w:color="auto" w:fill="ACB9CA" w:themeFill="text2" w:themeFillTint="66"/>
            <w:hideMark/>
          </w:tcPr>
          <w:p w14:paraId="379003A5" w14:textId="77777777" w:rsidR="00C105A4" w:rsidRPr="001427AF" w:rsidRDefault="00C105A4" w:rsidP="000D6E49">
            <w:pPr>
              <w:spacing w:line="240" w:lineRule="auto"/>
              <w:textAlignment w:val="baseline"/>
              <w:rPr>
                <w:rFonts w:ascii="Arial" w:hAnsi="Arial" w:cs="Arial"/>
                <w:color w:val="auto"/>
                <w:sz w:val="20"/>
              </w:rPr>
            </w:pPr>
            <w:r w:rsidRPr="001427AF">
              <w:rPr>
                <w:rFonts w:ascii="Arial" w:hAnsi="Arial" w:cs="Arial"/>
                <w:b/>
                <w:bCs/>
                <w:color w:val="auto"/>
                <w:sz w:val="20"/>
              </w:rPr>
              <w:t>Meaning</w:t>
            </w:r>
            <w:r w:rsidRPr="001427AF">
              <w:rPr>
                <w:rFonts w:ascii="Arial" w:hAnsi="Arial" w:cs="Arial"/>
                <w:color w:val="auto"/>
                <w:sz w:val="20"/>
              </w:rPr>
              <w:t> </w:t>
            </w:r>
          </w:p>
        </w:tc>
      </w:tr>
      <w:tr w:rsidR="002F16A5" w:rsidRPr="001427AF" w14:paraId="780706F8" w14:textId="77777777" w:rsidTr="002815C9">
        <w:trPr>
          <w:jc w:val="center"/>
        </w:trPr>
        <w:tc>
          <w:tcPr>
            <w:tcW w:w="1972" w:type="dxa"/>
            <w:tcBorders>
              <w:top w:val="nil"/>
              <w:left w:val="single" w:sz="6" w:space="0" w:color="000000"/>
              <w:bottom w:val="single" w:sz="6" w:space="0" w:color="000000"/>
              <w:right w:val="single" w:sz="6" w:space="0" w:color="000000"/>
            </w:tcBorders>
            <w:vAlign w:val="center"/>
          </w:tcPr>
          <w:p w14:paraId="409EBF1F" w14:textId="12829BC6" w:rsidR="002F16A5" w:rsidRPr="001427AF" w:rsidRDefault="00024955" w:rsidP="000D6E49">
            <w:pPr>
              <w:spacing w:line="240" w:lineRule="auto"/>
              <w:textAlignment w:val="baseline"/>
              <w:rPr>
                <w:rFonts w:ascii="Arial" w:hAnsi="Arial" w:cs="Arial"/>
                <w:color w:val="auto"/>
                <w:sz w:val="20"/>
              </w:rPr>
            </w:pPr>
            <w:r w:rsidRPr="001427AF">
              <w:rPr>
                <w:rFonts w:ascii="Arial" w:hAnsi="Arial" w:cs="Arial"/>
                <w:color w:val="auto"/>
                <w:sz w:val="20"/>
              </w:rPr>
              <w:t>10S</w:t>
            </w:r>
          </w:p>
        </w:tc>
        <w:tc>
          <w:tcPr>
            <w:tcW w:w="7395" w:type="dxa"/>
            <w:tcBorders>
              <w:top w:val="nil"/>
              <w:left w:val="nil"/>
              <w:bottom w:val="single" w:sz="6" w:space="0" w:color="000000"/>
              <w:right w:val="single" w:sz="6" w:space="0" w:color="000000"/>
            </w:tcBorders>
          </w:tcPr>
          <w:p w14:paraId="2516D571" w14:textId="59CFAEE7" w:rsidR="002F16A5" w:rsidRPr="001427AF" w:rsidRDefault="00024955" w:rsidP="000D6E49">
            <w:pPr>
              <w:spacing w:line="240" w:lineRule="auto"/>
              <w:textAlignment w:val="baseline"/>
              <w:rPr>
                <w:rFonts w:ascii="Arial" w:hAnsi="Arial" w:cs="Arial"/>
                <w:sz w:val="20"/>
              </w:rPr>
            </w:pPr>
            <w:r w:rsidRPr="001427AF">
              <w:rPr>
                <w:rFonts w:ascii="Arial" w:hAnsi="Arial" w:cs="Arial"/>
                <w:sz w:val="20"/>
              </w:rPr>
              <w:t>Tenth day of spring semester</w:t>
            </w:r>
          </w:p>
        </w:tc>
      </w:tr>
      <w:tr w:rsidR="00C105A4" w:rsidRPr="001427AF" w14:paraId="5FC2CF04" w14:textId="77777777" w:rsidTr="002815C9">
        <w:trPr>
          <w:jc w:val="center"/>
        </w:trPr>
        <w:tc>
          <w:tcPr>
            <w:tcW w:w="1972" w:type="dxa"/>
            <w:tcBorders>
              <w:top w:val="nil"/>
              <w:left w:val="single" w:sz="6" w:space="0" w:color="000000"/>
              <w:bottom w:val="single" w:sz="6" w:space="0" w:color="000000"/>
              <w:right w:val="single" w:sz="6" w:space="0" w:color="000000"/>
            </w:tcBorders>
            <w:vAlign w:val="center"/>
          </w:tcPr>
          <w:p w14:paraId="3820CC88" w14:textId="77777777" w:rsidR="00C105A4" w:rsidRPr="001427AF" w:rsidRDefault="00C105A4" w:rsidP="000D6E49">
            <w:pPr>
              <w:spacing w:line="240" w:lineRule="auto"/>
              <w:textAlignment w:val="baseline"/>
              <w:rPr>
                <w:rFonts w:ascii="Arial" w:hAnsi="Arial" w:cs="Arial"/>
                <w:color w:val="auto"/>
                <w:sz w:val="20"/>
              </w:rPr>
            </w:pPr>
            <w:r w:rsidRPr="001427AF">
              <w:rPr>
                <w:rFonts w:ascii="Arial" w:hAnsi="Arial" w:cs="Arial"/>
                <w:color w:val="auto"/>
                <w:sz w:val="20"/>
              </w:rPr>
              <w:t>AAA</w:t>
            </w:r>
          </w:p>
        </w:tc>
        <w:tc>
          <w:tcPr>
            <w:tcW w:w="7395" w:type="dxa"/>
            <w:tcBorders>
              <w:top w:val="nil"/>
              <w:left w:val="nil"/>
              <w:bottom w:val="single" w:sz="6" w:space="0" w:color="000000"/>
              <w:right w:val="single" w:sz="6" w:space="0" w:color="000000"/>
            </w:tcBorders>
          </w:tcPr>
          <w:p w14:paraId="5D534D21" w14:textId="655216AC" w:rsidR="00C105A4" w:rsidRPr="001427AF" w:rsidRDefault="00C105A4" w:rsidP="000D6E49">
            <w:pPr>
              <w:spacing w:line="240" w:lineRule="auto"/>
              <w:textAlignment w:val="baseline"/>
              <w:rPr>
                <w:rFonts w:ascii="Arial" w:hAnsi="Arial" w:cs="Arial"/>
                <w:color w:val="auto"/>
                <w:sz w:val="20"/>
              </w:rPr>
            </w:pPr>
            <w:r w:rsidRPr="001427AF" w:rsidDel="00A975BB">
              <w:rPr>
                <w:rFonts w:ascii="Arial" w:hAnsi="Arial" w:cs="Arial"/>
                <w:sz w:val="20"/>
              </w:rPr>
              <w:t xml:space="preserve">Academic </w:t>
            </w:r>
            <w:r w:rsidRPr="001427AF">
              <w:rPr>
                <w:rFonts w:ascii="Arial" w:hAnsi="Arial" w:cs="Arial"/>
                <w:sz w:val="20"/>
              </w:rPr>
              <w:t>Achievement Assessments</w:t>
            </w:r>
          </w:p>
        </w:tc>
      </w:tr>
      <w:tr w:rsidR="00F42BA2" w:rsidRPr="001427AF" w14:paraId="79B0BFC6" w14:textId="77777777" w:rsidTr="002815C9">
        <w:trPr>
          <w:jc w:val="center"/>
        </w:trPr>
        <w:tc>
          <w:tcPr>
            <w:tcW w:w="1972" w:type="dxa"/>
            <w:tcBorders>
              <w:top w:val="nil"/>
              <w:left w:val="single" w:sz="6" w:space="0" w:color="000000"/>
              <w:bottom w:val="single" w:sz="6" w:space="0" w:color="000000"/>
              <w:right w:val="single" w:sz="6" w:space="0" w:color="000000"/>
            </w:tcBorders>
            <w:vAlign w:val="center"/>
          </w:tcPr>
          <w:p w14:paraId="66CBCB16" w14:textId="64EC39B3"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AA-AAAS</w:t>
            </w:r>
          </w:p>
        </w:tc>
        <w:tc>
          <w:tcPr>
            <w:tcW w:w="7395" w:type="dxa"/>
            <w:tcBorders>
              <w:top w:val="nil"/>
              <w:left w:val="nil"/>
              <w:bottom w:val="single" w:sz="6" w:space="0" w:color="000000"/>
              <w:right w:val="single" w:sz="6" w:space="0" w:color="000000"/>
            </w:tcBorders>
          </w:tcPr>
          <w:p w14:paraId="333B0161" w14:textId="398EA927" w:rsidR="00F42BA2" w:rsidRPr="001427AF" w:rsidRDefault="00F42BA2" w:rsidP="00F42BA2">
            <w:pPr>
              <w:spacing w:line="240" w:lineRule="auto"/>
              <w:textAlignment w:val="baseline"/>
              <w:rPr>
                <w:rFonts w:ascii="Arial" w:hAnsi="Arial" w:cs="Arial"/>
                <w:sz w:val="20"/>
              </w:rPr>
            </w:pPr>
            <w:r w:rsidRPr="001427AF">
              <w:rPr>
                <w:rFonts w:ascii="Arial" w:hAnsi="Arial" w:cs="Arial"/>
                <w:color w:val="auto"/>
                <w:sz w:val="20"/>
              </w:rPr>
              <w:t xml:space="preserve">Alternate </w:t>
            </w:r>
            <w:r w:rsidR="00A975BB" w:rsidRPr="001427AF">
              <w:rPr>
                <w:rFonts w:ascii="Arial" w:hAnsi="Arial" w:cs="Arial"/>
                <w:color w:val="auto"/>
                <w:sz w:val="20"/>
              </w:rPr>
              <w:t xml:space="preserve">Academic </w:t>
            </w:r>
            <w:r w:rsidRPr="001427AF">
              <w:rPr>
                <w:rFonts w:ascii="Arial" w:hAnsi="Arial" w:cs="Arial"/>
                <w:color w:val="auto"/>
                <w:sz w:val="20"/>
              </w:rPr>
              <w:t>Achievement Standards</w:t>
            </w:r>
          </w:p>
        </w:tc>
      </w:tr>
      <w:tr w:rsidR="00F42BA2" w:rsidRPr="001427AF" w14:paraId="0665561E" w14:textId="77777777" w:rsidTr="002815C9">
        <w:trPr>
          <w:jc w:val="center"/>
        </w:trPr>
        <w:tc>
          <w:tcPr>
            <w:tcW w:w="1972" w:type="dxa"/>
            <w:tcBorders>
              <w:top w:val="nil"/>
              <w:left w:val="single" w:sz="6" w:space="0" w:color="000000"/>
              <w:bottom w:val="single" w:sz="6" w:space="0" w:color="000000"/>
              <w:right w:val="single" w:sz="6" w:space="0" w:color="000000"/>
            </w:tcBorders>
            <w:vAlign w:val="center"/>
          </w:tcPr>
          <w:p w14:paraId="07885E6F" w14:textId="556E69CF"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ABCs</w:t>
            </w:r>
          </w:p>
        </w:tc>
        <w:tc>
          <w:tcPr>
            <w:tcW w:w="7395" w:type="dxa"/>
            <w:tcBorders>
              <w:top w:val="nil"/>
              <w:left w:val="nil"/>
              <w:bottom w:val="single" w:sz="6" w:space="0" w:color="000000"/>
              <w:right w:val="single" w:sz="6" w:space="0" w:color="000000"/>
            </w:tcBorders>
          </w:tcPr>
          <w:p w14:paraId="159B6B05" w14:textId="389D54AF"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Accountability, Basics</w:t>
            </w:r>
            <w:r w:rsidR="00433BA5" w:rsidRPr="001427AF">
              <w:rPr>
                <w:rFonts w:ascii="Arial" w:hAnsi="Arial" w:cs="Arial"/>
                <w:color w:val="auto"/>
                <w:sz w:val="20"/>
              </w:rPr>
              <w:t>,</w:t>
            </w:r>
            <w:r w:rsidRPr="001427AF">
              <w:rPr>
                <w:rFonts w:ascii="Arial" w:hAnsi="Arial" w:cs="Arial"/>
                <w:color w:val="auto"/>
                <w:sz w:val="20"/>
              </w:rPr>
              <w:t xml:space="preserve"> and Local Control</w:t>
            </w:r>
          </w:p>
        </w:tc>
      </w:tr>
      <w:tr w:rsidR="00F42BA2" w:rsidRPr="001427AF" w14:paraId="2EE229A7" w14:textId="77777777" w:rsidTr="002815C9">
        <w:trPr>
          <w:jc w:val="center"/>
        </w:trPr>
        <w:tc>
          <w:tcPr>
            <w:tcW w:w="1972" w:type="dxa"/>
            <w:tcBorders>
              <w:top w:val="nil"/>
              <w:left w:val="single" w:sz="6" w:space="0" w:color="000000"/>
              <w:bottom w:val="single" w:sz="6" w:space="0" w:color="000000"/>
              <w:right w:val="single" w:sz="6" w:space="0" w:color="000000"/>
            </w:tcBorders>
            <w:vAlign w:val="center"/>
          </w:tcPr>
          <w:p w14:paraId="2E2CD27E" w14:textId="07DE059E"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ASMAS</w:t>
            </w:r>
          </w:p>
        </w:tc>
        <w:tc>
          <w:tcPr>
            <w:tcW w:w="7395" w:type="dxa"/>
            <w:tcBorders>
              <w:top w:val="nil"/>
              <w:left w:val="nil"/>
              <w:bottom w:val="single" w:sz="6" w:space="0" w:color="000000"/>
              <w:right w:val="single" w:sz="6" w:space="0" w:color="000000"/>
            </w:tcBorders>
          </w:tcPr>
          <w:p w14:paraId="0893F31C" w14:textId="3DB203A7"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Alternative Schools’ Modified Accountability System</w:t>
            </w:r>
          </w:p>
        </w:tc>
      </w:tr>
      <w:tr w:rsidR="00F42BA2" w:rsidRPr="001427AF" w14:paraId="4A074F51" w14:textId="77777777" w:rsidTr="002815C9">
        <w:trPr>
          <w:jc w:val="center"/>
        </w:trPr>
        <w:tc>
          <w:tcPr>
            <w:tcW w:w="1972" w:type="dxa"/>
            <w:tcBorders>
              <w:top w:val="nil"/>
              <w:left w:val="single" w:sz="6" w:space="0" w:color="000000"/>
              <w:bottom w:val="single" w:sz="6" w:space="0" w:color="000000"/>
              <w:right w:val="single" w:sz="6" w:space="0" w:color="000000"/>
            </w:tcBorders>
            <w:vAlign w:val="center"/>
            <w:hideMark/>
          </w:tcPr>
          <w:p w14:paraId="4F8CB919" w14:textId="77777777"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ACCESS for ELS 2.0 </w:t>
            </w:r>
          </w:p>
        </w:tc>
        <w:tc>
          <w:tcPr>
            <w:tcW w:w="7395" w:type="dxa"/>
            <w:tcBorders>
              <w:top w:val="nil"/>
              <w:left w:val="nil"/>
              <w:bottom w:val="single" w:sz="6" w:space="0" w:color="000000"/>
              <w:right w:val="single" w:sz="6" w:space="0" w:color="000000"/>
            </w:tcBorders>
            <w:hideMark/>
          </w:tcPr>
          <w:p w14:paraId="64A5DC75" w14:textId="4496A455" w:rsidR="00F42BA2" w:rsidRPr="001427AF" w:rsidRDefault="00F42BA2" w:rsidP="00F42BA2">
            <w:pPr>
              <w:spacing w:line="240" w:lineRule="auto"/>
              <w:textAlignment w:val="baseline"/>
              <w:rPr>
                <w:rFonts w:ascii="Arial" w:hAnsi="Arial" w:cs="Arial"/>
                <w:color w:val="auto"/>
                <w:sz w:val="20"/>
              </w:rPr>
            </w:pPr>
            <w:bookmarkStart w:id="3" w:name="_Hlk59441400"/>
            <w:r w:rsidRPr="001427AF">
              <w:rPr>
                <w:rFonts w:ascii="Arial" w:hAnsi="Arial" w:cs="Arial"/>
                <w:color w:val="auto"/>
                <w:sz w:val="20"/>
              </w:rPr>
              <w:t xml:space="preserve">Accessing Comprehension and Communication in English State-to-State </w:t>
            </w:r>
            <w:bookmarkEnd w:id="3"/>
            <w:r w:rsidRPr="001427AF">
              <w:rPr>
                <w:rFonts w:ascii="Arial" w:hAnsi="Arial" w:cs="Arial"/>
                <w:color w:val="auto"/>
                <w:sz w:val="20"/>
              </w:rPr>
              <w:t xml:space="preserve">for English </w:t>
            </w:r>
            <w:r w:rsidR="00F05C20" w:rsidRPr="001427AF">
              <w:rPr>
                <w:rFonts w:ascii="Arial" w:hAnsi="Arial" w:cs="Arial"/>
                <w:color w:val="auto"/>
                <w:sz w:val="20"/>
              </w:rPr>
              <w:t>l</w:t>
            </w:r>
            <w:r w:rsidRPr="001427AF">
              <w:rPr>
                <w:rFonts w:ascii="Arial" w:hAnsi="Arial" w:cs="Arial"/>
                <w:color w:val="auto"/>
                <w:sz w:val="20"/>
              </w:rPr>
              <w:t>earners </w:t>
            </w:r>
          </w:p>
        </w:tc>
      </w:tr>
      <w:tr w:rsidR="00F42BA2" w:rsidRPr="001427AF" w14:paraId="5AEE95F4" w14:textId="77777777" w:rsidTr="002815C9">
        <w:trPr>
          <w:jc w:val="center"/>
        </w:trPr>
        <w:tc>
          <w:tcPr>
            <w:tcW w:w="1972" w:type="dxa"/>
            <w:tcBorders>
              <w:top w:val="nil"/>
              <w:left w:val="single" w:sz="6" w:space="0" w:color="000000"/>
              <w:bottom w:val="single" w:sz="6" w:space="0" w:color="000000"/>
              <w:right w:val="single" w:sz="6" w:space="0" w:color="000000"/>
            </w:tcBorders>
          </w:tcPr>
          <w:p w14:paraId="157AB5F6" w14:textId="77777777"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ACDE</w:t>
            </w:r>
          </w:p>
        </w:tc>
        <w:tc>
          <w:tcPr>
            <w:tcW w:w="7395" w:type="dxa"/>
            <w:tcBorders>
              <w:top w:val="nil"/>
              <w:left w:val="nil"/>
              <w:bottom w:val="single" w:sz="6" w:space="0" w:color="000000"/>
              <w:right w:val="single" w:sz="6" w:space="0" w:color="000000"/>
            </w:tcBorders>
          </w:tcPr>
          <w:p w14:paraId="1FA3688C" w14:textId="77777777" w:rsidR="00F42BA2" w:rsidRPr="001427AF" w:rsidRDefault="00F42BA2" w:rsidP="00F42BA2">
            <w:pPr>
              <w:spacing w:line="240" w:lineRule="auto"/>
              <w:textAlignment w:val="baseline"/>
              <w:rPr>
                <w:rFonts w:ascii="Arial" w:hAnsi="Arial" w:cs="Arial"/>
                <w:color w:val="auto"/>
                <w:sz w:val="20"/>
              </w:rPr>
            </w:pPr>
            <w:r w:rsidRPr="001427AF">
              <w:rPr>
                <w:rFonts w:ascii="Arial" w:hAnsi="Arial" w:cs="Arial"/>
                <w:color w:val="auto"/>
                <w:sz w:val="20"/>
              </w:rPr>
              <w:t>Accountability Collection Data Entry System</w:t>
            </w:r>
          </w:p>
        </w:tc>
      </w:tr>
      <w:tr w:rsidR="004D577F" w:rsidRPr="001427AF" w14:paraId="0D273D43" w14:textId="77777777" w:rsidTr="002815C9">
        <w:trPr>
          <w:jc w:val="center"/>
        </w:trPr>
        <w:tc>
          <w:tcPr>
            <w:tcW w:w="1972" w:type="dxa"/>
            <w:tcBorders>
              <w:top w:val="nil"/>
              <w:left w:val="single" w:sz="6" w:space="0" w:color="000000"/>
              <w:bottom w:val="single" w:sz="6" w:space="0" w:color="000000"/>
              <w:right w:val="single" w:sz="6" w:space="0" w:color="000000"/>
            </w:tcBorders>
          </w:tcPr>
          <w:p w14:paraId="3B958751" w14:textId="5185E7B0"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ACGR</w:t>
            </w:r>
          </w:p>
        </w:tc>
        <w:tc>
          <w:tcPr>
            <w:tcW w:w="7395" w:type="dxa"/>
            <w:tcBorders>
              <w:top w:val="nil"/>
              <w:left w:val="nil"/>
              <w:bottom w:val="single" w:sz="6" w:space="0" w:color="000000"/>
              <w:right w:val="single" w:sz="6" w:space="0" w:color="000000"/>
            </w:tcBorders>
          </w:tcPr>
          <w:p w14:paraId="7274FD53" w14:textId="19163AF5"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Adjusted Cohort Graduation Rate</w:t>
            </w:r>
          </w:p>
        </w:tc>
      </w:tr>
      <w:tr w:rsidR="004D577F" w:rsidRPr="001427AF" w14:paraId="69F6F0D8" w14:textId="77777777" w:rsidTr="002815C9">
        <w:trPr>
          <w:jc w:val="center"/>
        </w:trPr>
        <w:tc>
          <w:tcPr>
            <w:tcW w:w="1972" w:type="dxa"/>
            <w:tcBorders>
              <w:top w:val="nil"/>
              <w:left w:val="single" w:sz="6" w:space="0" w:color="000000"/>
              <w:bottom w:val="single" w:sz="6" w:space="0" w:color="000000"/>
              <w:right w:val="single" w:sz="6" w:space="0" w:color="000000"/>
            </w:tcBorders>
          </w:tcPr>
          <w:p w14:paraId="0DFB9C58" w14:textId="027B3CB5"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ACT</w:t>
            </w:r>
          </w:p>
        </w:tc>
        <w:tc>
          <w:tcPr>
            <w:tcW w:w="7395" w:type="dxa"/>
            <w:tcBorders>
              <w:top w:val="nil"/>
              <w:left w:val="nil"/>
              <w:bottom w:val="single" w:sz="6" w:space="0" w:color="000000"/>
              <w:right w:val="single" w:sz="6" w:space="0" w:color="000000"/>
            </w:tcBorders>
          </w:tcPr>
          <w:p w14:paraId="08A98243" w14:textId="175FCC11"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American College Test</w:t>
            </w:r>
            <w:r w:rsidR="00A3605B" w:rsidRPr="001427AF">
              <w:rPr>
                <w:rFonts w:ascii="Arial" w:hAnsi="Arial" w:cs="Arial"/>
                <w:color w:val="auto"/>
                <w:sz w:val="20"/>
              </w:rPr>
              <w:t xml:space="preserve"> (the company)</w:t>
            </w:r>
          </w:p>
        </w:tc>
      </w:tr>
      <w:tr w:rsidR="004D577F" w:rsidRPr="001427AF" w14:paraId="342537D3" w14:textId="77777777" w:rsidTr="002815C9">
        <w:trPr>
          <w:jc w:val="center"/>
        </w:trPr>
        <w:tc>
          <w:tcPr>
            <w:tcW w:w="1972" w:type="dxa"/>
            <w:tcBorders>
              <w:top w:val="nil"/>
              <w:left w:val="single" w:sz="6" w:space="0" w:color="000000"/>
              <w:bottom w:val="single" w:sz="6" w:space="0" w:color="000000"/>
              <w:right w:val="single" w:sz="6" w:space="0" w:color="000000"/>
            </w:tcBorders>
          </w:tcPr>
          <w:p w14:paraId="41828AA0"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AD</w:t>
            </w:r>
          </w:p>
        </w:tc>
        <w:tc>
          <w:tcPr>
            <w:tcW w:w="7395" w:type="dxa"/>
            <w:tcBorders>
              <w:top w:val="nil"/>
              <w:left w:val="nil"/>
              <w:bottom w:val="single" w:sz="6" w:space="0" w:color="000000"/>
              <w:right w:val="single" w:sz="6" w:space="0" w:color="000000"/>
            </w:tcBorders>
          </w:tcPr>
          <w:p w14:paraId="480CF52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sz w:val="20"/>
              </w:rPr>
              <w:t>Achievement Denominator</w:t>
            </w:r>
          </w:p>
        </w:tc>
      </w:tr>
      <w:tr w:rsidR="004D577F" w:rsidRPr="001427AF" w14:paraId="43563D4B" w14:textId="77777777" w:rsidTr="002815C9">
        <w:trPr>
          <w:jc w:val="center"/>
        </w:trPr>
        <w:tc>
          <w:tcPr>
            <w:tcW w:w="1972" w:type="dxa"/>
            <w:tcBorders>
              <w:top w:val="nil"/>
              <w:left w:val="single" w:sz="6" w:space="0" w:color="000000"/>
              <w:bottom w:val="single" w:sz="6" w:space="0" w:color="000000"/>
              <w:right w:val="single" w:sz="6" w:space="0" w:color="000000"/>
            </w:tcBorders>
          </w:tcPr>
          <w:p w14:paraId="12DB7A03"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ALT-ACCESS</w:t>
            </w:r>
          </w:p>
        </w:tc>
        <w:tc>
          <w:tcPr>
            <w:tcW w:w="7395" w:type="dxa"/>
            <w:tcBorders>
              <w:top w:val="nil"/>
              <w:left w:val="nil"/>
              <w:bottom w:val="single" w:sz="6" w:space="0" w:color="000000"/>
              <w:right w:val="single" w:sz="6" w:space="0" w:color="000000"/>
            </w:tcBorders>
          </w:tcPr>
          <w:p w14:paraId="08E48F33" w14:textId="3A53851A" w:rsidR="004D577F" w:rsidRPr="001427AF" w:rsidRDefault="00B34F70" w:rsidP="004D577F">
            <w:pPr>
              <w:spacing w:line="240" w:lineRule="auto"/>
              <w:textAlignment w:val="baseline"/>
              <w:rPr>
                <w:rFonts w:ascii="Arial" w:hAnsi="Arial" w:cs="Arial"/>
                <w:color w:val="auto"/>
                <w:sz w:val="20"/>
              </w:rPr>
            </w:pPr>
            <w:r w:rsidRPr="001427AF">
              <w:rPr>
                <w:rFonts w:ascii="Arial" w:hAnsi="Arial" w:cs="Arial"/>
                <w:color w:val="auto"/>
                <w:sz w:val="20"/>
              </w:rPr>
              <w:t xml:space="preserve">WIDA </w:t>
            </w:r>
            <w:r w:rsidR="004D577F" w:rsidRPr="001427AF">
              <w:rPr>
                <w:rFonts w:ascii="Arial" w:hAnsi="Arial" w:cs="Arial"/>
                <w:color w:val="auto"/>
                <w:sz w:val="20"/>
              </w:rPr>
              <w:t>Alternate ACCESS for ELs</w:t>
            </w:r>
          </w:p>
        </w:tc>
      </w:tr>
      <w:tr w:rsidR="004D577F" w:rsidRPr="001427AF" w14:paraId="13BB2584"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5E7A2EB3"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AP </w:t>
            </w:r>
          </w:p>
        </w:tc>
        <w:tc>
          <w:tcPr>
            <w:tcW w:w="7395" w:type="dxa"/>
            <w:tcBorders>
              <w:top w:val="nil"/>
              <w:left w:val="nil"/>
              <w:bottom w:val="single" w:sz="6" w:space="0" w:color="000000"/>
              <w:right w:val="single" w:sz="6" w:space="0" w:color="000000"/>
            </w:tcBorders>
            <w:hideMark/>
          </w:tcPr>
          <w:p w14:paraId="105E7BA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Advanced Placement </w:t>
            </w:r>
          </w:p>
        </w:tc>
      </w:tr>
      <w:tr w:rsidR="004D577F" w:rsidRPr="001427AF" w14:paraId="23E0CF14" w14:textId="77777777" w:rsidTr="002815C9">
        <w:trPr>
          <w:jc w:val="center"/>
        </w:trPr>
        <w:tc>
          <w:tcPr>
            <w:tcW w:w="1972" w:type="dxa"/>
            <w:tcBorders>
              <w:top w:val="nil"/>
              <w:left w:val="single" w:sz="6" w:space="0" w:color="000000"/>
              <w:bottom w:val="single" w:sz="6" w:space="0" w:color="000000"/>
              <w:right w:val="single" w:sz="6" w:space="0" w:color="000000"/>
            </w:tcBorders>
          </w:tcPr>
          <w:p w14:paraId="0D9AFCF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ARP</w:t>
            </w:r>
          </w:p>
        </w:tc>
        <w:tc>
          <w:tcPr>
            <w:tcW w:w="7395" w:type="dxa"/>
            <w:tcBorders>
              <w:top w:val="nil"/>
              <w:left w:val="nil"/>
              <w:bottom w:val="single" w:sz="6" w:space="0" w:color="000000"/>
              <w:right w:val="single" w:sz="6" w:space="0" w:color="000000"/>
            </w:tcBorders>
          </w:tcPr>
          <w:p w14:paraId="0DE84D0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sz w:val="20"/>
              </w:rPr>
              <w:t>Achievement Relative Percent</w:t>
            </w:r>
          </w:p>
        </w:tc>
      </w:tr>
      <w:tr w:rsidR="004D577F" w:rsidRPr="001427AF" w14:paraId="5C75612A"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2750690"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ASM </w:t>
            </w:r>
          </w:p>
        </w:tc>
        <w:tc>
          <w:tcPr>
            <w:tcW w:w="7395" w:type="dxa"/>
            <w:tcBorders>
              <w:top w:val="nil"/>
              <w:left w:val="nil"/>
              <w:bottom w:val="single" w:sz="6" w:space="0" w:color="000000"/>
              <w:right w:val="single" w:sz="6" w:space="0" w:color="000000"/>
            </w:tcBorders>
            <w:hideMark/>
          </w:tcPr>
          <w:p w14:paraId="5E89830D" w14:textId="38E3F2CF" w:rsidR="004D577F" w:rsidRPr="001427AF" w:rsidRDefault="00552C3E" w:rsidP="004D577F">
            <w:pPr>
              <w:spacing w:line="240" w:lineRule="auto"/>
              <w:textAlignment w:val="baseline"/>
              <w:rPr>
                <w:rFonts w:ascii="Arial" w:hAnsi="Arial" w:cs="Arial"/>
                <w:color w:val="auto"/>
                <w:sz w:val="20"/>
              </w:rPr>
            </w:pPr>
            <w:r w:rsidRPr="001427AF">
              <w:rPr>
                <w:rFonts w:ascii="Arial" w:hAnsi="Arial" w:cs="Arial"/>
                <w:color w:val="auto"/>
                <w:sz w:val="20"/>
              </w:rPr>
              <w:t>Accountability Services Management</w:t>
            </w:r>
            <w:r w:rsidR="004D577F" w:rsidRPr="001427AF">
              <w:rPr>
                <w:rFonts w:ascii="Arial" w:hAnsi="Arial" w:cs="Arial"/>
                <w:color w:val="auto"/>
                <w:sz w:val="20"/>
              </w:rPr>
              <w:t> </w:t>
            </w:r>
          </w:p>
        </w:tc>
      </w:tr>
      <w:tr w:rsidR="004D577F" w:rsidRPr="001427AF" w14:paraId="7ED7A35B" w14:textId="77777777" w:rsidTr="002815C9">
        <w:trPr>
          <w:jc w:val="center"/>
        </w:trPr>
        <w:tc>
          <w:tcPr>
            <w:tcW w:w="1972" w:type="dxa"/>
            <w:tcBorders>
              <w:top w:val="nil"/>
              <w:left w:val="single" w:sz="6" w:space="0" w:color="000000"/>
              <w:bottom w:val="single" w:sz="6" w:space="0" w:color="000000"/>
              <w:right w:val="single" w:sz="6" w:space="0" w:color="000000"/>
            </w:tcBorders>
          </w:tcPr>
          <w:p w14:paraId="1E1D7821"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ASM</w:t>
            </w:r>
            <w:r w:rsidRPr="001427AF">
              <w:rPr>
                <w:rFonts w:ascii="Arial" w:hAnsi="Arial" w:cs="Arial"/>
                <w:sz w:val="20"/>
              </w:rPr>
              <w:t>AS</w:t>
            </w:r>
          </w:p>
        </w:tc>
        <w:tc>
          <w:tcPr>
            <w:tcW w:w="7395" w:type="dxa"/>
            <w:tcBorders>
              <w:top w:val="nil"/>
              <w:left w:val="nil"/>
              <w:bottom w:val="single" w:sz="6" w:space="0" w:color="000000"/>
              <w:right w:val="single" w:sz="6" w:space="0" w:color="000000"/>
            </w:tcBorders>
          </w:tcPr>
          <w:p w14:paraId="6B9644BB"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Alternative Schools’ M</w:t>
            </w:r>
            <w:r w:rsidRPr="001427AF">
              <w:rPr>
                <w:rFonts w:ascii="Arial" w:hAnsi="Arial" w:cs="Arial"/>
                <w:sz w:val="20"/>
              </w:rPr>
              <w:t xml:space="preserve">odified </w:t>
            </w:r>
            <w:r w:rsidRPr="001427AF">
              <w:rPr>
                <w:rFonts w:ascii="Arial" w:hAnsi="Arial" w:cs="Arial"/>
                <w:color w:val="auto"/>
                <w:sz w:val="20"/>
              </w:rPr>
              <w:t>Accountability System</w:t>
            </w:r>
          </w:p>
        </w:tc>
      </w:tr>
      <w:tr w:rsidR="00786594" w:rsidRPr="001427AF" w14:paraId="238EA794" w14:textId="77777777" w:rsidTr="002815C9">
        <w:trPr>
          <w:jc w:val="center"/>
        </w:trPr>
        <w:tc>
          <w:tcPr>
            <w:tcW w:w="1972" w:type="dxa"/>
            <w:tcBorders>
              <w:top w:val="nil"/>
              <w:left w:val="single" w:sz="6" w:space="0" w:color="000000"/>
              <w:bottom w:val="single" w:sz="6" w:space="0" w:color="000000"/>
              <w:right w:val="single" w:sz="6" w:space="0" w:color="000000"/>
            </w:tcBorders>
          </w:tcPr>
          <w:p w14:paraId="1F4ED469" w14:textId="45BA934B" w:rsidR="00786594" w:rsidRPr="001427AF" w:rsidRDefault="00786594" w:rsidP="00786594">
            <w:pPr>
              <w:spacing w:line="240" w:lineRule="auto"/>
              <w:textAlignment w:val="baseline"/>
              <w:rPr>
                <w:rFonts w:ascii="Arial" w:hAnsi="Arial" w:cs="Arial"/>
                <w:color w:val="auto"/>
                <w:sz w:val="20"/>
              </w:rPr>
            </w:pPr>
            <w:r w:rsidRPr="001427AF">
              <w:rPr>
                <w:rFonts w:ascii="Arial" w:hAnsi="Arial" w:cs="Arial"/>
                <w:color w:val="auto"/>
                <w:sz w:val="20"/>
              </w:rPr>
              <w:t>AWA</w:t>
            </w:r>
          </w:p>
        </w:tc>
        <w:tc>
          <w:tcPr>
            <w:tcW w:w="7395" w:type="dxa"/>
            <w:tcBorders>
              <w:top w:val="nil"/>
              <w:left w:val="nil"/>
              <w:bottom w:val="single" w:sz="6" w:space="0" w:color="000000"/>
              <w:right w:val="single" w:sz="6" w:space="0" w:color="000000"/>
            </w:tcBorders>
          </w:tcPr>
          <w:p w14:paraId="2E3788FA" w14:textId="1D1DA40D" w:rsidR="00786594" w:rsidRPr="001427AF" w:rsidRDefault="00B743EB" w:rsidP="00786594">
            <w:pPr>
              <w:spacing w:line="240" w:lineRule="auto"/>
              <w:textAlignment w:val="baseline"/>
              <w:rPr>
                <w:rFonts w:ascii="Arial" w:hAnsi="Arial" w:cs="Arial"/>
                <w:color w:val="auto"/>
                <w:sz w:val="20"/>
              </w:rPr>
            </w:pPr>
            <w:r w:rsidRPr="001427AF">
              <w:rPr>
                <w:rFonts w:ascii="Arial" w:hAnsi="Arial" w:cs="Arial"/>
                <w:color w:val="auto"/>
                <w:sz w:val="20"/>
              </w:rPr>
              <w:t xml:space="preserve">The </w:t>
            </w:r>
            <w:r w:rsidR="00786594" w:rsidRPr="001427AF">
              <w:rPr>
                <w:rFonts w:ascii="Arial" w:hAnsi="Arial" w:cs="Arial"/>
                <w:color w:val="auto"/>
                <w:sz w:val="20"/>
              </w:rPr>
              <w:t>ACT/WorkKeys Assessment Indicator</w:t>
            </w:r>
          </w:p>
        </w:tc>
      </w:tr>
      <w:tr w:rsidR="004D577F" w:rsidRPr="001427AF" w14:paraId="6C524267" w14:textId="77777777" w:rsidTr="002815C9">
        <w:trPr>
          <w:jc w:val="center"/>
        </w:trPr>
        <w:tc>
          <w:tcPr>
            <w:tcW w:w="1972" w:type="dxa"/>
            <w:tcBorders>
              <w:top w:val="nil"/>
              <w:left w:val="single" w:sz="6" w:space="0" w:color="000000"/>
              <w:bottom w:val="single" w:sz="6" w:space="0" w:color="000000"/>
              <w:right w:val="single" w:sz="6" w:space="0" w:color="000000"/>
            </w:tcBorders>
          </w:tcPr>
          <w:p w14:paraId="31A2C9C7"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ASPM</w:t>
            </w:r>
          </w:p>
        </w:tc>
        <w:tc>
          <w:tcPr>
            <w:tcW w:w="7395" w:type="dxa"/>
            <w:tcBorders>
              <w:top w:val="nil"/>
              <w:left w:val="nil"/>
              <w:bottom w:val="single" w:sz="6" w:space="0" w:color="000000"/>
              <w:right w:val="single" w:sz="6" w:space="0" w:color="000000"/>
            </w:tcBorders>
          </w:tcPr>
          <w:p w14:paraId="4D23AA8A"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Alternative School Progress Model</w:t>
            </w:r>
          </w:p>
        </w:tc>
      </w:tr>
      <w:tr w:rsidR="004D577F" w:rsidRPr="001427AF" w14:paraId="14B570DC"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2ACA5431"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BOG3 </w:t>
            </w:r>
          </w:p>
        </w:tc>
        <w:tc>
          <w:tcPr>
            <w:tcW w:w="7395" w:type="dxa"/>
            <w:tcBorders>
              <w:top w:val="nil"/>
              <w:left w:val="nil"/>
              <w:bottom w:val="single" w:sz="6" w:space="0" w:color="000000"/>
              <w:right w:val="single" w:sz="6" w:space="0" w:color="000000"/>
            </w:tcBorders>
            <w:hideMark/>
          </w:tcPr>
          <w:p w14:paraId="2F0CAF7F"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Beginning-of-Grade 3 Reading Test  </w:t>
            </w:r>
          </w:p>
        </w:tc>
      </w:tr>
      <w:tr w:rsidR="004D577F" w:rsidRPr="001427AF" w14:paraId="6DC49954" w14:textId="77777777" w:rsidTr="002815C9">
        <w:trPr>
          <w:trHeight w:val="192"/>
          <w:jc w:val="center"/>
        </w:trPr>
        <w:tc>
          <w:tcPr>
            <w:tcW w:w="1972" w:type="dxa"/>
            <w:tcBorders>
              <w:top w:val="nil"/>
              <w:left w:val="single" w:sz="6" w:space="0" w:color="000000"/>
              <w:bottom w:val="single" w:sz="6" w:space="0" w:color="000000"/>
              <w:right w:val="single" w:sz="6" w:space="0" w:color="000000"/>
            </w:tcBorders>
          </w:tcPr>
          <w:p w14:paraId="0FB7539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CCAHSP</w:t>
            </w:r>
          </w:p>
        </w:tc>
        <w:tc>
          <w:tcPr>
            <w:tcW w:w="7395" w:type="dxa"/>
            <w:tcBorders>
              <w:top w:val="nil"/>
              <w:left w:val="nil"/>
              <w:bottom w:val="single" w:sz="6" w:space="0" w:color="000000"/>
              <w:right w:val="single" w:sz="6" w:space="0" w:color="000000"/>
            </w:tcBorders>
          </w:tcPr>
          <w:p w14:paraId="070F372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Community College Adult High School Program</w:t>
            </w:r>
          </w:p>
        </w:tc>
      </w:tr>
      <w:tr w:rsidR="004D577F" w:rsidRPr="001427AF" w14:paraId="2D034C2A"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2A3B1F82"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CCR </w:t>
            </w:r>
          </w:p>
        </w:tc>
        <w:tc>
          <w:tcPr>
            <w:tcW w:w="7395" w:type="dxa"/>
            <w:tcBorders>
              <w:top w:val="nil"/>
              <w:left w:val="nil"/>
              <w:bottom w:val="single" w:sz="6" w:space="0" w:color="000000"/>
              <w:right w:val="single" w:sz="6" w:space="0" w:color="000000"/>
            </w:tcBorders>
            <w:hideMark/>
          </w:tcPr>
          <w:p w14:paraId="39347899"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College and Career Readiness </w:t>
            </w:r>
          </w:p>
        </w:tc>
      </w:tr>
      <w:tr w:rsidR="004D577F" w:rsidRPr="001427AF" w14:paraId="4031F499"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728DC52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CCRAA </w:t>
            </w:r>
          </w:p>
        </w:tc>
        <w:tc>
          <w:tcPr>
            <w:tcW w:w="7395" w:type="dxa"/>
            <w:tcBorders>
              <w:top w:val="nil"/>
              <w:left w:val="nil"/>
              <w:bottom w:val="single" w:sz="6" w:space="0" w:color="000000"/>
              <w:right w:val="single" w:sz="6" w:space="0" w:color="000000"/>
            </w:tcBorders>
            <w:hideMark/>
          </w:tcPr>
          <w:p w14:paraId="43D0E6C5"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College and Career Readiness Alternate Assessment </w:t>
            </w:r>
          </w:p>
        </w:tc>
      </w:tr>
      <w:tr w:rsidR="004D577F" w:rsidRPr="001427AF" w14:paraId="61F63218"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57817409"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CGR </w:t>
            </w:r>
          </w:p>
        </w:tc>
        <w:tc>
          <w:tcPr>
            <w:tcW w:w="7395" w:type="dxa"/>
            <w:tcBorders>
              <w:top w:val="nil"/>
              <w:left w:val="nil"/>
              <w:bottom w:val="single" w:sz="6" w:space="0" w:color="000000"/>
              <w:right w:val="single" w:sz="6" w:space="0" w:color="000000"/>
            </w:tcBorders>
            <w:hideMark/>
          </w:tcPr>
          <w:p w14:paraId="1C4D7109"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Cohort Graduation Rate </w:t>
            </w:r>
          </w:p>
        </w:tc>
      </w:tr>
      <w:tr w:rsidR="004D577F" w:rsidRPr="001427AF" w14:paraId="6067C63A" w14:textId="77777777" w:rsidTr="002815C9">
        <w:trPr>
          <w:jc w:val="center"/>
        </w:trPr>
        <w:tc>
          <w:tcPr>
            <w:tcW w:w="1972" w:type="dxa"/>
            <w:tcBorders>
              <w:top w:val="nil"/>
              <w:left w:val="single" w:sz="6" w:space="0" w:color="000000"/>
              <w:bottom w:val="single" w:sz="6" w:space="0" w:color="000000"/>
              <w:right w:val="single" w:sz="6" w:space="0" w:color="000000"/>
            </w:tcBorders>
          </w:tcPr>
          <w:p w14:paraId="3CECBC07"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CIHS</w:t>
            </w:r>
          </w:p>
        </w:tc>
        <w:tc>
          <w:tcPr>
            <w:tcW w:w="7395" w:type="dxa"/>
            <w:tcBorders>
              <w:top w:val="nil"/>
              <w:left w:val="nil"/>
              <w:bottom w:val="single" w:sz="6" w:space="0" w:color="000000"/>
              <w:right w:val="single" w:sz="6" w:space="0" w:color="000000"/>
            </w:tcBorders>
          </w:tcPr>
          <w:p w14:paraId="60F6354D"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Cooperative Innovative High School</w:t>
            </w:r>
          </w:p>
        </w:tc>
      </w:tr>
      <w:tr w:rsidR="004D577F" w:rsidRPr="001427AF" w14:paraId="0759AE1A" w14:textId="77777777" w:rsidTr="002815C9">
        <w:trPr>
          <w:jc w:val="center"/>
        </w:trPr>
        <w:tc>
          <w:tcPr>
            <w:tcW w:w="1972" w:type="dxa"/>
            <w:tcBorders>
              <w:top w:val="nil"/>
              <w:left w:val="single" w:sz="6" w:space="0" w:color="000000"/>
              <w:bottom w:val="single" w:sz="6" w:space="0" w:color="000000"/>
              <w:right w:val="single" w:sz="6" w:space="0" w:color="000000"/>
            </w:tcBorders>
          </w:tcPr>
          <w:p w14:paraId="082C978F"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COC</w:t>
            </w:r>
          </w:p>
        </w:tc>
        <w:tc>
          <w:tcPr>
            <w:tcW w:w="7395" w:type="dxa"/>
            <w:tcBorders>
              <w:top w:val="nil"/>
              <w:left w:val="nil"/>
              <w:bottom w:val="single" w:sz="6" w:space="0" w:color="000000"/>
              <w:right w:val="single" w:sz="6" w:space="0" w:color="000000"/>
            </w:tcBorders>
          </w:tcPr>
          <w:p w14:paraId="31BEFF6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Comprehensive Objective Composite</w:t>
            </w:r>
          </w:p>
        </w:tc>
      </w:tr>
      <w:tr w:rsidR="004D577F" w:rsidRPr="001427AF" w14:paraId="1A11E573"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1678C316"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CSI </w:t>
            </w:r>
          </w:p>
        </w:tc>
        <w:tc>
          <w:tcPr>
            <w:tcW w:w="7395" w:type="dxa"/>
            <w:tcBorders>
              <w:top w:val="nil"/>
              <w:left w:val="nil"/>
              <w:bottom w:val="single" w:sz="6" w:space="0" w:color="000000"/>
              <w:right w:val="single" w:sz="6" w:space="0" w:color="000000"/>
            </w:tcBorders>
            <w:hideMark/>
          </w:tcPr>
          <w:p w14:paraId="31E0D9D7"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Comprehensive Support and Improvement </w:t>
            </w:r>
          </w:p>
        </w:tc>
      </w:tr>
      <w:tr w:rsidR="004D577F" w:rsidRPr="001427AF" w14:paraId="44738A45" w14:textId="77777777" w:rsidTr="002815C9">
        <w:trPr>
          <w:jc w:val="center"/>
        </w:trPr>
        <w:tc>
          <w:tcPr>
            <w:tcW w:w="1972" w:type="dxa"/>
            <w:tcBorders>
              <w:top w:val="nil"/>
              <w:left w:val="single" w:sz="6" w:space="0" w:color="000000"/>
              <w:bottom w:val="single" w:sz="6" w:space="0" w:color="000000"/>
              <w:right w:val="single" w:sz="6" w:space="0" w:color="000000"/>
            </w:tcBorders>
          </w:tcPr>
          <w:p w14:paraId="3B9C262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CSI-AT</w:t>
            </w:r>
          </w:p>
        </w:tc>
        <w:tc>
          <w:tcPr>
            <w:tcW w:w="7395" w:type="dxa"/>
            <w:tcBorders>
              <w:top w:val="nil"/>
              <w:left w:val="nil"/>
              <w:bottom w:val="single" w:sz="6" w:space="0" w:color="000000"/>
              <w:right w:val="single" w:sz="6" w:space="0" w:color="000000"/>
            </w:tcBorders>
          </w:tcPr>
          <w:p w14:paraId="70714511" w14:textId="0C9165C3"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Comprehensive Support and Improvement</w:t>
            </w:r>
            <w:r w:rsidR="00433BA5" w:rsidRPr="001427AF">
              <w:rPr>
                <w:rFonts w:ascii="Arial" w:hAnsi="Arial" w:cs="Arial"/>
                <w:color w:val="auto"/>
                <w:sz w:val="20"/>
              </w:rPr>
              <w:t xml:space="preserve"> </w:t>
            </w:r>
            <w:r w:rsidRPr="001427AF">
              <w:rPr>
                <w:rFonts w:ascii="Arial" w:hAnsi="Arial" w:cs="Arial"/>
                <w:color w:val="auto"/>
                <w:sz w:val="20"/>
              </w:rPr>
              <w:t xml:space="preserve">- </w:t>
            </w:r>
            <w:r w:rsidRPr="001427AF">
              <w:rPr>
                <w:rFonts w:ascii="Arial" w:hAnsi="Arial" w:cs="Arial"/>
                <w:sz w:val="20"/>
              </w:rPr>
              <w:t xml:space="preserve">Additional Targeted </w:t>
            </w:r>
          </w:p>
        </w:tc>
      </w:tr>
      <w:tr w:rsidR="004D577F" w:rsidRPr="001427AF" w14:paraId="795232C9" w14:textId="77777777" w:rsidTr="002815C9">
        <w:trPr>
          <w:jc w:val="center"/>
        </w:trPr>
        <w:tc>
          <w:tcPr>
            <w:tcW w:w="1972" w:type="dxa"/>
            <w:tcBorders>
              <w:top w:val="nil"/>
              <w:left w:val="single" w:sz="6" w:space="0" w:color="000000"/>
              <w:bottom w:val="single" w:sz="6" w:space="0" w:color="000000"/>
              <w:right w:val="single" w:sz="6" w:space="0" w:color="000000"/>
            </w:tcBorders>
          </w:tcPr>
          <w:p w14:paraId="1F8C64E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CSI-LG</w:t>
            </w:r>
          </w:p>
        </w:tc>
        <w:tc>
          <w:tcPr>
            <w:tcW w:w="7395" w:type="dxa"/>
            <w:tcBorders>
              <w:top w:val="nil"/>
              <w:left w:val="nil"/>
              <w:bottom w:val="single" w:sz="6" w:space="0" w:color="000000"/>
              <w:right w:val="single" w:sz="6" w:space="0" w:color="000000"/>
            </w:tcBorders>
          </w:tcPr>
          <w:p w14:paraId="680740EA" w14:textId="1D04302C"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Comprehensive Support and Improvement</w:t>
            </w:r>
            <w:r w:rsidR="00433BA5" w:rsidRPr="001427AF">
              <w:rPr>
                <w:rFonts w:ascii="Arial" w:hAnsi="Arial" w:cs="Arial"/>
                <w:color w:val="auto"/>
                <w:sz w:val="20"/>
              </w:rPr>
              <w:t xml:space="preserve"> </w:t>
            </w:r>
            <w:r w:rsidRPr="001427AF">
              <w:rPr>
                <w:rFonts w:ascii="Arial" w:hAnsi="Arial" w:cs="Arial"/>
                <w:color w:val="auto"/>
                <w:sz w:val="20"/>
              </w:rPr>
              <w:t>- Low Graduation Rates</w:t>
            </w:r>
          </w:p>
        </w:tc>
      </w:tr>
      <w:tr w:rsidR="004D577F" w:rsidRPr="001427AF" w14:paraId="40B5CF55" w14:textId="77777777" w:rsidTr="002815C9">
        <w:trPr>
          <w:jc w:val="center"/>
        </w:trPr>
        <w:tc>
          <w:tcPr>
            <w:tcW w:w="1972" w:type="dxa"/>
            <w:tcBorders>
              <w:top w:val="nil"/>
              <w:left w:val="single" w:sz="6" w:space="0" w:color="000000"/>
              <w:bottom w:val="single" w:sz="6" w:space="0" w:color="000000"/>
              <w:right w:val="single" w:sz="6" w:space="0" w:color="000000"/>
            </w:tcBorders>
          </w:tcPr>
          <w:p w14:paraId="61734ACB"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CSI-LP</w:t>
            </w:r>
          </w:p>
        </w:tc>
        <w:tc>
          <w:tcPr>
            <w:tcW w:w="7395" w:type="dxa"/>
            <w:tcBorders>
              <w:top w:val="nil"/>
              <w:left w:val="nil"/>
              <w:bottom w:val="single" w:sz="6" w:space="0" w:color="000000"/>
              <w:right w:val="single" w:sz="6" w:space="0" w:color="000000"/>
            </w:tcBorders>
          </w:tcPr>
          <w:p w14:paraId="1F093EAA" w14:textId="75694549"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Comprehensive Support and Improvement</w:t>
            </w:r>
            <w:r w:rsidR="00433BA5" w:rsidRPr="001427AF">
              <w:rPr>
                <w:rFonts w:ascii="Arial" w:hAnsi="Arial" w:cs="Arial"/>
                <w:color w:val="auto"/>
                <w:sz w:val="20"/>
              </w:rPr>
              <w:t xml:space="preserve"> </w:t>
            </w:r>
            <w:r w:rsidRPr="001427AF">
              <w:rPr>
                <w:rFonts w:ascii="Arial" w:hAnsi="Arial" w:cs="Arial"/>
                <w:color w:val="auto"/>
                <w:sz w:val="20"/>
              </w:rPr>
              <w:t>- Lowest Performing</w:t>
            </w:r>
          </w:p>
        </w:tc>
      </w:tr>
      <w:tr w:rsidR="004D577F" w:rsidRPr="001427AF" w14:paraId="6CFE17CF"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19DFC5F9"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CTE </w:t>
            </w:r>
          </w:p>
        </w:tc>
        <w:tc>
          <w:tcPr>
            <w:tcW w:w="7395" w:type="dxa"/>
            <w:tcBorders>
              <w:top w:val="nil"/>
              <w:left w:val="nil"/>
              <w:bottom w:val="single" w:sz="6" w:space="0" w:color="000000"/>
              <w:right w:val="single" w:sz="6" w:space="0" w:color="000000"/>
            </w:tcBorders>
            <w:hideMark/>
          </w:tcPr>
          <w:p w14:paraId="38BAAFF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Career and Technical Education </w:t>
            </w:r>
          </w:p>
        </w:tc>
      </w:tr>
      <w:tr w:rsidR="004D577F" w:rsidRPr="001427AF" w14:paraId="58C982D7" w14:textId="77777777" w:rsidTr="002815C9">
        <w:trPr>
          <w:jc w:val="center"/>
        </w:trPr>
        <w:tc>
          <w:tcPr>
            <w:tcW w:w="1972" w:type="dxa"/>
            <w:tcBorders>
              <w:top w:val="nil"/>
              <w:left w:val="single" w:sz="6" w:space="0" w:color="000000"/>
              <w:bottom w:val="single" w:sz="6" w:space="0" w:color="000000"/>
              <w:right w:val="single" w:sz="6" w:space="0" w:color="000000"/>
            </w:tcBorders>
          </w:tcPr>
          <w:p w14:paraId="6AE4420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DOD</w:t>
            </w:r>
          </w:p>
        </w:tc>
        <w:tc>
          <w:tcPr>
            <w:tcW w:w="7395" w:type="dxa"/>
            <w:tcBorders>
              <w:top w:val="nil"/>
              <w:left w:val="nil"/>
              <w:bottom w:val="single" w:sz="6" w:space="0" w:color="000000"/>
              <w:right w:val="single" w:sz="6" w:space="0" w:color="000000"/>
            </w:tcBorders>
          </w:tcPr>
          <w:p w14:paraId="51C6F59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Department of Defense</w:t>
            </w:r>
          </w:p>
        </w:tc>
      </w:tr>
      <w:tr w:rsidR="004D577F" w:rsidRPr="001427AF" w14:paraId="3D5CFE31"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45AD6725"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EDS </w:t>
            </w:r>
          </w:p>
        </w:tc>
        <w:tc>
          <w:tcPr>
            <w:tcW w:w="7395" w:type="dxa"/>
            <w:tcBorders>
              <w:top w:val="nil"/>
              <w:left w:val="nil"/>
              <w:bottom w:val="single" w:sz="6" w:space="0" w:color="000000"/>
              <w:right w:val="single" w:sz="6" w:space="0" w:color="000000"/>
            </w:tcBorders>
            <w:hideMark/>
          </w:tcPr>
          <w:p w14:paraId="285AC5A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Economically Disadvantaged Students </w:t>
            </w:r>
          </w:p>
        </w:tc>
      </w:tr>
      <w:tr w:rsidR="004D577F" w:rsidRPr="001427AF" w14:paraId="5C0DDB15" w14:textId="77777777" w:rsidTr="002815C9">
        <w:trPr>
          <w:jc w:val="center"/>
        </w:trPr>
        <w:tc>
          <w:tcPr>
            <w:tcW w:w="1972" w:type="dxa"/>
            <w:tcBorders>
              <w:top w:val="nil"/>
              <w:left w:val="single" w:sz="6" w:space="0" w:color="000000"/>
              <w:bottom w:val="single" w:sz="6" w:space="0" w:color="000000"/>
              <w:right w:val="single" w:sz="6" w:space="0" w:color="000000"/>
            </w:tcBorders>
          </w:tcPr>
          <w:p w14:paraId="339080EF"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e.g.</w:t>
            </w:r>
          </w:p>
        </w:tc>
        <w:tc>
          <w:tcPr>
            <w:tcW w:w="7395" w:type="dxa"/>
            <w:tcBorders>
              <w:top w:val="nil"/>
              <w:left w:val="nil"/>
              <w:bottom w:val="single" w:sz="6" w:space="0" w:color="000000"/>
              <w:right w:val="single" w:sz="6" w:space="0" w:color="000000"/>
            </w:tcBorders>
          </w:tcPr>
          <w:p w14:paraId="49AF1037"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 xml:space="preserve">For </w:t>
            </w:r>
            <w:proofErr w:type="gramStart"/>
            <w:r w:rsidRPr="001427AF">
              <w:rPr>
                <w:rFonts w:ascii="Arial" w:hAnsi="Arial" w:cs="Arial"/>
                <w:color w:val="auto"/>
                <w:sz w:val="20"/>
              </w:rPr>
              <w:t>example</w:t>
            </w:r>
            <w:proofErr w:type="gramEnd"/>
          </w:p>
        </w:tc>
      </w:tr>
      <w:tr w:rsidR="004D577F" w:rsidRPr="001427AF" w14:paraId="38F7903B"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1A9A8AF3"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EL </w:t>
            </w:r>
          </w:p>
        </w:tc>
        <w:tc>
          <w:tcPr>
            <w:tcW w:w="7395" w:type="dxa"/>
            <w:tcBorders>
              <w:top w:val="nil"/>
              <w:left w:val="nil"/>
              <w:bottom w:val="single" w:sz="6" w:space="0" w:color="000000"/>
              <w:right w:val="single" w:sz="6" w:space="0" w:color="000000"/>
            </w:tcBorders>
            <w:hideMark/>
          </w:tcPr>
          <w:p w14:paraId="35D14958"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English Learner </w:t>
            </w:r>
          </w:p>
        </w:tc>
      </w:tr>
      <w:tr w:rsidR="004D577F" w:rsidRPr="001427AF" w14:paraId="01DBB180"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C650A6B"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ELP </w:t>
            </w:r>
          </w:p>
        </w:tc>
        <w:tc>
          <w:tcPr>
            <w:tcW w:w="7395" w:type="dxa"/>
            <w:tcBorders>
              <w:top w:val="nil"/>
              <w:left w:val="nil"/>
              <w:bottom w:val="single" w:sz="6" w:space="0" w:color="000000"/>
              <w:right w:val="single" w:sz="6" w:space="0" w:color="000000"/>
            </w:tcBorders>
            <w:hideMark/>
          </w:tcPr>
          <w:p w14:paraId="1B4D5C5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English Learner Progress </w:t>
            </w:r>
          </w:p>
        </w:tc>
      </w:tr>
      <w:tr w:rsidR="004D577F" w:rsidRPr="001427AF" w14:paraId="281D8466" w14:textId="77777777" w:rsidTr="002815C9">
        <w:trPr>
          <w:jc w:val="center"/>
        </w:trPr>
        <w:tc>
          <w:tcPr>
            <w:tcW w:w="1972" w:type="dxa"/>
            <w:tcBorders>
              <w:top w:val="nil"/>
              <w:left w:val="single" w:sz="6" w:space="0" w:color="000000"/>
              <w:bottom w:val="single" w:sz="6" w:space="0" w:color="000000"/>
              <w:right w:val="single" w:sz="6" w:space="0" w:color="000000"/>
            </w:tcBorders>
          </w:tcPr>
          <w:p w14:paraId="64352AB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ELPM</w:t>
            </w:r>
          </w:p>
        </w:tc>
        <w:tc>
          <w:tcPr>
            <w:tcW w:w="7395" w:type="dxa"/>
            <w:tcBorders>
              <w:top w:val="nil"/>
              <w:left w:val="nil"/>
              <w:bottom w:val="single" w:sz="6" w:space="0" w:color="000000"/>
              <w:right w:val="single" w:sz="6" w:space="0" w:color="000000"/>
            </w:tcBorders>
          </w:tcPr>
          <w:p w14:paraId="66B425DD"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English Learner Performance Measure</w:t>
            </w:r>
          </w:p>
        </w:tc>
      </w:tr>
      <w:tr w:rsidR="004D577F" w:rsidRPr="001427AF" w14:paraId="6EC35308"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F6D133A"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EOC </w:t>
            </w:r>
          </w:p>
        </w:tc>
        <w:tc>
          <w:tcPr>
            <w:tcW w:w="7395" w:type="dxa"/>
            <w:tcBorders>
              <w:top w:val="nil"/>
              <w:left w:val="nil"/>
              <w:bottom w:val="single" w:sz="6" w:space="0" w:color="000000"/>
              <w:right w:val="single" w:sz="6" w:space="0" w:color="000000"/>
            </w:tcBorders>
            <w:hideMark/>
          </w:tcPr>
          <w:p w14:paraId="66874733"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End-of-Course </w:t>
            </w:r>
          </w:p>
        </w:tc>
      </w:tr>
      <w:tr w:rsidR="004D577F" w:rsidRPr="001427AF" w14:paraId="1B406477"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56553C23"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EOG </w:t>
            </w:r>
          </w:p>
        </w:tc>
        <w:tc>
          <w:tcPr>
            <w:tcW w:w="7395" w:type="dxa"/>
            <w:tcBorders>
              <w:top w:val="nil"/>
              <w:left w:val="nil"/>
              <w:bottom w:val="single" w:sz="6" w:space="0" w:color="000000"/>
              <w:right w:val="single" w:sz="6" w:space="0" w:color="000000"/>
            </w:tcBorders>
            <w:hideMark/>
          </w:tcPr>
          <w:p w14:paraId="1EF0E9A7"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End-of-Grade </w:t>
            </w:r>
          </w:p>
        </w:tc>
      </w:tr>
      <w:tr w:rsidR="004D577F" w:rsidRPr="001427AF" w14:paraId="3A6D3DB8"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105AF6EF"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EOY </w:t>
            </w:r>
          </w:p>
        </w:tc>
        <w:tc>
          <w:tcPr>
            <w:tcW w:w="7395" w:type="dxa"/>
            <w:tcBorders>
              <w:top w:val="nil"/>
              <w:left w:val="nil"/>
              <w:bottom w:val="single" w:sz="6" w:space="0" w:color="000000"/>
              <w:right w:val="single" w:sz="6" w:space="0" w:color="000000"/>
            </w:tcBorders>
            <w:hideMark/>
          </w:tcPr>
          <w:p w14:paraId="0CBFF02A"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End-of-Year </w:t>
            </w:r>
          </w:p>
        </w:tc>
      </w:tr>
      <w:tr w:rsidR="004D577F" w:rsidRPr="001427AF" w14:paraId="2F64ADD4"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BE59A1B"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ESEA </w:t>
            </w:r>
          </w:p>
        </w:tc>
        <w:tc>
          <w:tcPr>
            <w:tcW w:w="7395" w:type="dxa"/>
            <w:tcBorders>
              <w:top w:val="nil"/>
              <w:left w:val="nil"/>
              <w:bottom w:val="single" w:sz="6" w:space="0" w:color="000000"/>
              <w:right w:val="single" w:sz="6" w:space="0" w:color="000000"/>
            </w:tcBorders>
            <w:hideMark/>
          </w:tcPr>
          <w:p w14:paraId="0255C49F"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Elementary and Secondary Education Act  </w:t>
            </w:r>
          </w:p>
        </w:tc>
      </w:tr>
      <w:tr w:rsidR="004D577F" w:rsidRPr="001427AF" w14:paraId="59C9EFCB"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446D5BF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ESSA </w:t>
            </w:r>
          </w:p>
        </w:tc>
        <w:tc>
          <w:tcPr>
            <w:tcW w:w="7395" w:type="dxa"/>
            <w:tcBorders>
              <w:top w:val="nil"/>
              <w:left w:val="nil"/>
              <w:bottom w:val="single" w:sz="6" w:space="0" w:color="000000"/>
              <w:right w:val="single" w:sz="6" w:space="0" w:color="000000"/>
            </w:tcBorders>
            <w:hideMark/>
          </w:tcPr>
          <w:p w14:paraId="326EA558"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Every Student Succeeds Act  </w:t>
            </w:r>
          </w:p>
        </w:tc>
      </w:tr>
      <w:tr w:rsidR="004D577F" w:rsidRPr="001427AF" w14:paraId="6ADBCBD6"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33011BE2"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EVAAS </w:t>
            </w:r>
          </w:p>
        </w:tc>
        <w:tc>
          <w:tcPr>
            <w:tcW w:w="7395" w:type="dxa"/>
            <w:tcBorders>
              <w:top w:val="nil"/>
              <w:left w:val="nil"/>
              <w:bottom w:val="single" w:sz="6" w:space="0" w:color="000000"/>
              <w:right w:val="single" w:sz="6" w:space="0" w:color="000000"/>
            </w:tcBorders>
            <w:hideMark/>
          </w:tcPr>
          <w:p w14:paraId="4C977E79"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Education Value Added Assessment System </w:t>
            </w:r>
          </w:p>
        </w:tc>
      </w:tr>
      <w:tr w:rsidR="004D577F" w:rsidRPr="001427AF" w14:paraId="20F55FC2"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D27AF7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FDF </w:t>
            </w:r>
          </w:p>
        </w:tc>
        <w:tc>
          <w:tcPr>
            <w:tcW w:w="7395" w:type="dxa"/>
            <w:tcBorders>
              <w:top w:val="nil"/>
              <w:left w:val="nil"/>
              <w:bottom w:val="single" w:sz="6" w:space="0" w:color="000000"/>
              <w:right w:val="single" w:sz="6" w:space="0" w:color="000000"/>
            </w:tcBorders>
            <w:hideMark/>
          </w:tcPr>
          <w:p w14:paraId="4682BF65"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First Day of Fall </w:t>
            </w:r>
          </w:p>
        </w:tc>
      </w:tr>
      <w:tr w:rsidR="004D577F" w:rsidRPr="001427AF" w14:paraId="549749DD"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06755B2"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FDS </w:t>
            </w:r>
          </w:p>
        </w:tc>
        <w:tc>
          <w:tcPr>
            <w:tcW w:w="7395" w:type="dxa"/>
            <w:tcBorders>
              <w:top w:val="nil"/>
              <w:left w:val="nil"/>
              <w:bottom w:val="single" w:sz="6" w:space="0" w:color="000000"/>
              <w:right w:val="single" w:sz="6" w:space="0" w:color="000000"/>
            </w:tcBorders>
            <w:hideMark/>
          </w:tcPr>
          <w:p w14:paraId="174F345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First Day of Spring </w:t>
            </w:r>
          </w:p>
        </w:tc>
      </w:tr>
      <w:tr w:rsidR="004D577F" w:rsidRPr="001427AF" w14:paraId="4D8CA57E"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4AF9993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GLP </w:t>
            </w:r>
          </w:p>
        </w:tc>
        <w:tc>
          <w:tcPr>
            <w:tcW w:w="7395" w:type="dxa"/>
            <w:tcBorders>
              <w:top w:val="nil"/>
              <w:left w:val="nil"/>
              <w:bottom w:val="single" w:sz="6" w:space="0" w:color="000000"/>
              <w:right w:val="single" w:sz="6" w:space="0" w:color="000000"/>
            </w:tcBorders>
            <w:hideMark/>
          </w:tcPr>
          <w:p w14:paraId="64773DD9" w14:textId="659091B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Grade</w:t>
            </w:r>
            <w:r w:rsidR="00433BA5" w:rsidRPr="001427AF">
              <w:rPr>
                <w:rFonts w:ascii="Arial" w:hAnsi="Arial" w:cs="Arial"/>
                <w:color w:val="auto"/>
                <w:sz w:val="20"/>
              </w:rPr>
              <w:t>-</w:t>
            </w:r>
            <w:r w:rsidRPr="001427AF">
              <w:rPr>
                <w:rFonts w:ascii="Arial" w:hAnsi="Arial" w:cs="Arial"/>
                <w:color w:val="auto"/>
                <w:sz w:val="20"/>
              </w:rPr>
              <w:t>Level Proficiency </w:t>
            </w:r>
          </w:p>
        </w:tc>
      </w:tr>
      <w:tr w:rsidR="004D577F" w:rsidRPr="001427AF" w14:paraId="2752F2AA" w14:textId="77777777" w:rsidTr="002815C9">
        <w:trPr>
          <w:jc w:val="center"/>
        </w:trPr>
        <w:tc>
          <w:tcPr>
            <w:tcW w:w="1972" w:type="dxa"/>
            <w:tcBorders>
              <w:top w:val="nil"/>
              <w:left w:val="single" w:sz="6" w:space="0" w:color="000000"/>
              <w:bottom w:val="single" w:sz="6" w:space="0" w:color="000000"/>
              <w:right w:val="single" w:sz="6" w:space="0" w:color="000000"/>
            </w:tcBorders>
          </w:tcPr>
          <w:p w14:paraId="27B5AFB0"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GP</w:t>
            </w:r>
          </w:p>
        </w:tc>
        <w:tc>
          <w:tcPr>
            <w:tcW w:w="7395" w:type="dxa"/>
            <w:tcBorders>
              <w:top w:val="nil"/>
              <w:left w:val="nil"/>
              <w:bottom w:val="single" w:sz="6" w:space="0" w:color="000000"/>
              <w:right w:val="single" w:sz="6" w:space="0" w:color="000000"/>
            </w:tcBorders>
          </w:tcPr>
          <w:p w14:paraId="0021AF69"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Growth Percent</w:t>
            </w:r>
          </w:p>
        </w:tc>
      </w:tr>
      <w:tr w:rsidR="004D577F" w:rsidRPr="001427AF" w14:paraId="558EACAF" w14:textId="77777777" w:rsidTr="002815C9">
        <w:trPr>
          <w:jc w:val="center"/>
        </w:trPr>
        <w:tc>
          <w:tcPr>
            <w:tcW w:w="1972" w:type="dxa"/>
            <w:tcBorders>
              <w:top w:val="nil"/>
              <w:left w:val="single" w:sz="6" w:space="0" w:color="000000"/>
              <w:bottom w:val="single" w:sz="6" w:space="0" w:color="000000"/>
              <w:right w:val="single" w:sz="6" w:space="0" w:color="000000"/>
            </w:tcBorders>
          </w:tcPr>
          <w:p w14:paraId="34341AF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GDV</w:t>
            </w:r>
          </w:p>
        </w:tc>
        <w:tc>
          <w:tcPr>
            <w:tcW w:w="7395" w:type="dxa"/>
            <w:tcBorders>
              <w:top w:val="nil"/>
              <w:left w:val="nil"/>
              <w:bottom w:val="single" w:sz="6" w:space="0" w:color="000000"/>
              <w:right w:val="single" w:sz="6" w:space="0" w:color="000000"/>
            </w:tcBorders>
          </w:tcPr>
          <w:p w14:paraId="4DFBF263"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Graduation Data Verification</w:t>
            </w:r>
          </w:p>
        </w:tc>
      </w:tr>
      <w:tr w:rsidR="004D577F" w:rsidRPr="001427AF" w14:paraId="16081FB9" w14:textId="77777777" w:rsidTr="002815C9">
        <w:trPr>
          <w:jc w:val="center"/>
        </w:trPr>
        <w:tc>
          <w:tcPr>
            <w:tcW w:w="1972" w:type="dxa"/>
            <w:tcBorders>
              <w:top w:val="nil"/>
              <w:left w:val="single" w:sz="6" w:space="0" w:color="000000"/>
              <w:bottom w:val="single" w:sz="6" w:space="0" w:color="000000"/>
              <w:right w:val="single" w:sz="6" w:space="0" w:color="000000"/>
            </w:tcBorders>
          </w:tcPr>
          <w:p w14:paraId="5D83A4EB"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HS</w:t>
            </w:r>
          </w:p>
        </w:tc>
        <w:tc>
          <w:tcPr>
            <w:tcW w:w="7395" w:type="dxa"/>
            <w:tcBorders>
              <w:top w:val="nil"/>
              <w:left w:val="nil"/>
              <w:bottom w:val="single" w:sz="6" w:space="0" w:color="000000"/>
              <w:right w:val="single" w:sz="6" w:space="0" w:color="000000"/>
            </w:tcBorders>
          </w:tcPr>
          <w:p w14:paraId="1E5AA211"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High School</w:t>
            </w:r>
          </w:p>
        </w:tc>
      </w:tr>
      <w:tr w:rsidR="004D577F" w:rsidRPr="001427AF" w14:paraId="1C2A944A"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50B5C2DD"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IDEA </w:t>
            </w:r>
          </w:p>
        </w:tc>
        <w:tc>
          <w:tcPr>
            <w:tcW w:w="7395" w:type="dxa"/>
            <w:tcBorders>
              <w:top w:val="nil"/>
              <w:left w:val="nil"/>
              <w:bottom w:val="single" w:sz="6" w:space="0" w:color="000000"/>
              <w:right w:val="single" w:sz="6" w:space="0" w:color="000000"/>
            </w:tcBorders>
            <w:hideMark/>
          </w:tcPr>
          <w:p w14:paraId="68017D23"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Individuals with Disabilities Education Improvement Act </w:t>
            </w:r>
          </w:p>
        </w:tc>
      </w:tr>
      <w:tr w:rsidR="004D577F" w:rsidRPr="001427AF" w14:paraId="40C90611" w14:textId="77777777" w:rsidTr="002815C9">
        <w:trPr>
          <w:jc w:val="center"/>
        </w:trPr>
        <w:tc>
          <w:tcPr>
            <w:tcW w:w="1972" w:type="dxa"/>
            <w:tcBorders>
              <w:top w:val="nil"/>
              <w:left w:val="single" w:sz="6" w:space="0" w:color="000000"/>
              <w:bottom w:val="single" w:sz="6" w:space="0" w:color="000000"/>
              <w:right w:val="single" w:sz="6" w:space="0" w:color="000000"/>
            </w:tcBorders>
          </w:tcPr>
          <w:p w14:paraId="288795E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i.e.</w:t>
            </w:r>
          </w:p>
        </w:tc>
        <w:tc>
          <w:tcPr>
            <w:tcW w:w="7395" w:type="dxa"/>
            <w:tcBorders>
              <w:top w:val="nil"/>
              <w:left w:val="nil"/>
              <w:bottom w:val="single" w:sz="6" w:space="0" w:color="000000"/>
              <w:right w:val="single" w:sz="6" w:space="0" w:color="000000"/>
            </w:tcBorders>
          </w:tcPr>
          <w:p w14:paraId="748F8407"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 xml:space="preserve">That is </w:t>
            </w:r>
          </w:p>
        </w:tc>
      </w:tr>
      <w:tr w:rsidR="004D577F" w:rsidRPr="001427AF" w14:paraId="7AD389A8" w14:textId="77777777" w:rsidTr="002815C9">
        <w:trPr>
          <w:jc w:val="center"/>
        </w:trPr>
        <w:tc>
          <w:tcPr>
            <w:tcW w:w="1972" w:type="dxa"/>
            <w:tcBorders>
              <w:top w:val="nil"/>
              <w:left w:val="single" w:sz="6" w:space="0" w:color="000000"/>
              <w:bottom w:val="single" w:sz="6" w:space="0" w:color="000000"/>
              <w:right w:val="single" w:sz="6" w:space="0" w:color="000000"/>
            </w:tcBorders>
          </w:tcPr>
          <w:p w14:paraId="7AFA8806"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lastRenderedPageBreak/>
              <w:t>IEP</w:t>
            </w:r>
          </w:p>
        </w:tc>
        <w:tc>
          <w:tcPr>
            <w:tcW w:w="7395" w:type="dxa"/>
            <w:tcBorders>
              <w:top w:val="nil"/>
              <w:left w:val="nil"/>
              <w:bottom w:val="single" w:sz="6" w:space="0" w:color="000000"/>
              <w:right w:val="single" w:sz="6" w:space="0" w:color="000000"/>
            </w:tcBorders>
          </w:tcPr>
          <w:p w14:paraId="784143D0"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Individualized Education Program</w:t>
            </w:r>
          </w:p>
        </w:tc>
      </w:tr>
      <w:tr w:rsidR="004D577F" w:rsidRPr="001427AF" w14:paraId="0FBA05D9"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2054DF0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LEA </w:t>
            </w:r>
          </w:p>
        </w:tc>
        <w:tc>
          <w:tcPr>
            <w:tcW w:w="7395" w:type="dxa"/>
            <w:tcBorders>
              <w:top w:val="nil"/>
              <w:left w:val="nil"/>
              <w:bottom w:val="single" w:sz="6" w:space="0" w:color="000000"/>
              <w:right w:val="single" w:sz="6" w:space="0" w:color="000000"/>
            </w:tcBorders>
            <w:hideMark/>
          </w:tcPr>
          <w:p w14:paraId="72FDDAA6"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Local Education Agency </w:t>
            </w:r>
          </w:p>
        </w:tc>
      </w:tr>
      <w:tr w:rsidR="004D577F" w:rsidRPr="001427AF" w14:paraId="0B9709CE"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6E7F0CE7"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LEA TC </w:t>
            </w:r>
          </w:p>
        </w:tc>
        <w:tc>
          <w:tcPr>
            <w:tcW w:w="7395" w:type="dxa"/>
            <w:tcBorders>
              <w:top w:val="nil"/>
              <w:left w:val="nil"/>
              <w:bottom w:val="single" w:sz="6" w:space="0" w:color="000000"/>
              <w:right w:val="single" w:sz="6" w:space="0" w:color="000000"/>
            </w:tcBorders>
            <w:hideMark/>
          </w:tcPr>
          <w:p w14:paraId="1B1EE72A"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LEA Test Coordinator </w:t>
            </w:r>
          </w:p>
        </w:tc>
      </w:tr>
      <w:tr w:rsidR="004D577F" w:rsidRPr="001427AF" w14:paraId="7044C30E"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3C5FEB9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LEA TA </w:t>
            </w:r>
          </w:p>
        </w:tc>
        <w:tc>
          <w:tcPr>
            <w:tcW w:w="7395" w:type="dxa"/>
            <w:tcBorders>
              <w:top w:val="nil"/>
              <w:left w:val="nil"/>
              <w:bottom w:val="single" w:sz="6" w:space="0" w:color="000000"/>
              <w:right w:val="single" w:sz="6" w:space="0" w:color="000000"/>
            </w:tcBorders>
            <w:hideMark/>
          </w:tcPr>
          <w:p w14:paraId="46DEE6B0"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LEA Test Assistant </w:t>
            </w:r>
          </w:p>
        </w:tc>
      </w:tr>
      <w:tr w:rsidR="009D351D" w:rsidRPr="001427AF" w14:paraId="7CF07366" w14:textId="77777777" w:rsidTr="002815C9">
        <w:trPr>
          <w:jc w:val="center"/>
        </w:trPr>
        <w:tc>
          <w:tcPr>
            <w:tcW w:w="1972" w:type="dxa"/>
            <w:tcBorders>
              <w:top w:val="nil"/>
              <w:left w:val="single" w:sz="6" w:space="0" w:color="000000"/>
              <w:bottom w:val="single" w:sz="6" w:space="0" w:color="000000"/>
              <w:right w:val="single" w:sz="6" w:space="0" w:color="000000"/>
            </w:tcBorders>
          </w:tcPr>
          <w:p w14:paraId="65869111" w14:textId="670B7424" w:rsidR="009D351D" w:rsidRPr="001427AF" w:rsidRDefault="009D351D" w:rsidP="004D577F">
            <w:pPr>
              <w:spacing w:line="240" w:lineRule="auto"/>
              <w:textAlignment w:val="baseline"/>
              <w:rPr>
                <w:rFonts w:ascii="Arial" w:hAnsi="Arial" w:cs="Arial"/>
                <w:color w:val="auto"/>
                <w:sz w:val="20"/>
              </w:rPr>
            </w:pPr>
            <w:r w:rsidRPr="001427AF">
              <w:rPr>
                <w:rFonts w:ascii="Arial" w:hAnsi="Arial" w:cs="Arial"/>
                <w:color w:val="auto"/>
                <w:sz w:val="20"/>
              </w:rPr>
              <w:t>LOC</w:t>
            </w:r>
          </w:p>
        </w:tc>
        <w:tc>
          <w:tcPr>
            <w:tcW w:w="7395" w:type="dxa"/>
            <w:tcBorders>
              <w:top w:val="nil"/>
              <w:left w:val="nil"/>
              <w:bottom w:val="single" w:sz="6" w:space="0" w:color="000000"/>
              <w:right w:val="single" w:sz="6" w:space="0" w:color="000000"/>
            </w:tcBorders>
          </w:tcPr>
          <w:p w14:paraId="7678375A" w14:textId="01F556FE" w:rsidR="009D351D" w:rsidRPr="001427AF" w:rsidRDefault="009D351D" w:rsidP="004D577F">
            <w:pPr>
              <w:spacing w:line="240" w:lineRule="auto"/>
              <w:textAlignment w:val="baseline"/>
              <w:rPr>
                <w:rFonts w:ascii="Arial" w:hAnsi="Arial" w:cs="Arial"/>
                <w:color w:val="auto"/>
                <w:sz w:val="20"/>
              </w:rPr>
            </w:pPr>
            <w:r w:rsidRPr="001427AF">
              <w:rPr>
                <w:rFonts w:ascii="Arial" w:hAnsi="Arial" w:cs="Arial"/>
                <w:color w:val="auto"/>
                <w:sz w:val="20"/>
              </w:rPr>
              <w:t xml:space="preserve">Local </w:t>
            </w:r>
            <w:r w:rsidR="006B4E7A" w:rsidRPr="001427AF">
              <w:rPr>
                <w:rFonts w:ascii="Arial" w:hAnsi="Arial" w:cs="Arial"/>
                <w:color w:val="auto"/>
                <w:sz w:val="20"/>
              </w:rPr>
              <w:t>Collection Option</w:t>
            </w:r>
          </w:p>
        </w:tc>
      </w:tr>
      <w:tr w:rsidR="004D577F" w:rsidRPr="001427AF" w14:paraId="70D8BD95"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18FBD71D"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LTG </w:t>
            </w:r>
          </w:p>
        </w:tc>
        <w:tc>
          <w:tcPr>
            <w:tcW w:w="7395" w:type="dxa"/>
            <w:tcBorders>
              <w:top w:val="nil"/>
              <w:left w:val="nil"/>
              <w:bottom w:val="single" w:sz="6" w:space="0" w:color="000000"/>
              <w:right w:val="single" w:sz="6" w:space="0" w:color="000000"/>
            </w:tcBorders>
            <w:hideMark/>
          </w:tcPr>
          <w:p w14:paraId="10784416"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Long Term Goals </w:t>
            </w:r>
          </w:p>
        </w:tc>
      </w:tr>
      <w:tr w:rsidR="004D577F" w:rsidRPr="001427AF" w14:paraId="1FC7A831" w14:textId="77777777" w:rsidTr="002815C9">
        <w:trPr>
          <w:jc w:val="center"/>
        </w:trPr>
        <w:tc>
          <w:tcPr>
            <w:tcW w:w="1972" w:type="dxa"/>
            <w:tcBorders>
              <w:top w:val="nil"/>
              <w:left w:val="single" w:sz="6" w:space="0" w:color="000000"/>
              <w:bottom w:val="single" w:sz="6" w:space="0" w:color="000000"/>
              <w:right w:val="single" w:sz="6" w:space="0" w:color="000000"/>
            </w:tcBorders>
          </w:tcPr>
          <w:p w14:paraId="45EDE2CE"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LTGSUM</w:t>
            </w:r>
          </w:p>
        </w:tc>
        <w:tc>
          <w:tcPr>
            <w:tcW w:w="7395" w:type="dxa"/>
            <w:tcBorders>
              <w:top w:val="nil"/>
              <w:left w:val="nil"/>
              <w:bottom w:val="single" w:sz="6" w:space="0" w:color="000000"/>
              <w:right w:val="single" w:sz="6" w:space="0" w:color="000000"/>
            </w:tcBorders>
          </w:tcPr>
          <w:p w14:paraId="5222E568" w14:textId="1A2DFB45"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Long Term Goal</w:t>
            </w:r>
            <w:r w:rsidR="001F3118" w:rsidRPr="001427AF">
              <w:rPr>
                <w:rFonts w:ascii="Arial" w:hAnsi="Arial" w:cs="Arial"/>
                <w:color w:val="auto"/>
                <w:sz w:val="20"/>
              </w:rPr>
              <w:t>s</w:t>
            </w:r>
            <w:r w:rsidRPr="001427AF">
              <w:rPr>
                <w:rFonts w:ascii="Arial" w:hAnsi="Arial" w:cs="Arial"/>
                <w:color w:val="auto"/>
                <w:sz w:val="20"/>
              </w:rPr>
              <w:t xml:space="preserve"> Summary</w:t>
            </w:r>
          </w:p>
        </w:tc>
      </w:tr>
      <w:tr w:rsidR="004D577F" w:rsidRPr="001427AF" w14:paraId="0EB83B30"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498C185F"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MCR </w:t>
            </w:r>
          </w:p>
        </w:tc>
        <w:tc>
          <w:tcPr>
            <w:tcW w:w="7395" w:type="dxa"/>
            <w:tcBorders>
              <w:top w:val="nil"/>
              <w:left w:val="nil"/>
              <w:bottom w:val="single" w:sz="6" w:space="0" w:color="000000"/>
              <w:right w:val="single" w:sz="6" w:space="0" w:color="000000"/>
            </w:tcBorders>
            <w:hideMark/>
          </w:tcPr>
          <w:p w14:paraId="1E8FD3AC"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Math Course Rigor </w:t>
            </w:r>
          </w:p>
        </w:tc>
      </w:tr>
      <w:tr w:rsidR="004D577F" w:rsidRPr="001427AF" w14:paraId="2E9DB760" w14:textId="77777777" w:rsidTr="002815C9">
        <w:trPr>
          <w:jc w:val="center"/>
        </w:trPr>
        <w:tc>
          <w:tcPr>
            <w:tcW w:w="1972" w:type="dxa"/>
            <w:tcBorders>
              <w:top w:val="nil"/>
              <w:left w:val="single" w:sz="6" w:space="0" w:color="000000"/>
              <w:bottom w:val="single" w:sz="6" w:space="0" w:color="000000"/>
              <w:right w:val="single" w:sz="6" w:space="0" w:color="000000"/>
            </w:tcBorders>
          </w:tcPr>
          <w:p w14:paraId="4CC361C6"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MRM</w:t>
            </w:r>
          </w:p>
        </w:tc>
        <w:tc>
          <w:tcPr>
            <w:tcW w:w="7395" w:type="dxa"/>
            <w:tcBorders>
              <w:top w:val="nil"/>
              <w:left w:val="nil"/>
              <w:bottom w:val="single" w:sz="6" w:space="0" w:color="000000"/>
              <w:right w:val="single" w:sz="6" w:space="0" w:color="000000"/>
            </w:tcBorders>
          </w:tcPr>
          <w:p w14:paraId="7E8AD1C0"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Multivariate Response Model</w:t>
            </w:r>
          </w:p>
        </w:tc>
      </w:tr>
      <w:tr w:rsidR="004D577F" w:rsidRPr="001427AF" w14:paraId="014FAA44" w14:textId="77777777" w:rsidTr="002815C9">
        <w:trPr>
          <w:jc w:val="center"/>
        </w:trPr>
        <w:tc>
          <w:tcPr>
            <w:tcW w:w="1972" w:type="dxa"/>
            <w:tcBorders>
              <w:top w:val="nil"/>
              <w:left w:val="single" w:sz="6" w:space="0" w:color="000000"/>
              <w:bottom w:val="single" w:sz="6" w:space="0" w:color="000000"/>
              <w:right w:val="single" w:sz="6" w:space="0" w:color="000000"/>
            </w:tcBorders>
          </w:tcPr>
          <w:p w14:paraId="7390A4D4"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NC</w:t>
            </w:r>
          </w:p>
        </w:tc>
        <w:tc>
          <w:tcPr>
            <w:tcW w:w="7395" w:type="dxa"/>
            <w:tcBorders>
              <w:top w:val="nil"/>
              <w:left w:val="nil"/>
              <w:bottom w:val="single" w:sz="6" w:space="0" w:color="000000"/>
              <w:right w:val="single" w:sz="6" w:space="0" w:color="000000"/>
            </w:tcBorders>
          </w:tcPr>
          <w:p w14:paraId="0F1059BF"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North Carolina</w:t>
            </w:r>
          </w:p>
        </w:tc>
      </w:tr>
      <w:tr w:rsidR="00E40312" w:rsidRPr="001427AF" w14:paraId="179544A4" w14:textId="77777777" w:rsidTr="002815C9">
        <w:trPr>
          <w:jc w:val="center"/>
        </w:trPr>
        <w:tc>
          <w:tcPr>
            <w:tcW w:w="1972" w:type="dxa"/>
            <w:tcBorders>
              <w:top w:val="nil"/>
              <w:left w:val="single" w:sz="6" w:space="0" w:color="000000"/>
              <w:bottom w:val="single" w:sz="6" w:space="0" w:color="000000"/>
              <w:right w:val="single" w:sz="6" w:space="0" w:color="000000"/>
            </w:tcBorders>
          </w:tcPr>
          <w:p w14:paraId="1121006D" w14:textId="7089F898" w:rsidR="00E40312" w:rsidRPr="001427AF" w:rsidRDefault="00E40312" w:rsidP="004D577F">
            <w:pPr>
              <w:spacing w:line="240" w:lineRule="auto"/>
              <w:textAlignment w:val="baseline"/>
              <w:rPr>
                <w:rFonts w:ascii="Arial" w:hAnsi="Arial" w:cs="Arial"/>
                <w:color w:val="auto"/>
                <w:sz w:val="20"/>
              </w:rPr>
            </w:pPr>
            <w:r>
              <w:rPr>
                <w:rFonts w:ascii="Arial" w:hAnsi="Arial" w:cs="Arial"/>
                <w:color w:val="auto"/>
                <w:sz w:val="20"/>
              </w:rPr>
              <w:t>NCSIS</w:t>
            </w:r>
          </w:p>
        </w:tc>
        <w:tc>
          <w:tcPr>
            <w:tcW w:w="7395" w:type="dxa"/>
            <w:tcBorders>
              <w:top w:val="nil"/>
              <w:left w:val="nil"/>
              <w:bottom w:val="single" w:sz="6" w:space="0" w:color="000000"/>
              <w:right w:val="single" w:sz="6" w:space="0" w:color="000000"/>
            </w:tcBorders>
          </w:tcPr>
          <w:p w14:paraId="3A1A21F3" w14:textId="32A78A83" w:rsidR="00E40312" w:rsidRPr="001427AF" w:rsidRDefault="00E40312" w:rsidP="004D577F">
            <w:pPr>
              <w:spacing w:line="240" w:lineRule="auto"/>
              <w:textAlignment w:val="baseline"/>
              <w:rPr>
                <w:rFonts w:ascii="Arial" w:hAnsi="Arial" w:cs="Arial"/>
                <w:color w:val="auto"/>
                <w:sz w:val="20"/>
              </w:rPr>
            </w:pPr>
            <w:r>
              <w:rPr>
                <w:rFonts w:ascii="Arial" w:hAnsi="Arial" w:cs="Arial"/>
                <w:color w:val="auto"/>
                <w:sz w:val="20"/>
              </w:rPr>
              <w:t xml:space="preserve">North Carolina Student Information System </w:t>
            </w:r>
            <w:r w:rsidR="00C36F31">
              <w:rPr>
                <w:rFonts w:ascii="Arial" w:hAnsi="Arial" w:cs="Arial"/>
                <w:color w:val="auto"/>
                <w:sz w:val="20"/>
              </w:rPr>
              <w:t>(Infinite Campus)</w:t>
            </w:r>
          </w:p>
        </w:tc>
      </w:tr>
      <w:tr w:rsidR="004D577F" w:rsidRPr="001427AF" w14:paraId="38913CDF" w14:textId="77777777" w:rsidTr="002815C9">
        <w:trPr>
          <w:jc w:val="center"/>
        </w:trPr>
        <w:tc>
          <w:tcPr>
            <w:tcW w:w="1972" w:type="dxa"/>
            <w:tcBorders>
              <w:top w:val="nil"/>
              <w:left w:val="single" w:sz="6" w:space="0" w:color="000000"/>
              <w:bottom w:val="single" w:sz="6" w:space="0" w:color="000000"/>
              <w:right w:val="single" w:sz="6" w:space="0" w:color="000000"/>
            </w:tcBorders>
          </w:tcPr>
          <w:p w14:paraId="684396D1"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NCDOA</w:t>
            </w:r>
          </w:p>
        </w:tc>
        <w:tc>
          <w:tcPr>
            <w:tcW w:w="7395" w:type="dxa"/>
            <w:tcBorders>
              <w:top w:val="nil"/>
              <w:left w:val="nil"/>
              <w:bottom w:val="single" w:sz="6" w:space="0" w:color="000000"/>
              <w:right w:val="single" w:sz="6" w:space="0" w:color="000000"/>
            </w:tcBorders>
          </w:tcPr>
          <w:p w14:paraId="03FDBEE6"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North Carolina Department of Administration</w:t>
            </w:r>
          </w:p>
        </w:tc>
      </w:tr>
      <w:tr w:rsidR="004D577F" w:rsidRPr="001427AF" w14:paraId="3202F0CB"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36D8FD25"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NCDPI </w:t>
            </w:r>
          </w:p>
        </w:tc>
        <w:tc>
          <w:tcPr>
            <w:tcW w:w="7395" w:type="dxa"/>
            <w:tcBorders>
              <w:top w:val="nil"/>
              <w:left w:val="nil"/>
              <w:bottom w:val="single" w:sz="6" w:space="0" w:color="000000"/>
              <w:right w:val="single" w:sz="6" w:space="0" w:color="000000"/>
            </w:tcBorders>
            <w:hideMark/>
          </w:tcPr>
          <w:p w14:paraId="3D744EE1"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North Carolina Department of Public Instruction </w:t>
            </w:r>
          </w:p>
        </w:tc>
      </w:tr>
      <w:tr w:rsidR="004D577F" w:rsidRPr="001427AF" w14:paraId="79CDEA6E"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35DC7A88" w14:textId="77777777" w:rsidR="004D577F" w:rsidRPr="001427AF" w:rsidRDefault="004D577F" w:rsidP="004D577F">
            <w:pPr>
              <w:spacing w:line="240" w:lineRule="auto"/>
              <w:textAlignment w:val="baseline"/>
              <w:rPr>
                <w:rFonts w:ascii="Arial" w:hAnsi="Arial" w:cs="Arial"/>
                <w:color w:val="auto"/>
                <w:sz w:val="20"/>
              </w:rPr>
            </w:pPr>
            <w:r w:rsidRPr="001427AF">
              <w:rPr>
                <w:rFonts w:ascii="Arial" w:hAnsi="Arial" w:cs="Arial"/>
                <w:color w:val="auto"/>
                <w:sz w:val="20"/>
              </w:rPr>
              <w:t>NCEXTEND1 </w:t>
            </w:r>
          </w:p>
        </w:tc>
        <w:tc>
          <w:tcPr>
            <w:tcW w:w="7395" w:type="dxa"/>
            <w:tcBorders>
              <w:top w:val="nil"/>
              <w:left w:val="nil"/>
              <w:bottom w:val="single" w:sz="6" w:space="0" w:color="000000"/>
              <w:right w:val="single" w:sz="6" w:space="0" w:color="000000"/>
            </w:tcBorders>
            <w:hideMark/>
          </w:tcPr>
          <w:p w14:paraId="665584A0" w14:textId="7E6B5155" w:rsidR="004D577F" w:rsidRPr="001427AF" w:rsidRDefault="00433BA5" w:rsidP="004D577F">
            <w:pPr>
              <w:spacing w:line="240" w:lineRule="auto"/>
              <w:textAlignment w:val="baseline"/>
              <w:rPr>
                <w:rFonts w:ascii="Arial" w:hAnsi="Arial" w:cs="Arial"/>
                <w:color w:val="auto"/>
                <w:sz w:val="20"/>
              </w:rPr>
            </w:pPr>
            <w:r w:rsidRPr="001427AF">
              <w:rPr>
                <w:rFonts w:ascii="Arial" w:hAnsi="Arial" w:cs="Arial"/>
                <w:color w:val="auto"/>
                <w:sz w:val="20"/>
              </w:rPr>
              <w:t>North Carolina</w:t>
            </w:r>
            <w:r w:rsidR="001F3118" w:rsidRPr="001427AF">
              <w:rPr>
                <w:rFonts w:ascii="Arial" w:hAnsi="Arial" w:cs="Arial"/>
                <w:color w:val="auto"/>
                <w:sz w:val="20"/>
              </w:rPr>
              <w:t>’s</w:t>
            </w:r>
            <w:r w:rsidRPr="001427AF">
              <w:rPr>
                <w:rFonts w:ascii="Arial" w:hAnsi="Arial" w:cs="Arial"/>
                <w:color w:val="auto"/>
                <w:sz w:val="20"/>
              </w:rPr>
              <w:t xml:space="preserve"> a</w:t>
            </w:r>
            <w:r w:rsidR="004D577F" w:rsidRPr="001427AF">
              <w:rPr>
                <w:rFonts w:ascii="Arial" w:hAnsi="Arial" w:cs="Arial"/>
                <w:color w:val="auto"/>
                <w:sz w:val="20"/>
              </w:rPr>
              <w:t>lternate assessment for EOG and EOC tests </w:t>
            </w:r>
          </w:p>
        </w:tc>
      </w:tr>
      <w:tr w:rsidR="007B1795" w:rsidRPr="001427AF" w14:paraId="006A800D" w14:textId="77777777" w:rsidTr="002815C9">
        <w:trPr>
          <w:jc w:val="center"/>
        </w:trPr>
        <w:tc>
          <w:tcPr>
            <w:tcW w:w="1972" w:type="dxa"/>
            <w:tcBorders>
              <w:top w:val="nil"/>
              <w:left w:val="single" w:sz="6" w:space="0" w:color="000000"/>
              <w:bottom w:val="single" w:sz="6" w:space="0" w:color="000000"/>
              <w:right w:val="single" w:sz="6" w:space="0" w:color="000000"/>
            </w:tcBorders>
          </w:tcPr>
          <w:p w14:paraId="0C59F2C9" w14:textId="05A7E31F"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NCV</w:t>
            </w:r>
          </w:p>
        </w:tc>
        <w:tc>
          <w:tcPr>
            <w:tcW w:w="7395" w:type="dxa"/>
            <w:tcBorders>
              <w:top w:val="nil"/>
              <w:left w:val="nil"/>
              <w:bottom w:val="single" w:sz="6" w:space="0" w:color="000000"/>
              <w:right w:val="single" w:sz="6" w:space="0" w:color="000000"/>
            </w:tcBorders>
          </w:tcPr>
          <w:p w14:paraId="71C3D25F" w14:textId="14C0D403"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Non-Content Visitor</w:t>
            </w:r>
          </w:p>
        </w:tc>
      </w:tr>
      <w:tr w:rsidR="007B1795" w:rsidRPr="001427AF" w14:paraId="31D2DD57" w14:textId="77777777" w:rsidTr="002815C9">
        <w:trPr>
          <w:jc w:val="center"/>
        </w:trPr>
        <w:tc>
          <w:tcPr>
            <w:tcW w:w="1972" w:type="dxa"/>
            <w:tcBorders>
              <w:top w:val="nil"/>
              <w:left w:val="single" w:sz="6" w:space="0" w:color="000000"/>
              <w:bottom w:val="single" w:sz="6" w:space="0" w:color="000000"/>
              <w:right w:val="single" w:sz="6" w:space="0" w:color="000000"/>
            </w:tcBorders>
          </w:tcPr>
          <w:p w14:paraId="44DB6515" w14:textId="44922FF6"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PARTSUM</w:t>
            </w:r>
          </w:p>
        </w:tc>
        <w:tc>
          <w:tcPr>
            <w:tcW w:w="7395" w:type="dxa"/>
            <w:tcBorders>
              <w:top w:val="nil"/>
              <w:left w:val="nil"/>
              <w:bottom w:val="single" w:sz="6" w:space="0" w:color="000000"/>
              <w:right w:val="single" w:sz="6" w:space="0" w:color="000000"/>
            </w:tcBorders>
          </w:tcPr>
          <w:p w14:paraId="2FC19DE3" w14:textId="3746C509"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Participation Summary</w:t>
            </w:r>
          </w:p>
        </w:tc>
      </w:tr>
      <w:tr w:rsidR="007B1795" w:rsidRPr="001427AF" w14:paraId="4D25F883"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6BA764E9"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PD </w:t>
            </w:r>
          </w:p>
        </w:tc>
        <w:tc>
          <w:tcPr>
            <w:tcW w:w="7395" w:type="dxa"/>
            <w:tcBorders>
              <w:top w:val="nil"/>
              <w:left w:val="nil"/>
              <w:bottom w:val="single" w:sz="6" w:space="0" w:color="000000"/>
              <w:right w:val="single" w:sz="6" w:space="0" w:color="000000"/>
            </w:tcBorders>
            <w:hideMark/>
          </w:tcPr>
          <w:p w14:paraId="0FD72EAA"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Professional Development </w:t>
            </w:r>
          </w:p>
        </w:tc>
      </w:tr>
      <w:tr w:rsidR="007B1795" w:rsidRPr="001427AF" w14:paraId="348E855C"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44BBA1BD"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PE </w:t>
            </w:r>
          </w:p>
        </w:tc>
        <w:tc>
          <w:tcPr>
            <w:tcW w:w="7395" w:type="dxa"/>
            <w:tcBorders>
              <w:top w:val="nil"/>
              <w:left w:val="nil"/>
              <w:bottom w:val="single" w:sz="6" w:space="0" w:color="000000"/>
              <w:right w:val="single" w:sz="6" w:space="0" w:color="000000"/>
            </w:tcBorders>
            <w:hideMark/>
          </w:tcPr>
          <w:p w14:paraId="6D38BBEE"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Partial Enrollment </w:t>
            </w:r>
          </w:p>
        </w:tc>
      </w:tr>
      <w:tr w:rsidR="007B1795" w:rsidRPr="001427AF" w14:paraId="665824F8" w14:textId="77777777" w:rsidTr="002815C9">
        <w:trPr>
          <w:jc w:val="center"/>
        </w:trPr>
        <w:tc>
          <w:tcPr>
            <w:tcW w:w="1972" w:type="dxa"/>
            <w:tcBorders>
              <w:top w:val="nil"/>
              <w:left w:val="single" w:sz="6" w:space="0" w:color="000000"/>
              <w:bottom w:val="single" w:sz="6" w:space="0" w:color="000000"/>
              <w:right w:val="single" w:sz="6" w:space="0" w:color="000000"/>
            </w:tcBorders>
          </w:tcPr>
          <w:p w14:paraId="5A9EE37A"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PEF</w:t>
            </w:r>
          </w:p>
        </w:tc>
        <w:tc>
          <w:tcPr>
            <w:tcW w:w="7395" w:type="dxa"/>
            <w:tcBorders>
              <w:top w:val="nil"/>
              <w:left w:val="nil"/>
              <w:bottom w:val="single" w:sz="6" w:space="0" w:color="000000"/>
              <w:right w:val="single" w:sz="6" w:space="0" w:color="000000"/>
            </w:tcBorders>
          </w:tcPr>
          <w:p w14:paraId="1C899CFC"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Partial Enrollment Fall</w:t>
            </w:r>
          </w:p>
        </w:tc>
      </w:tr>
      <w:tr w:rsidR="007B1795" w:rsidRPr="001427AF" w14:paraId="2CF4BFFE" w14:textId="77777777" w:rsidTr="002815C9">
        <w:trPr>
          <w:jc w:val="center"/>
        </w:trPr>
        <w:tc>
          <w:tcPr>
            <w:tcW w:w="1972" w:type="dxa"/>
            <w:tcBorders>
              <w:top w:val="nil"/>
              <w:left w:val="single" w:sz="6" w:space="0" w:color="000000"/>
              <w:bottom w:val="single" w:sz="6" w:space="0" w:color="000000"/>
              <w:right w:val="single" w:sz="6" w:space="0" w:color="000000"/>
            </w:tcBorders>
          </w:tcPr>
          <w:p w14:paraId="5E8F2B7D"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PES</w:t>
            </w:r>
          </w:p>
        </w:tc>
        <w:tc>
          <w:tcPr>
            <w:tcW w:w="7395" w:type="dxa"/>
            <w:tcBorders>
              <w:top w:val="nil"/>
              <w:left w:val="nil"/>
              <w:bottom w:val="single" w:sz="6" w:space="0" w:color="000000"/>
              <w:right w:val="single" w:sz="6" w:space="0" w:color="000000"/>
            </w:tcBorders>
          </w:tcPr>
          <w:p w14:paraId="35843BBE"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Partial Enrollment Spring</w:t>
            </w:r>
          </w:p>
        </w:tc>
      </w:tr>
      <w:tr w:rsidR="007B1795" w:rsidRPr="001427AF" w14:paraId="411CD7D9" w14:textId="77777777" w:rsidTr="002815C9">
        <w:trPr>
          <w:jc w:val="center"/>
        </w:trPr>
        <w:tc>
          <w:tcPr>
            <w:tcW w:w="1972" w:type="dxa"/>
            <w:tcBorders>
              <w:top w:val="nil"/>
              <w:left w:val="single" w:sz="6" w:space="0" w:color="000000"/>
              <w:bottom w:val="single" w:sz="6" w:space="0" w:color="000000"/>
              <w:right w:val="single" w:sz="6" w:space="0" w:color="000000"/>
            </w:tcBorders>
          </w:tcPr>
          <w:p w14:paraId="44763031"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PEY</w:t>
            </w:r>
          </w:p>
        </w:tc>
        <w:tc>
          <w:tcPr>
            <w:tcW w:w="7395" w:type="dxa"/>
            <w:tcBorders>
              <w:top w:val="nil"/>
              <w:left w:val="nil"/>
              <w:bottom w:val="single" w:sz="6" w:space="0" w:color="000000"/>
              <w:right w:val="single" w:sz="6" w:space="0" w:color="000000"/>
            </w:tcBorders>
          </w:tcPr>
          <w:p w14:paraId="05239521"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Partial Enrollment Year</w:t>
            </w:r>
          </w:p>
        </w:tc>
      </w:tr>
      <w:tr w:rsidR="007B1795" w:rsidRPr="001427AF" w14:paraId="3C07C2F7" w14:textId="77777777" w:rsidTr="002815C9">
        <w:trPr>
          <w:jc w:val="center"/>
        </w:trPr>
        <w:tc>
          <w:tcPr>
            <w:tcW w:w="1972" w:type="dxa"/>
            <w:tcBorders>
              <w:top w:val="nil"/>
              <w:left w:val="single" w:sz="6" w:space="0" w:color="000000"/>
              <w:bottom w:val="single" w:sz="6" w:space="0" w:color="000000"/>
              <w:right w:val="single" w:sz="6" w:space="0" w:color="000000"/>
            </w:tcBorders>
          </w:tcPr>
          <w:p w14:paraId="0A9176E7"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PII</w:t>
            </w:r>
          </w:p>
        </w:tc>
        <w:tc>
          <w:tcPr>
            <w:tcW w:w="7395" w:type="dxa"/>
            <w:tcBorders>
              <w:top w:val="nil"/>
              <w:left w:val="nil"/>
              <w:bottom w:val="single" w:sz="6" w:space="0" w:color="000000"/>
              <w:right w:val="single" w:sz="6" w:space="0" w:color="000000"/>
            </w:tcBorders>
          </w:tcPr>
          <w:p w14:paraId="098B31F2" w14:textId="39277331"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Personal</w:t>
            </w:r>
            <w:r w:rsidR="00433BA5" w:rsidRPr="001427AF">
              <w:rPr>
                <w:rFonts w:ascii="Arial" w:hAnsi="Arial" w:cs="Arial"/>
                <w:color w:val="auto"/>
                <w:sz w:val="20"/>
              </w:rPr>
              <w:t>ly</w:t>
            </w:r>
            <w:r w:rsidRPr="001427AF">
              <w:rPr>
                <w:rFonts w:ascii="Arial" w:hAnsi="Arial" w:cs="Arial"/>
                <w:color w:val="auto"/>
                <w:sz w:val="20"/>
              </w:rPr>
              <w:t xml:space="preserve"> Identifiable Information</w:t>
            </w:r>
          </w:p>
        </w:tc>
      </w:tr>
      <w:tr w:rsidR="007B1795" w:rsidRPr="001427AF" w14:paraId="5BD69CF7"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633FE467"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P-SAT </w:t>
            </w:r>
          </w:p>
        </w:tc>
        <w:tc>
          <w:tcPr>
            <w:tcW w:w="7395" w:type="dxa"/>
            <w:tcBorders>
              <w:top w:val="nil"/>
              <w:left w:val="nil"/>
              <w:bottom w:val="single" w:sz="6" w:space="0" w:color="000000"/>
              <w:right w:val="single" w:sz="6" w:space="0" w:color="000000"/>
            </w:tcBorders>
            <w:hideMark/>
          </w:tcPr>
          <w:p w14:paraId="252A1E3C"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Preliminary Scholastic Aptitude Test </w:t>
            </w:r>
          </w:p>
        </w:tc>
      </w:tr>
      <w:tr w:rsidR="007B1795" w:rsidRPr="001427AF" w14:paraId="38E6AF61"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5350A046"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RAC </w:t>
            </w:r>
          </w:p>
        </w:tc>
        <w:tc>
          <w:tcPr>
            <w:tcW w:w="7395" w:type="dxa"/>
            <w:tcBorders>
              <w:top w:val="nil"/>
              <w:left w:val="nil"/>
              <w:bottom w:val="single" w:sz="6" w:space="0" w:color="000000"/>
              <w:right w:val="single" w:sz="6" w:space="0" w:color="000000"/>
            </w:tcBorders>
            <w:hideMark/>
          </w:tcPr>
          <w:p w14:paraId="57217086"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Regional Accountability Coordinator </w:t>
            </w:r>
          </w:p>
        </w:tc>
      </w:tr>
      <w:tr w:rsidR="007B1795" w:rsidRPr="001427AF" w14:paraId="6837B9D1"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4E2E8E5"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RCC </w:t>
            </w:r>
          </w:p>
        </w:tc>
        <w:tc>
          <w:tcPr>
            <w:tcW w:w="7395" w:type="dxa"/>
            <w:tcBorders>
              <w:top w:val="nil"/>
              <w:left w:val="nil"/>
              <w:bottom w:val="single" w:sz="6" w:space="0" w:color="000000"/>
              <w:right w:val="single" w:sz="6" w:space="0" w:color="000000"/>
            </w:tcBorders>
            <w:hideMark/>
          </w:tcPr>
          <w:p w14:paraId="100D45B4"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Regional Computing Consultant </w:t>
            </w:r>
          </w:p>
        </w:tc>
      </w:tr>
      <w:tr w:rsidR="007B1795" w:rsidRPr="001427AF" w14:paraId="1F7A75FD" w14:textId="77777777" w:rsidTr="002815C9">
        <w:trPr>
          <w:jc w:val="center"/>
        </w:trPr>
        <w:tc>
          <w:tcPr>
            <w:tcW w:w="1972" w:type="dxa"/>
            <w:tcBorders>
              <w:top w:val="nil"/>
              <w:left w:val="single" w:sz="6" w:space="0" w:color="000000"/>
              <w:bottom w:val="single" w:sz="6" w:space="0" w:color="000000"/>
              <w:right w:val="single" w:sz="6" w:space="0" w:color="000000"/>
            </w:tcBorders>
          </w:tcPr>
          <w:p w14:paraId="3CE0864E"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REPSUM</w:t>
            </w:r>
          </w:p>
        </w:tc>
        <w:tc>
          <w:tcPr>
            <w:tcW w:w="7395" w:type="dxa"/>
            <w:tcBorders>
              <w:top w:val="nil"/>
              <w:left w:val="nil"/>
              <w:bottom w:val="single" w:sz="6" w:space="0" w:color="000000"/>
              <w:right w:val="single" w:sz="6" w:space="0" w:color="000000"/>
            </w:tcBorders>
          </w:tcPr>
          <w:p w14:paraId="0C8D3016"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Reporting Summary</w:t>
            </w:r>
          </w:p>
        </w:tc>
      </w:tr>
      <w:tr w:rsidR="007B1795" w:rsidRPr="001427AF" w14:paraId="397E6A96"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380D3504" w14:textId="77777777" w:rsidR="007B1795" w:rsidRPr="001427AF" w:rsidRDefault="007B1795" w:rsidP="007B1795">
            <w:pPr>
              <w:spacing w:line="240" w:lineRule="auto"/>
              <w:textAlignment w:val="baseline"/>
              <w:rPr>
                <w:rFonts w:ascii="Arial" w:hAnsi="Arial" w:cs="Arial"/>
                <w:color w:val="auto"/>
                <w:sz w:val="20"/>
              </w:rPr>
            </w:pPr>
            <w:proofErr w:type="spellStart"/>
            <w:r w:rsidRPr="001427AF">
              <w:rPr>
                <w:rFonts w:ascii="Arial" w:hAnsi="Arial" w:cs="Arial"/>
                <w:color w:val="auto"/>
                <w:sz w:val="20"/>
              </w:rPr>
              <w:t>RtA</w:t>
            </w:r>
            <w:proofErr w:type="spellEnd"/>
            <w:r w:rsidRPr="001427AF">
              <w:rPr>
                <w:rFonts w:ascii="Arial" w:hAnsi="Arial" w:cs="Arial"/>
                <w:color w:val="auto"/>
                <w:sz w:val="20"/>
              </w:rPr>
              <w:t> </w:t>
            </w:r>
          </w:p>
        </w:tc>
        <w:tc>
          <w:tcPr>
            <w:tcW w:w="7395" w:type="dxa"/>
            <w:tcBorders>
              <w:top w:val="nil"/>
              <w:left w:val="nil"/>
              <w:bottom w:val="single" w:sz="6" w:space="0" w:color="000000"/>
              <w:right w:val="single" w:sz="6" w:space="0" w:color="000000"/>
            </w:tcBorders>
            <w:hideMark/>
          </w:tcPr>
          <w:p w14:paraId="6DB7A694"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Read to Achieve </w:t>
            </w:r>
          </w:p>
        </w:tc>
      </w:tr>
      <w:tr w:rsidR="007B1795" w:rsidRPr="001427AF" w14:paraId="0505224C"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41CBC8D8"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SAG </w:t>
            </w:r>
          </w:p>
        </w:tc>
        <w:tc>
          <w:tcPr>
            <w:tcW w:w="7395" w:type="dxa"/>
            <w:tcBorders>
              <w:top w:val="nil"/>
              <w:left w:val="nil"/>
              <w:bottom w:val="single" w:sz="6" w:space="0" w:color="000000"/>
              <w:right w:val="single" w:sz="6" w:space="0" w:color="000000"/>
            </w:tcBorders>
            <w:hideMark/>
          </w:tcPr>
          <w:p w14:paraId="41E4E3D4"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School Accountability Growth </w:t>
            </w:r>
          </w:p>
        </w:tc>
      </w:tr>
      <w:tr w:rsidR="007B1795" w:rsidRPr="001427AF" w14:paraId="5356C289" w14:textId="77777777" w:rsidTr="002815C9">
        <w:trPr>
          <w:jc w:val="center"/>
        </w:trPr>
        <w:tc>
          <w:tcPr>
            <w:tcW w:w="1972" w:type="dxa"/>
            <w:tcBorders>
              <w:top w:val="nil"/>
              <w:left w:val="single" w:sz="6" w:space="0" w:color="000000"/>
              <w:bottom w:val="single" w:sz="6" w:space="0" w:color="000000"/>
              <w:right w:val="single" w:sz="6" w:space="0" w:color="000000"/>
            </w:tcBorders>
          </w:tcPr>
          <w:p w14:paraId="31016EC3"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SAT</w:t>
            </w:r>
          </w:p>
        </w:tc>
        <w:tc>
          <w:tcPr>
            <w:tcW w:w="7395" w:type="dxa"/>
            <w:tcBorders>
              <w:top w:val="nil"/>
              <w:left w:val="nil"/>
              <w:bottom w:val="single" w:sz="6" w:space="0" w:color="000000"/>
              <w:right w:val="single" w:sz="6" w:space="0" w:color="000000"/>
            </w:tcBorders>
          </w:tcPr>
          <w:p w14:paraId="1F030EAD"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sz w:val="20"/>
              </w:rPr>
              <w:t>Scholastic Aptitude Test</w:t>
            </w:r>
          </w:p>
        </w:tc>
      </w:tr>
      <w:tr w:rsidR="007B1795" w:rsidRPr="001427AF" w14:paraId="794FB445"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4271EABF"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SBE </w:t>
            </w:r>
          </w:p>
        </w:tc>
        <w:tc>
          <w:tcPr>
            <w:tcW w:w="7395" w:type="dxa"/>
            <w:tcBorders>
              <w:top w:val="nil"/>
              <w:left w:val="nil"/>
              <w:bottom w:val="single" w:sz="6" w:space="0" w:color="000000"/>
              <w:right w:val="single" w:sz="6" w:space="0" w:color="000000"/>
            </w:tcBorders>
            <w:hideMark/>
          </w:tcPr>
          <w:p w14:paraId="27476739"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State Board of Education </w:t>
            </w:r>
          </w:p>
        </w:tc>
      </w:tr>
      <w:tr w:rsidR="007B1795" w:rsidRPr="001427AF" w14:paraId="7EC95F45" w14:textId="77777777" w:rsidTr="002815C9">
        <w:trPr>
          <w:jc w:val="center"/>
        </w:trPr>
        <w:tc>
          <w:tcPr>
            <w:tcW w:w="1972" w:type="dxa"/>
            <w:tcBorders>
              <w:top w:val="nil"/>
              <w:left w:val="single" w:sz="6" w:space="0" w:color="000000"/>
              <w:bottom w:val="single" w:sz="6" w:space="0" w:color="000000"/>
              <w:right w:val="single" w:sz="6" w:space="0" w:color="000000"/>
            </w:tcBorders>
          </w:tcPr>
          <w:p w14:paraId="01C3AE9C"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SD</w:t>
            </w:r>
          </w:p>
        </w:tc>
        <w:tc>
          <w:tcPr>
            <w:tcW w:w="7395" w:type="dxa"/>
            <w:tcBorders>
              <w:top w:val="nil"/>
              <w:left w:val="nil"/>
              <w:bottom w:val="single" w:sz="6" w:space="0" w:color="000000"/>
              <w:right w:val="single" w:sz="6" w:space="0" w:color="000000"/>
            </w:tcBorders>
          </w:tcPr>
          <w:p w14:paraId="4B0E4DBE"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School Quality Denominator</w:t>
            </w:r>
          </w:p>
        </w:tc>
      </w:tr>
      <w:tr w:rsidR="007B1795" w:rsidRPr="001427AF" w14:paraId="0B2D7FDF"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0E58C478"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SPG </w:t>
            </w:r>
          </w:p>
        </w:tc>
        <w:tc>
          <w:tcPr>
            <w:tcW w:w="7395" w:type="dxa"/>
            <w:tcBorders>
              <w:top w:val="nil"/>
              <w:left w:val="nil"/>
              <w:bottom w:val="single" w:sz="6" w:space="0" w:color="000000"/>
              <w:right w:val="single" w:sz="6" w:space="0" w:color="000000"/>
            </w:tcBorders>
            <w:hideMark/>
          </w:tcPr>
          <w:p w14:paraId="7E75E05E"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School Performance Grades </w:t>
            </w:r>
          </w:p>
        </w:tc>
      </w:tr>
      <w:tr w:rsidR="007B1795" w:rsidRPr="001427AF" w14:paraId="561D790A" w14:textId="77777777" w:rsidTr="002815C9">
        <w:trPr>
          <w:jc w:val="center"/>
        </w:trPr>
        <w:tc>
          <w:tcPr>
            <w:tcW w:w="1972" w:type="dxa"/>
            <w:tcBorders>
              <w:top w:val="nil"/>
              <w:left w:val="single" w:sz="6" w:space="0" w:color="000000"/>
              <w:bottom w:val="single" w:sz="6" w:space="0" w:color="000000"/>
              <w:right w:val="single" w:sz="6" w:space="0" w:color="000000"/>
            </w:tcBorders>
          </w:tcPr>
          <w:p w14:paraId="6B8F3C17" w14:textId="77777777"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SPGSUM</w:t>
            </w:r>
          </w:p>
        </w:tc>
        <w:tc>
          <w:tcPr>
            <w:tcW w:w="7395" w:type="dxa"/>
            <w:tcBorders>
              <w:top w:val="nil"/>
              <w:left w:val="nil"/>
              <w:bottom w:val="single" w:sz="6" w:space="0" w:color="000000"/>
              <w:right w:val="single" w:sz="6" w:space="0" w:color="000000"/>
            </w:tcBorders>
          </w:tcPr>
          <w:p w14:paraId="71013364" w14:textId="4C6A329A" w:rsidR="007B1795" w:rsidRPr="001427AF" w:rsidRDefault="007B1795" w:rsidP="007B1795">
            <w:pPr>
              <w:spacing w:line="240" w:lineRule="auto"/>
              <w:textAlignment w:val="baseline"/>
              <w:rPr>
                <w:rFonts w:ascii="Arial" w:hAnsi="Arial" w:cs="Arial"/>
                <w:color w:val="auto"/>
                <w:sz w:val="20"/>
              </w:rPr>
            </w:pPr>
            <w:r w:rsidRPr="001427AF">
              <w:rPr>
                <w:rFonts w:ascii="Arial" w:hAnsi="Arial" w:cs="Arial"/>
                <w:color w:val="auto"/>
                <w:sz w:val="20"/>
              </w:rPr>
              <w:t>School Performance Grade</w:t>
            </w:r>
            <w:r w:rsidR="001F3118" w:rsidRPr="001427AF">
              <w:rPr>
                <w:rFonts w:ascii="Arial" w:hAnsi="Arial" w:cs="Arial"/>
                <w:color w:val="auto"/>
                <w:sz w:val="20"/>
              </w:rPr>
              <w:t>s</w:t>
            </w:r>
            <w:r w:rsidRPr="001427AF">
              <w:rPr>
                <w:rFonts w:ascii="Arial" w:hAnsi="Arial" w:cs="Arial"/>
                <w:color w:val="auto"/>
                <w:sz w:val="20"/>
              </w:rPr>
              <w:t xml:space="preserve"> Summary</w:t>
            </w:r>
          </w:p>
        </w:tc>
      </w:tr>
      <w:tr w:rsidR="00CD14B7" w:rsidRPr="001427AF" w14:paraId="2C0FB6D4" w14:textId="77777777" w:rsidTr="002815C9">
        <w:trPr>
          <w:jc w:val="center"/>
        </w:trPr>
        <w:tc>
          <w:tcPr>
            <w:tcW w:w="1972" w:type="dxa"/>
            <w:tcBorders>
              <w:top w:val="nil"/>
              <w:left w:val="single" w:sz="6" w:space="0" w:color="000000"/>
              <w:bottom w:val="single" w:sz="6" w:space="0" w:color="000000"/>
              <w:right w:val="single" w:sz="6" w:space="0" w:color="000000"/>
            </w:tcBorders>
          </w:tcPr>
          <w:p w14:paraId="2717332B" w14:textId="6CA1E90A"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SQ</w:t>
            </w:r>
          </w:p>
        </w:tc>
        <w:tc>
          <w:tcPr>
            <w:tcW w:w="7395" w:type="dxa"/>
            <w:tcBorders>
              <w:top w:val="nil"/>
              <w:left w:val="nil"/>
              <w:bottom w:val="single" w:sz="6" w:space="0" w:color="000000"/>
              <w:right w:val="single" w:sz="6" w:space="0" w:color="000000"/>
            </w:tcBorders>
          </w:tcPr>
          <w:p w14:paraId="4012CB58" w14:textId="1A7621D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sz w:val="20"/>
              </w:rPr>
              <w:t>School Quality</w:t>
            </w:r>
          </w:p>
        </w:tc>
      </w:tr>
      <w:tr w:rsidR="00CD14B7" w:rsidRPr="001427AF" w14:paraId="7269A9D1" w14:textId="77777777" w:rsidTr="002815C9">
        <w:trPr>
          <w:jc w:val="center"/>
        </w:trPr>
        <w:tc>
          <w:tcPr>
            <w:tcW w:w="1972" w:type="dxa"/>
            <w:tcBorders>
              <w:top w:val="nil"/>
              <w:left w:val="single" w:sz="6" w:space="0" w:color="000000"/>
              <w:bottom w:val="single" w:sz="6" w:space="0" w:color="000000"/>
              <w:right w:val="single" w:sz="6" w:space="0" w:color="000000"/>
            </w:tcBorders>
          </w:tcPr>
          <w:p w14:paraId="2D68081F" w14:textId="40FCFCAA"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SD</w:t>
            </w:r>
          </w:p>
        </w:tc>
        <w:tc>
          <w:tcPr>
            <w:tcW w:w="7395" w:type="dxa"/>
            <w:tcBorders>
              <w:top w:val="nil"/>
              <w:left w:val="nil"/>
              <w:bottom w:val="single" w:sz="6" w:space="0" w:color="000000"/>
              <w:right w:val="single" w:sz="6" w:space="0" w:color="000000"/>
            </w:tcBorders>
          </w:tcPr>
          <w:p w14:paraId="0B0C501A" w14:textId="4475CB24"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sz w:val="20"/>
              </w:rPr>
              <w:t>School Quality Denominator</w:t>
            </w:r>
          </w:p>
        </w:tc>
      </w:tr>
      <w:tr w:rsidR="00CD14B7" w:rsidRPr="001427AF" w14:paraId="7D259AC2" w14:textId="77777777" w:rsidTr="002815C9">
        <w:trPr>
          <w:jc w:val="center"/>
        </w:trPr>
        <w:tc>
          <w:tcPr>
            <w:tcW w:w="1972" w:type="dxa"/>
            <w:tcBorders>
              <w:top w:val="nil"/>
              <w:left w:val="single" w:sz="6" w:space="0" w:color="000000"/>
              <w:bottom w:val="single" w:sz="6" w:space="0" w:color="000000"/>
              <w:right w:val="single" w:sz="6" w:space="0" w:color="000000"/>
            </w:tcBorders>
          </w:tcPr>
          <w:p w14:paraId="43B95C42"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SRP</w:t>
            </w:r>
          </w:p>
        </w:tc>
        <w:tc>
          <w:tcPr>
            <w:tcW w:w="7395" w:type="dxa"/>
            <w:tcBorders>
              <w:top w:val="nil"/>
              <w:left w:val="nil"/>
              <w:bottom w:val="single" w:sz="6" w:space="0" w:color="000000"/>
              <w:right w:val="single" w:sz="6" w:space="0" w:color="000000"/>
            </w:tcBorders>
          </w:tcPr>
          <w:p w14:paraId="391531D5"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sz w:val="20"/>
              </w:rPr>
              <w:t>School Quality Relative Percent</w:t>
            </w:r>
          </w:p>
        </w:tc>
      </w:tr>
      <w:tr w:rsidR="00CD14B7" w:rsidRPr="001427AF" w14:paraId="3E488DCF"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26AEF146"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SWD </w:t>
            </w:r>
          </w:p>
        </w:tc>
        <w:tc>
          <w:tcPr>
            <w:tcW w:w="7395" w:type="dxa"/>
            <w:tcBorders>
              <w:top w:val="nil"/>
              <w:left w:val="nil"/>
              <w:bottom w:val="single" w:sz="6" w:space="0" w:color="000000"/>
              <w:right w:val="single" w:sz="6" w:space="0" w:color="000000"/>
            </w:tcBorders>
            <w:hideMark/>
          </w:tcPr>
          <w:p w14:paraId="206ADA61"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Student with Disability </w:t>
            </w:r>
          </w:p>
        </w:tc>
      </w:tr>
      <w:tr w:rsidR="00CD14B7" w:rsidRPr="001427AF" w14:paraId="51A16153" w14:textId="77777777" w:rsidTr="002815C9">
        <w:trPr>
          <w:jc w:val="center"/>
        </w:trPr>
        <w:tc>
          <w:tcPr>
            <w:tcW w:w="1972" w:type="dxa"/>
            <w:tcBorders>
              <w:top w:val="nil"/>
              <w:left w:val="single" w:sz="6" w:space="0" w:color="000000"/>
              <w:bottom w:val="single" w:sz="6" w:space="0" w:color="000000"/>
              <w:right w:val="single" w:sz="6" w:space="0" w:color="000000"/>
            </w:tcBorders>
          </w:tcPr>
          <w:p w14:paraId="00751E7C"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TC</w:t>
            </w:r>
          </w:p>
        </w:tc>
        <w:tc>
          <w:tcPr>
            <w:tcW w:w="7395" w:type="dxa"/>
            <w:tcBorders>
              <w:top w:val="nil"/>
              <w:left w:val="nil"/>
              <w:bottom w:val="single" w:sz="6" w:space="0" w:color="000000"/>
              <w:right w:val="single" w:sz="6" w:space="0" w:color="000000"/>
            </w:tcBorders>
          </w:tcPr>
          <w:p w14:paraId="281F3E2F"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Test Coordinator</w:t>
            </w:r>
          </w:p>
        </w:tc>
      </w:tr>
      <w:tr w:rsidR="00FC14B2" w:rsidRPr="001427AF" w14:paraId="759E1ECA" w14:textId="77777777" w:rsidTr="002815C9">
        <w:trPr>
          <w:jc w:val="center"/>
        </w:trPr>
        <w:tc>
          <w:tcPr>
            <w:tcW w:w="1972" w:type="dxa"/>
            <w:tcBorders>
              <w:top w:val="nil"/>
              <w:left w:val="single" w:sz="6" w:space="0" w:color="000000"/>
              <w:bottom w:val="single" w:sz="6" w:space="0" w:color="000000"/>
              <w:right w:val="single" w:sz="6" w:space="0" w:color="000000"/>
            </w:tcBorders>
          </w:tcPr>
          <w:p w14:paraId="71B774D7" w14:textId="44352D37" w:rsidR="00FC14B2" w:rsidRPr="001427AF" w:rsidRDefault="00FC14B2" w:rsidP="00CD14B7">
            <w:pPr>
              <w:spacing w:line="240" w:lineRule="auto"/>
              <w:textAlignment w:val="baseline"/>
              <w:rPr>
                <w:rFonts w:ascii="Arial" w:hAnsi="Arial" w:cs="Arial"/>
                <w:color w:val="auto"/>
                <w:sz w:val="20"/>
              </w:rPr>
            </w:pPr>
            <w:r w:rsidRPr="001427AF">
              <w:rPr>
                <w:rFonts w:ascii="Arial" w:hAnsi="Arial" w:cs="Arial"/>
                <w:color w:val="auto"/>
                <w:sz w:val="20"/>
              </w:rPr>
              <w:t>The ACT</w:t>
            </w:r>
          </w:p>
        </w:tc>
        <w:tc>
          <w:tcPr>
            <w:tcW w:w="7395" w:type="dxa"/>
            <w:tcBorders>
              <w:top w:val="nil"/>
              <w:left w:val="nil"/>
              <w:bottom w:val="single" w:sz="6" w:space="0" w:color="000000"/>
              <w:right w:val="single" w:sz="6" w:space="0" w:color="000000"/>
            </w:tcBorders>
          </w:tcPr>
          <w:p w14:paraId="260A5651" w14:textId="44F78D70" w:rsidR="00FC14B2" w:rsidRPr="001427AF" w:rsidRDefault="00FC14B2" w:rsidP="00CD14B7">
            <w:pPr>
              <w:spacing w:line="240" w:lineRule="auto"/>
              <w:textAlignment w:val="baseline"/>
              <w:rPr>
                <w:rFonts w:ascii="Arial" w:hAnsi="Arial" w:cs="Arial"/>
                <w:color w:val="auto"/>
                <w:sz w:val="20"/>
              </w:rPr>
            </w:pPr>
            <w:r w:rsidRPr="001427AF">
              <w:rPr>
                <w:rFonts w:ascii="Arial" w:hAnsi="Arial" w:cs="Arial"/>
                <w:color w:val="auto"/>
                <w:sz w:val="20"/>
              </w:rPr>
              <w:t>The American College Test</w:t>
            </w:r>
            <w:r w:rsidR="001F3118" w:rsidRPr="001427AF">
              <w:rPr>
                <w:rFonts w:ascii="Arial" w:hAnsi="Arial" w:cs="Arial"/>
                <w:color w:val="auto"/>
                <w:sz w:val="20"/>
              </w:rPr>
              <w:t xml:space="preserve"> (the test name)</w:t>
            </w:r>
          </w:p>
        </w:tc>
      </w:tr>
      <w:tr w:rsidR="00CD14B7" w:rsidRPr="001427AF" w14:paraId="19C81680"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371F80BC"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TSI </w:t>
            </w:r>
          </w:p>
        </w:tc>
        <w:tc>
          <w:tcPr>
            <w:tcW w:w="7395" w:type="dxa"/>
            <w:tcBorders>
              <w:top w:val="nil"/>
              <w:left w:val="nil"/>
              <w:bottom w:val="single" w:sz="6" w:space="0" w:color="000000"/>
              <w:right w:val="single" w:sz="6" w:space="0" w:color="000000"/>
            </w:tcBorders>
            <w:hideMark/>
          </w:tcPr>
          <w:p w14:paraId="4E9A8AB5"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Targeted Support and Improvement </w:t>
            </w:r>
          </w:p>
        </w:tc>
      </w:tr>
      <w:tr w:rsidR="00CD14B7" w:rsidRPr="001427AF" w14:paraId="2AA737C8" w14:textId="77777777" w:rsidTr="002815C9">
        <w:trPr>
          <w:jc w:val="center"/>
        </w:trPr>
        <w:tc>
          <w:tcPr>
            <w:tcW w:w="1972" w:type="dxa"/>
            <w:tcBorders>
              <w:top w:val="nil"/>
              <w:left w:val="single" w:sz="6" w:space="0" w:color="000000"/>
              <w:bottom w:val="single" w:sz="6" w:space="0" w:color="000000"/>
              <w:right w:val="single" w:sz="6" w:space="0" w:color="000000"/>
            </w:tcBorders>
          </w:tcPr>
          <w:p w14:paraId="2C13F0B0"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TSI- AT</w:t>
            </w:r>
          </w:p>
        </w:tc>
        <w:tc>
          <w:tcPr>
            <w:tcW w:w="7395" w:type="dxa"/>
            <w:tcBorders>
              <w:top w:val="nil"/>
              <w:left w:val="nil"/>
              <w:bottom w:val="single" w:sz="6" w:space="0" w:color="000000"/>
              <w:right w:val="single" w:sz="6" w:space="0" w:color="000000"/>
            </w:tcBorders>
          </w:tcPr>
          <w:p w14:paraId="14054EA8" w14:textId="53C471C9"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Targeted Support and Improvement</w:t>
            </w:r>
            <w:r w:rsidR="00F35D26" w:rsidRPr="001427AF">
              <w:rPr>
                <w:rFonts w:ascii="Arial" w:hAnsi="Arial" w:cs="Arial"/>
                <w:color w:val="auto"/>
                <w:sz w:val="20"/>
              </w:rPr>
              <w:t xml:space="preserve"> </w:t>
            </w:r>
            <w:r w:rsidRPr="001427AF">
              <w:rPr>
                <w:rFonts w:ascii="Arial" w:hAnsi="Arial" w:cs="Arial"/>
                <w:color w:val="auto"/>
                <w:sz w:val="20"/>
              </w:rPr>
              <w:t>- Additional Targeted </w:t>
            </w:r>
          </w:p>
        </w:tc>
      </w:tr>
      <w:tr w:rsidR="00CD14B7" w:rsidRPr="001427AF" w14:paraId="0B3E2FBD" w14:textId="77777777" w:rsidTr="002815C9">
        <w:trPr>
          <w:jc w:val="center"/>
        </w:trPr>
        <w:tc>
          <w:tcPr>
            <w:tcW w:w="1972" w:type="dxa"/>
            <w:tcBorders>
              <w:top w:val="nil"/>
              <w:left w:val="single" w:sz="6" w:space="0" w:color="000000"/>
              <w:bottom w:val="single" w:sz="6" w:space="0" w:color="000000"/>
              <w:right w:val="single" w:sz="6" w:space="0" w:color="000000"/>
            </w:tcBorders>
          </w:tcPr>
          <w:p w14:paraId="6C13C8B3"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TSI-CU</w:t>
            </w:r>
          </w:p>
        </w:tc>
        <w:tc>
          <w:tcPr>
            <w:tcW w:w="7395" w:type="dxa"/>
            <w:tcBorders>
              <w:top w:val="nil"/>
              <w:left w:val="nil"/>
              <w:bottom w:val="single" w:sz="6" w:space="0" w:color="000000"/>
              <w:right w:val="single" w:sz="6" w:space="0" w:color="000000"/>
            </w:tcBorders>
          </w:tcPr>
          <w:p w14:paraId="4E075B16" w14:textId="0698FAA1"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Targeted Support and Improvement</w:t>
            </w:r>
            <w:r w:rsidR="00F35D26" w:rsidRPr="001427AF">
              <w:rPr>
                <w:rFonts w:ascii="Arial" w:hAnsi="Arial" w:cs="Arial"/>
                <w:color w:val="auto"/>
                <w:sz w:val="20"/>
              </w:rPr>
              <w:t xml:space="preserve"> </w:t>
            </w:r>
            <w:r w:rsidRPr="001427AF">
              <w:rPr>
                <w:rFonts w:ascii="Arial" w:hAnsi="Arial" w:cs="Arial"/>
                <w:color w:val="auto"/>
                <w:sz w:val="20"/>
              </w:rPr>
              <w:t>- Consistently Underperforming </w:t>
            </w:r>
          </w:p>
        </w:tc>
      </w:tr>
      <w:tr w:rsidR="00CD14B7" w:rsidRPr="001427AF" w14:paraId="4EF45E0C" w14:textId="77777777" w:rsidTr="002815C9">
        <w:trPr>
          <w:jc w:val="center"/>
        </w:trPr>
        <w:tc>
          <w:tcPr>
            <w:tcW w:w="1972" w:type="dxa"/>
            <w:tcBorders>
              <w:top w:val="nil"/>
              <w:left w:val="single" w:sz="6" w:space="0" w:color="000000"/>
              <w:bottom w:val="single" w:sz="6" w:space="0" w:color="000000"/>
              <w:right w:val="single" w:sz="6" w:space="0" w:color="000000"/>
            </w:tcBorders>
          </w:tcPr>
          <w:p w14:paraId="6BBA29D8"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UNC</w:t>
            </w:r>
          </w:p>
        </w:tc>
        <w:tc>
          <w:tcPr>
            <w:tcW w:w="7395" w:type="dxa"/>
            <w:tcBorders>
              <w:top w:val="nil"/>
              <w:left w:val="nil"/>
              <w:bottom w:val="single" w:sz="6" w:space="0" w:color="000000"/>
              <w:right w:val="single" w:sz="6" w:space="0" w:color="000000"/>
            </w:tcBorders>
          </w:tcPr>
          <w:p w14:paraId="5FE4288C"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sz w:val="20"/>
              </w:rPr>
              <w:t>University of North Carolina</w:t>
            </w:r>
          </w:p>
        </w:tc>
      </w:tr>
      <w:tr w:rsidR="00CD14B7" w:rsidRPr="001427AF" w14:paraId="504586BF" w14:textId="77777777" w:rsidTr="002815C9">
        <w:trPr>
          <w:jc w:val="center"/>
        </w:trPr>
        <w:tc>
          <w:tcPr>
            <w:tcW w:w="1972" w:type="dxa"/>
            <w:tcBorders>
              <w:top w:val="nil"/>
              <w:left w:val="single" w:sz="6" w:space="0" w:color="000000"/>
              <w:bottom w:val="single" w:sz="6" w:space="0" w:color="000000"/>
              <w:right w:val="single" w:sz="6" w:space="0" w:color="000000"/>
            </w:tcBorders>
          </w:tcPr>
          <w:p w14:paraId="0FC8CE60"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URM</w:t>
            </w:r>
          </w:p>
        </w:tc>
        <w:tc>
          <w:tcPr>
            <w:tcW w:w="7395" w:type="dxa"/>
            <w:tcBorders>
              <w:top w:val="nil"/>
              <w:left w:val="nil"/>
              <w:bottom w:val="single" w:sz="6" w:space="0" w:color="000000"/>
              <w:right w:val="single" w:sz="6" w:space="0" w:color="000000"/>
            </w:tcBorders>
          </w:tcPr>
          <w:p w14:paraId="25A1EE73"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Univariate Response Model</w:t>
            </w:r>
          </w:p>
        </w:tc>
      </w:tr>
      <w:tr w:rsidR="00CD14B7" w:rsidRPr="001427AF" w14:paraId="61760881"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164F267B"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USED </w:t>
            </w:r>
          </w:p>
        </w:tc>
        <w:tc>
          <w:tcPr>
            <w:tcW w:w="7395" w:type="dxa"/>
            <w:tcBorders>
              <w:top w:val="nil"/>
              <w:left w:val="nil"/>
              <w:bottom w:val="single" w:sz="6" w:space="0" w:color="000000"/>
              <w:right w:val="single" w:sz="6" w:space="0" w:color="000000"/>
            </w:tcBorders>
            <w:hideMark/>
          </w:tcPr>
          <w:p w14:paraId="7583EF08"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United States Department of Education </w:t>
            </w:r>
          </w:p>
        </w:tc>
      </w:tr>
      <w:tr w:rsidR="00CD14B7" w:rsidRPr="001427AF" w14:paraId="2325AA87" w14:textId="77777777" w:rsidTr="002815C9">
        <w:trPr>
          <w:jc w:val="center"/>
        </w:trPr>
        <w:tc>
          <w:tcPr>
            <w:tcW w:w="1972" w:type="dxa"/>
            <w:tcBorders>
              <w:top w:val="nil"/>
              <w:left w:val="single" w:sz="6" w:space="0" w:color="000000"/>
              <w:bottom w:val="single" w:sz="6" w:space="0" w:color="000000"/>
              <w:right w:val="single" w:sz="6" w:space="0" w:color="000000"/>
            </w:tcBorders>
          </w:tcPr>
          <w:p w14:paraId="08312DC9"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W-APT</w:t>
            </w:r>
          </w:p>
        </w:tc>
        <w:tc>
          <w:tcPr>
            <w:tcW w:w="7395" w:type="dxa"/>
            <w:tcBorders>
              <w:top w:val="nil"/>
              <w:left w:val="nil"/>
              <w:bottom w:val="single" w:sz="6" w:space="0" w:color="000000"/>
              <w:right w:val="single" w:sz="6" w:space="0" w:color="000000"/>
            </w:tcBorders>
          </w:tcPr>
          <w:p w14:paraId="61B6213A"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WIDA-ACCESS Placement Test</w:t>
            </w:r>
          </w:p>
        </w:tc>
      </w:tr>
      <w:tr w:rsidR="00CD14B7" w:rsidRPr="001427AF" w14:paraId="3CDAA8E8" w14:textId="77777777" w:rsidTr="002815C9">
        <w:trPr>
          <w:jc w:val="center"/>
        </w:trPr>
        <w:tc>
          <w:tcPr>
            <w:tcW w:w="1972" w:type="dxa"/>
            <w:tcBorders>
              <w:top w:val="nil"/>
              <w:left w:val="single" w:sz="6" w:space="0" w:color="000000"/>
              <w:bottom w:val="single" w:sz="6" w:space="0" w:color="000000"/>
              <w:right w:val="single" w:sz="6" w:space="0" w:color="000000"/>
            </w:tcBorders>
            <w:hideMark/>
          </w:tcPr>
          <w:p w14:paraId="770BCB91"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WIDA </w:t>
            </w:r>
          </w:p>
        </w:tc>
        <w:tc>
          <w:tcPr>
            <w:tcW w:w="7395" w:type="dxa"/>
            <w:tcBorders>
              <w:top w:val="nil"/>
              <w:left w:val="nil"/>
              <w:bottom w:val="single" w:sz="6" w:space="0" w:color="000000"/>
              <w:right w:val="single" w:sz="6" w:space="0" w:color="000000"/>
            </w:tcBorders>
            <w:hideMark/>
          </w:tcPr>
          <w:p w14:paraId="1A8D614E" w14:textId="77777777" w:rsidR="00CD14B7" w:rsidRPr="001427AF" w:rsidRDefault="00CD14B7" w:rsidP="00CD14B7">
            <w:pPr>
              <w:spacing w:line="240" w:lineRule="auto"/>
              <w:textAlignment w:val="baseline"/>
              <w:rPr>
                <w:rFonts w:ascii="Arial" w:hAnsi="Arial" w:cs="Arial"/>
                <w:color w:val="auto"/>
                <w:sz w:val="20"/>
              </w:rPr>
            </w:pPr>
            <w:r w:rsidRPr="001427AF">
              <w:rPr>
                <w:rFonts w:ascii="Arial" w:hAnsi="Arial" w:cs="Arial"/>
                <w:color w:val="auto"/>
                <w:sz w:val="20"/>
              </w:rPr>
              <w:t>World-Class Instructional Design and Assessment </w:t>
            </w:r>
          </w:p>
        </w:tc>
      </w:tr>
    </w:tbl>
    <w:p w14:paraId="6AE52150" w14:textId="77777777" w:rsidR="00591306" w:rsidRPr="001427AF" w:rsidRDefault="00591306">
      <w:pPr>
        <w:spacing w:line="240" w:lineRule="auto"/>
        <w:rPr>
          <w:rStyle w:val="Hyperlink"/>
          <w:rFonts w:ascii="Arial" w:hAnsi="Arial" w:cs="Arial"/>
          <w:sz w:val="20"/>
          <w:shd w:val="clear" w:color="auto" w:fill="FFFFFF"/>
        </w:rPr>
      </w:pPr>
      <w:r w:rsidRPr="001427AF">
        <w:rPr>
          <w:rStyle w:val="Hyperlink"/>
          <w:rFonts w:ascii="Arial" w:hAnsi="Arial" w:cs="Arial"/>
          <w:sz w:val="20"/>
          <w:shd w:val="clear" w:color="auto" w:fill="FFFFFF"/>
        </w:rPr>
        <w:br w:type="page"/>
      </w:r>
    </w:p>
    <w:p w14:paraId="1DF5C126" w14:textId="77777777" w:rsidR="004D1427" w:rsidRPr="001427AF" w:rsidRDefault="004D1427">
      <w:pPr>
        <w:spacing w:line="240" w:lineRule="auto"/>
        <w:rPr>
          <w:rFonts w:ascii="Arial" w:hAnsi="Arial" w:cs="Arial"/>
          <w:b/>
          <w:iCs/>
          <w:caps/>
          <w:color w:val="auto"/>
          <w:kern w:val="16"/>
          <w:szCs w:val="24"/>
        </w:rPr>
        <w:sectPr w:rsidR="004D1427" w:rsidRPr="001427AF" w:rsidSect="0000038D">
          <w:headerReference w:type="default" r:id="rId14"/>
          <w:footerReference w:type="default" r:id="rId15"/>
          <w:footerReference w:type="first" r:id="rId16"/>
          <w:pgSz w:w="12240" w:h="15840"/>
          <w:pgMar w:top="1440" w:right="1440" w:bottom="1440" w:left="1440" w:header="720" w:footer="432" w:gutter="0"/>
          <w:pgNumType w:fmt="lowerRoman"/>
          <w:cols w:space="720"/>
          <w:noEndnote/>
          <w:titlePg/>
          <w:docGrid w:linePitch="326"/>
        </w:sectPr>
      </w:pPr>
    </w:p>
    <w:p w14:paraId="78CBB76F" w14:textId="3E1F5881" w:rsidR="00B01DAF" w:rsidRPr="001427AF" w:rsidRDefault="00365FE0" w:rsidP="00D32024">
      <w:pPr>
        <w:pStyle w:val="Heading1"/>
        <w:rPr>
          <w:rStyle w:val="Emphasis"/>
          <w:caps w:val="0"/>
          <w:sz w:val="28"/>
        </w:rPr>
      </w:pPr>
      <w:bookmarkStart w:id="4" w:name="_Toc135812490"/>
      <w:bookmarkStart w:id="5" w:name="_Toc136418870"/>
      <w:bookmarkStart w:id="6" w:name="_Toc136419126"/>
      <w:bookmarkStart w:id="7" w:name="_Toc225404940"/>
      <w:r w:rsidRPr="001427AF">
        <w:rPr>
          <w:rStyle w:val="Emphasis"/>
          <w:caps w:val="0"/>
          <w:sz w:val="28"/>
        </w:rPr>
        <w:lastRenderedPageBreak/>
        <w:t>School Performance Grades</w:t>
      </w:r>
      <w:r w:rsidR="00E0485A" w:rsidRPr="001427AF">
        <w:rPr>
          <w:rStyle w:val="Emphasis"/>
          <w:caps w:val="0"/>
          <w:sz w:val="28"/>
        </w:rPr>
        <w:t xml:space="preserve"> </w:t>
      </w:r>
      <w:r w:rsidRPr="001427AF">
        <w:rPr>
          <w:rStyle w:val="Emphasis"/>
          <w:caps w:val="0"/>
          <w:sz w:val="28"/>
        </w:rPr>
        <w:t>Overview</w:t>
      </w:r>
      <w:r w:rsidR="0054650D" w:rsidRPr="001427AF">
        <w:rPr>
          <w:rStyle w:val="Emphasis"/>
          <w:caps w:val="0"/>
          <w:sz w:val="28"/>
        </w:rPr>
        <w:fldChar w:fldCharType="begin"/>
      </w:r>
      <w:r w:rsidR="0054650D" w:rsidRPr="001427AF">
        <w:instrText xml:space="preserve"> XE "</w:instrText>
      </w:r>
      <w:r w:rsidR="0054650D" w:rsidRPr="001427AF">
        <w:rPr>
          <w:rStyle w:val="Emphasis"/>
          <w:caps w:val="0"/>
          <w:sz w:val="28"/>
        </w:rPr>
        <w:instrText>School Performance Grades Overview</w:instrText>
      </w:r>
      <w:r w:rsidR="0054650D" w:rsidRPr="001427AF">
        <w:instrText xml:space="preserve">" </w:instrText>
      </w:r>
      <w:r w:rsidR="0054650D" w:rsidRPr="001427AF">
        <w:rPr>
          <w:rStyle w:val="Emphasis"/>
          <w:caps w:val="0"/>
          <w:sz w:val="28"/>
        </w:rPr>
        <w:fldChar w:fldCharType="end"/>
      </w:r>
      <w:r w:rsidRPr="001427AF">
        <w:rPr>
          <w:rStyle w:val="Emphasis"/>
          <w:caps w:val="0"/>
          <w:sz w:val="28"/>
        </w:rPr>
        <w:t xml:space="preserve"> |</w:t>
      </w:r>
      <w:r w:rsidR="00523626" w:rsidRPr="001427AF">
        <w:rPr>
          <w:rStyle w:val="Emphasis"/>
          <w:caps w:val="0"/>
          <w:sz w:val="28"/>
        </w:rPr>
        <w:t xml:space="preserve"> </w:t>
      </w:r>
      <w:r w:rsidRPr="001427AF">
        <w:rPr>
          <w:rStyle w:val="Emphasis"/>
          <w:caps w:val="0"/>
          <w:sz w:val="28"/>
        </w:rPr>
        <w:t>Components and</w:t>
      </w:r>
      <w:r w:rsidR="00645E88" w:rsidRPr="001427AF">
        <w:rPr>
          <w:rStyle w:val="Emphasis"/>
          <w:caps w:val="0"/>
          <w:sz w:val="28"/>
        </w:rPr>
        <w:t xml:space="preserve"> </w:t>
      </w:r>
      <w:r w:rsidRPr="001427AF">
        <w:rPr>
          <w:rStyle w:val="Emphasis"/>
          <w:caps w:val="0"/>
          <w:sz w:val="28"/>
        </w:rPr>
        <w:t>Indicators</w:t>
      </w:r>
      <w:bookmarkEnd w:id="4"/>
      <w:bookmarkEnd w:id="5"/>
      <w:bookmarkEnd w:id="6"/>
      <w:bookmarkEnd w:id="7"/>
      <w:r w:rsidR="00645E88" w:rsidRPr="001427AF">
        <w:rPr>
          <w:rStyle w:val="Emphasis"/>
          <w:caps w:val="0"/>
          <w:sz w:val="28"/>
        </w:rPr>
        <w:t xml:space="preserve"> </w:t>
      </w:r>
    </w:p>
    <w:p w14:paraId="20439608" w14:textId="77777777" w:rsidR="002620A5" w:rsidRPr="001427AF" w:rsidRDefault="002620A5" w:rsidP="00125190">
      <w:pPr>
        <w:rPr>
          <w:rFonts w:ascii="Arial" w:hAnsi="Arial" w:cs="Arial"/>
        </w:rPr>
      </w:pPr>
    </w:p>
    <w:p w14:paraId="0192A4AD" w14:textId="4A52773C" w:rsidR="00BF649A" w:rsidRPr="002E7A0F" w:rsidRDefault="0063304B" w:rsidP="001514C3">
      <w:pPr>
        <w:pStyle w:val="Heading2"/>
      </w:pPr>
      <w:bookmarkStart w:id="8" w:name="_Toc135812491"/>
      <w:bookmarkStart w:id="9" w:name="_Toc136418871"/>
      <w:bookmarkStart w:id="10" w:name="_Toc136419127"/>
      <w:bookmarkStart w:id="11" w:name="_Toc225404941"/>
      <w:r w:rsidRPr="002E7A0F">
        <w:t xml:space="preserve">School </w:t>
      </w:r>
      <w:r w:rsidR="00BF649A" w:rsidRPr="002E7A0F">
        <w:t>P</w:t>
      </w:r>
      <w:r w:rsidRPr="002E7A0F">
        <w:t xml:space="preserve">erformance </w:t>
      </w:r>
      <w:r w:rsidR="00BF649A" w:rsidRPr="002E7A0F">
        <w:t>G</w:t>
      </w:r>
      <w:r w:rsidRPr="002E7A0F">
        <w:t xml:space="preserve">rade </w:t>
      </w:r>
      <w:r w:rsidR="00BF649A" w:rsidRPr="002E7A0F">
        <w:t>C</w:t>
      </w:r>
      <w:r w:rsidR="0038009C" w:rsidRPr="002E7A0F">
        <w:t>omponents</w:t>
      </w:r>
      <w:bookmarkEnd w:id="8"/>
      <w:bookmarkEnd w:id="9"/>
      <w:bookmarkEnd w:id="10"/>
      <w:bookmarkEnd w:id="11"/>
    </w:p>
    <w:p w14:paraId="326E8DF2" w14:textId="24911E31" w:rsidR="005B397C" w:rsidRPr="001427AF" w:rsidRDefault="0063304B" w:rsidP="00BF649A">
      <w:pPr>
        <w:pStyle w:val="NormalWeb"/>
        <w:spacing w:before="0" w:beforeAutospacing="0" w:after="0" w:afterAutospacing="0"/>
        <w:contextualSpacing/>
        <w:rPr>
          <w:rFonts w:ascii="Arial" w:hAnsi="Arial" w:cs="Arial"/>
        </w:rPr>
      </w:pPr>
      <w:r w:rsidRPr="001427AF">
        <w:rPr>
          <w:rFonts w:ascii="Arial" w:hAnsi="Arial" w:cs="Arial"/>
        </w:rPr>
        <w:t xml:space="preserve">As required by state </w:t>
      </w:r>
      <w:r w:rsidR="00A170A5" w:rsidRPr="001427AF">
        <w:rPr>
          <w:rFonts w:ascii="Arial" w:hAnsi="Arial" w:cs="Arial"/>
        </w:rPr>
        <w:t>l</w:t>
      </w:r>
      <w:r w:rsidRPr="001427AF">
        <w:rPr>
          <w:rFonts w:ascii="Arial" w:hAnsi="Arial" w:cs="Arial"/>
        </w:rPr>
        <w:t>egislation</w:t>
      </w:r>
      <w:r w:rsidR="00B72C06" w:rsidRPr="001427AF">
        <w:rPr>
          <w:rFonts w:ascii="Arial" w:hAnsi="Arial" w:cs="Arial"/>
        </w:rPr>
        <w:t xml:space="preserve"> and </w:t>
      </w:r>
      <w:proofErr w:type="gramStart"/>
      <w:r w:rsidR="00B72C06" w:rsidRPr="001427AF">
        <w:rPr>
          <w:rFonts w:ascii="Arial" w:hAnsi="Arial" w:cs="Arial"/>
        </w:rPr>
        <w:t xml:space="preserve">the </w:t>
      </w:r>
      <w:r w:rsidR="00A170A5" w:rsidRPr="001427AF">
        <w:rPr>
          <w:rFonts w:ascii="Arial" w:hAnsi="Arial" w:cs="Arial"/>
          <w:i/>
        </w:rPr>
        <w:t>Every</w:t>
      </w:r>
      <w:proofErr w:type="gramEnd"/>
      <w:r w:rsidR="00A170A5" w:rsidRPr="001427AF">
        <w:rPr>
          <w:rFonts w:ascii="Arial" w:hAnsi="Arial" w:cs="Arial"/>
          <w:i/>
        </w:rPr>
        <w:t xml:space="preserve"> Student Succeeds Act</w:t>
      </w:r>
      <w:r w:rsidR="00A170A5" w:rsidRPr="001427AF">
        <w:rPr>
          <w:rFonts w:ascii="Arial" w:hAnsi="Arial" w:cs="Arial"/>
        </w:rPr>
        <w:t xml:space="preserve"> (</w:t>
      </w:r>
      <w:r w:rsidR="00B72C06" w:rsidRPr="001427AF">
        <w:rPr>
          <w:rFonts w:ascii="Arial" w:hAnsi="Arial" w:cs="Arial"/>
        </w:rPr>
        <w:t>ESSA</w:t>
      </w:r>
      <w:r w:rsidR="00A170A5" w:rsidRPr="001427AF">
        <w:rPr>
          <w:rFonts w:ascii="Arial" w:hAnsi="Arial" w:cs="Arial"/>
        </w:rPr>
        <w:t>)</w:t>
      </w:r>
      <w:r w:rsidR="00B72C06" w:rsidRPr="001427AF">
        <w:rPr>
          <w:rFonts w:ascii="Arial" w:hAnsi="Arial" w:cs="Arial"/>
        </w:rPr>
        <w:t xml:space="preserve"> State Plan</w:t>
      </w:r>
      <w:r w:rsidRPr="001427AF">
        <w:rPr>
          <w:rFonts w:ascii="Arial" w:hAnsi="Arial" w:cs="Arial"/>
        </w:rPr>
        <w:t xml:space="preserve">, the </w:t>
      </w:r>
      <w:r w:rsidR="00672868" w:rsidRPr="001427AF">
        <w:rPr>
          <w:rFonts w:ascii="Arial" w:hAnsi="Arial" w:cs="Arial"/>
        </w:rPr>
        <w:t>s</w:t>
      </w:r>
      <w:r w:rsidRPr="001427AF">
        <w:rPr>
          <w:rFonts w:ascii="Arial" w:hAnsi="Arial" w:cs="Arial"/>
        </w:rPr>
        <w:t>chool</w:t>
      </w:r>
      <w:r w:rsidR="00672868" w:rsidRPr="001427AF">
        <w:rPr>
          <w:rFonts w:ascii="Arial" w:hAnsi="Arial" w:cs="Arial"/>
        </w:rPr>
        <w:t xml:space="preserve"> p</w:t>
      </w:r>
      <w:r w:rsidRPr="001427AF">
        <w:rPr>
          <w:rFonts w:ascii="Arial" w:hAnsi="Arial" w:cs="Arial"/>
        </w:rPr>
        <w:t xml:space="preserve">erformance </w:t>
      </w:r>
      <w:r w:rsidR="00672868" w:rsidRPr="001427AF">
        <w:rPr>
          <w:rFonts w:ascii="Arial" w:hAnsi="Arial" w:cs="Arial"/>
        </w:rPr>
        <w:t>g</w:t>
      </w:r>
      <w:r w:rsidRPr="001427AF">
        <w:rPr>
          <w:rFonts w:ascii="Arial" w:hAnsi="Arial" w:cs="Arial"/>
        </w:rPr>
        <w:t>rades</w:t>
      </w:r>
      <w:r w:rsidR="005009DD" w:rsidRPr="001427AF">
        <w:rPr>
          <w:rFonts w:ascii="Arial" w:hAnsi="Arial" w:cs="Arial"/>
        </w:rPr>
        <w:t xml:space="preserve"> (SPG</w:t>
      </w:r>
      <w:r w:rsidR="00225449" w:rsidRPr="001427AF">
        <w:rPr>
          <w:rFonts w:ascii="Arial" w:hAnsi="Arial" w:cs="Arial"/>
        </w:rPr>
        <w:t>)</w:t>
      </w:r>
      <w:r w:rsidRPr="001427AF">
        <w:rPr>
          <w:rFonts w:ascii="Arial" w:hAnsi="Arial" w:cs="Arial"/>
        </w:rPr>
        <w:t xml:space="preserve"> are based </w:t>
      </w:r>
      <w:r w:rsidR="00A87CA0" w:rsidRPr="001427AF">
        <w:rPr>
          <w:rFonts w:ascii="Arial" w:hAnsi="Arial" w:cs="Arial"/>
        </w:rPr>
        <w:t>on two compon</w:t>
      </w:r>
      <w:r w:rsidR="00B66BF6" w:rsidRPr="001427AF">
        <w:rPr>
          <w:rFonts w:ascii="Arial" w:hAnsi="Arial" w:cs="Arial"/>
        </w:rPr>
        <w:t>ents</w:t>
      </w:r>
      <w:r w:rsidR="005B397C" w:rsidRPr="001427AF">
        <w:rPr>
          <w:rFonts w:ascii="Arial" w:hAnsi="Arial" w:cs="Arial"/>
        </w:rPr>
        <w:t>:</w:t>
      </w:r>
    </w:p>
    <w:p w14:paraId="09E38759" w14:textId="382FA8C6" w:rsidR="005B397C" w:rsidRPr="001427AF" w:rsidRDefault="00F31333" w:rsidP="00CA5853">
      <w:pPr>
        <w:pStyle w:val="NormalWeb"/>
        <w:numPr>
          <w:ilvl w:val="0"/>
          <w:numId w:val="21"/>
        </w:numPr>
        <w:spacing w:before="0" w:beforeAutospacing="0"/>
        <w:rPr>
          <w:rFonts w:ascii="Arial" w:hAnsi="Arial" w:cs="Arial"/>
        </w:rPr>
      </w:pPr>
      <w:r w:rsidRPr="001427AF">
        <w:rPr>
          <w:rFonts w:ascii="Arial" w:hAnsi="Arial" w:cs="Arial"/>
          <w:i/>
        </w:rPr>
        <w:t>A</w:t>
      </w:r>
      <w:r w:rsidR="00C22F1C" w:rsidRPr="001427AF">
        <w:rPr>
          <w:rFonts w:ascii="Arial" w:hAnsi="Arial" w:cs="Arial"/>
          <w:i/>
        </w:rPr>
        <w:t xml:space="preserve">chievement </w:t>
      </w:r>
      <w:r w:rsidRPr="001427AF">
        <w:rPr>
          <w:rFonts w:ascii="Arial" w:hAnsi="Arial" w:cs="Arial"/>
          <w:i/>
        </w:rPr>
        <w:t>C</w:t>
      </w:r>
      <w:r w:rsidR="00C22F1C" w:rsidRPr="001427AF">
        <w:rPr>
          <w:rFonts w:ascii="Arial" w:hAnsi="Arial" w:cs="Arial"/>
          <w:i/>
        </w:rPr>
        <w:t>omponent</w:t>
      </w:r>
      <w:r w:rsidR="00A6218D" w:rsidRPr="001427AF">
        <w:rPr>
          <w:rFonts w:ascii="Arial" w:hAnsi="Arial" w:cs="Arial"/>
        </w:rPr>
        <w:t>. T</w:t>
      </w:r>
      <w:r w:rsidR="0063304B" w:rsidRPr="001427AF">
        <w:rPr>
          <w:rFonts w:ascii="Arial" w:hAnsi="Arial" w:cs="Arial"/>
        </w:rPr>
        <w:t>he</w:t>
      </w:r>
      <w:r w:rsidR="00A170A5" w:rsidRPr="001427AF">
        <w:rPr>
          <w:rFonts w:ascii="Arial" w:hAnsi="Arial" w:cs="Arial"/>
        </w:rPr>
        <w:t xml:space="preserve"> </w:t>
      </w:r>
      <w:r w:rsidR="0063304B" w:rsidRPr="001427AF">
        <w:rPr>
          <w:rFonts w:ascii="Arial" w:hAnsi="Arial" w:cs="Arial"/>
        </w:rPr>
        <w:t>school’s achievement score (</w:t>
      </w:r>
      <w:r w:rsidR="00112341" w:rsidRPr="001427AF">
        <w:rPr>
          <w:rFonts w:ascii="Arial" w:hAnsi="Arial" w:cs="Arial"/>
        </w:rPr>
        <w:t>80%</w:t>
      </w:r>
      <w:r w:rsidR="00936B36" w:rsidRPr="001427AF">
        <w:rPr>
          <w:rFonts w:ascii="Arial" w:hAnsi="Arial" w:cs="Arial"/>
        </w:rPr>
        <w:t xml:space="preserve"> </w:t>
      </w:r>
      <w:r w:rsidR="006D2CA3" w:rsidRPr="001427AF">
        <w:rPr>
          <w:rFonts w:ascii="Arial" w:hAnsi="Arial" w:cs="Arial"/>
        </w:rPr>
        <w:t>–</w:t>
      </w:r>
      <w:r w:rsidR="00213FD4" w:rsidRPr="001427AF">
        <w:rPr>
          <w:rFonts w:ascii="Arial" w:hAnsi="Arial" w:cs="Arial"/>
        </w:rPr>
        <w:t xml:space="preserve"> </w:t>
      </w:r>
      <w:r w:rsidR="0063304B" w:rsidRPr="001427AF">
        <w:rPr>
          <w:rFonts w:ascii="Arial" w:hAnsi="Arial" w:cs="Arial"/>
        </w:rPr>
        <w:t>calculated using a composite method</w:t>
      </w:r>
      <w:r w:rsidR="00053F5C" w:rsidRPr="001427AF">
        <w:rPr>
          <w:rFonts w:ascii="Arial" w:hAnsi="Arial" w:cs="Arial"/>
        </w:rPr>
        <w:t xml:space="preserve"> </w:t>
      </w:r>
      <w:r w:rsidR="00FA00FE" w:rsidRPr="001427AF">
        <w:rPr>
          <w:rFonts w:ascii="Arial" w:hAnsi="Arial" w:cs="Arial"/>
        </w:rPr>
        <w:t xml:space="preserve">that </w:t>
      </w:r>
      <w:r w:rsidR="00E26916" w:rsidRPr="001427AF">
        <w:rPr>
          <w:rFonts w:ascii="Arial" w:hAnsi="Arial" w:cs="Arial"/>
        </w:rPr>
        <w:t>includ</w:t>
      </w:r>
      <w:r w:rsidR="00FA00FE" w:rsidRPr="001427AF">
        <w:rPr>
          <w:rFonts w:ascii="Arial" w:hAnsi="Arial" w:cs="Arial"/>
        </w:rPr>
        <w:t xml:space="preserve">es </w:t>
      </w:r>
      <w:r w:rsidR="0063304B" w:rsidRPr="001427AF">
        <w:rPr>
          <w:rFonts w:ascii="Arial" w:hAnsi="Arial" w:cs="Arial"/>
        </w:rPr>
        <w:t>the sum of points earned by a school on all indicators measured for that school)</w:t>
      </w:r>
      <w:r w:rsidR="004D7A33" w:rsidRPr="001427AF">
        <w:rPr>
          <w:rFonts w:ascii="Arial" w:hAnsi="Arial" w:cs="Arial"/>
        </w:rPr>
        <w:t>.</w:t>
      </w:r>
    </w:p>
    <w:p w14:paraId="368362B8" w14:textId="2FA43055" w:rsidR="007E7948" w:rsidRPr="001427AF" w:rsidRDefault="00AE5D57" w:rsidP="00CA5853">
      <w:pPr>
        <w:pStyle w:val="NormalWeb"/>
        <w:numPr>
          <w:ilvl w:val="0"/>
          <w:numId w:val="21"/>
        </w:numPr>
        <w:spacing w:before="0" w:beforeAutospacing="0"/>
        <w:rPr>
          <w:rFonts w:ascii="Arial" w:hAnsi="Arial" w:cs="Arial"/>
        </w:rPr>
      </w:pPr>
      <w:r w:rsidRPr="001427AF">
        <w:rPr>
          <w:rFonts w:ascii="Arial" w:hAnsi="Arial" w:cs="Arial"/>
          <w:i/>
        </w:rPr>
        <w:t>G</w:t>
      </w:r>
      <w:r w:rsidR="005B397C" w:rsidRPr="001427AF">
        <w:rPr>
          <w:rFonts w:ascii="Arial" w:hAnsi="Arial" w:cs="Arial"/>
          <w:i/>
        </w:rPr>
        <w:t xml:space="preserve">rowth </w:t>
      </w:r>
      <w:r w:rsidR="00026706" w:rsidRPr="001427AF">
        <w:rPr>
          <w:rFonts w:ascii="Arial" w:hAnsi="Arial" w:cs="Arial"/>
          <w:i/>
        </w:rPr>
        <w:t>C</w:t>
      </w:r>
      <w:r w:rsidR="005B397C" w:rsidRPr="001427AF">
        <w:rPr>
          <w:rFonts w:ascii="Arial" w:hAnsi="Arial" w:cs="Arial"/>
          <w:i/>
        </w:rPr>
        <w:t>omponent</w:t>
      </w:r>
      <w:r w:rsidR="004D7A33" w:rsidRPr="001427AF">
        <w:rPr>
          <w:rFonts w:ascii="Arial" w:hAnsi="Arial" w:cs="Arial"/>
          <w:i/>
          <w:iCs/>
        </w:rPr>
        <w:t>.</w:t>
      </w:r>
      <w:r w:rsidR="005B397C" w:rsidRPr="001427AF">
        <w:rPr>
          <w:rFonts w:ascii="Arial" w:hAnsi="Arial" w:cs="Arial"/>
        </w:rPr>
        <w:t xml:space="preserve"> </w:t>
      </w:r>
      <w:r w:rsidR="00062E47" w:rsidRPr="001427AF">
        <w:rPr>
          <w:rFonts w:ascii="Arial" w:hAnsi="Arial" w:cs="Arial"/>
        </w:rPr>
        <w:t>T</w:t>
      </w:r>
      <w:r w:rsidR="005C1E52" w:rsidRPr="001427AF">
        <w:rPr>
          <w:rFonts w:ascii="Arial" w:hAnsi="Arial" w:cs="Arial"/>
        </w:rPr>
        <w:t xml:space="preserve">he </w:t>
      </w:r>
      <w:r w:rsidR="0063304B" w:rsidRPr="001427AF">
        <w:rPr>
          <w:rFonts w:ascii="Arial" w:hAnsi="Arial" w:cs="Arial"/>
        </w:rPr>
        <w:t>students’ academic growth (</w:t>
      </w:r>
      <w:r w:rsidR="00112341" w:rsidRPr="001427AF">
        <w:rPr>
          <w:rFonts w:ascii="Arial" w:hAnsi="Arial" w:cs="Arial"/>
        </w:rPr>
        <w:t>20%</w:t>
      </w:r>
      <w:r w:rsidR="00116A1E" w:rsidRPr="001427AF">
        <w:rPr>
          <w:rFonts w:ascii="Arial" w:hAnsi="Arial" w:cs="Arial"/>
        </w:rPr>
        <w:t xml:space="preserve"> –</w:t>
      </w:r>
      <w:r w:rsidR="005C1E52" w:rsidRPr="001427AF" w:rsidDel="00B27D74">
        <w:rPr>
          <w:rFonts w:ascii="Arial" w:hAnsi="Arial" w:cs="Arial"/>
        </w:rPr>
        <w:t xml:space="preserve"> </w:t>
      </w:r>
      <w:r w:rsidR="0063304B" w:rsidRPr="001427AF">
        <w:rPr>
          <w:rFonts w:ascii="Arial" w:hAnsi="Arial" w:cs="Arial"/>
        </w:rPr>
        <w:t>compares the actual performance of the school’s students to their expected performance</w:t>
      </w:r>
      <w:r w:rsidR="00026706" w:rsidRPr="001427AF">
        <w:rPr>
          <w:rFonts w:ascii="Arial" w:hAnsi="Arial" w:cs="Arial"/>
        </w:rPr>
        <w:t>,</w:t>
      </w:r>
      <w:r w:rsidR="0063304B" w:rsidRPr="001427AF">
        <w:rPr>
          <w:rFonts w:ascii="Arial" w:hAnsi="Arial" w:cs="Arial"/>
        </w:rPr>
        <w:t xml:space="preserve"> </w:t>
      </w:r>
      <w:r w:rsidR="00AC6DE1" w:rsidRPr="001427AF">
        <w:rPr>
          <w:rFonts w:ascii="Arial" w:hAnsi="Arial" w:cs="Arial"/>
        </w:rPr>
        <w:t xml:space="preserve">which is </w:t>
      </w:r>
      <w:r w:rsidR="0063304B" w:rsidRPr="001427AF">
        <w:rPr>
          <w:rFonts w:ascii="Arial" w:hAnsi="Arial" w:cs="Arial"/>
        </w:rPr>
        <w:t xml:space="preserve">based on their prior testing </w:t>
      </w:r>
      <w:r w:rsidR="00AC6DE1" w:rsidRPr="001427AF">
        <w:rPr>
          <w:rFonts w:ascii="Arial" w:hAnsi="Arial" w:cs="Arial"/>
        </w:rPr>
        <w:t>results</w:t>
      </w:r>
      <w:r w:rsidR="0063304B" w:rsidRPr="001427AF">
        <w:rPr>
          <w:rFonts w:ascii="Arial" w:hAnsi="Arial" w:cs="Arial"/>
        </w:rPr>
        <w:t>)</w:t>
      </w:r>
      <w:r w:rsidR="00880733" w:rsidRPr="001427AF">
        <w:rPr>
          <w:rFonts w:ascii="Arial" w:hAnsi="Arial" w:cs="Arial"/>
        </w:rPr>
        <w:t>.</w:t>
      </w:r>
      <w:r w:rsidR="0063304B" w:rsidRPr="001427AF">
        <w:rPr>
          <w:rFonts w:ascii="Arial" w:hAnsi="Arial" w:cs="Arial"/>
        </w:rPr>
        <w:t xml:space="preserve"> </w:t>
      </w:r>
      <w:r w:rsidR="00440A9E" w:rsidRPr="001427AF">
        <w:rPr>
          <w:rFonts w:ascii="Arial" w:hAnsi="Arial" w:cs="Arial"/>
        </w:rPr>
        <w:t xml:space="preserve">If growth is missing as an indicator, the achievement score becomes 100% of the </w:t>
      </w:r>
      <w:r w:rsidR="002240E1" w:rsidRPr="001427AF">
        <w:rPr>
          <w:rFonts w:ascii="Arial" w:hAnsi="Arial" w:cs="Arial"/>
        </w:rPr>
        <w:t>s</w:t>
      </w:r>
      <w:r w:rsidR="00440A9E" w:rsidRPr="001427AF">
        <w:rPr>
          <w:rFonts w:ascii="Arial" w:hAnsi="Arial" w:cs="Arial"/>
        </w:rPr>
        <w:t xml:space="preserve">chool </w:t>
      </w:r>
      <w:r w:rsidR="002240E1" w:rsidRPr="001427AF">
        <w:rPr>
          <w:rFonts w:ascii="Arial" w:hAnsi="Arial" w:cs="Arial"/>
        </w:rPr>
        <w:t>p</w:t>
      </w:r>
      <w:r w:rsidR="00440A9E" w:rsidRPr="001427AF">
        <w:rPr>
          <w:rFonts w:ascii="Arial" w:hAnsi="Arial" w:cs="Arial"/>
        </w:rPr>
        <w:t xml:space="preserve">erformance </w:t>
      </w:r>
      <w:r w:rsidR="002240E1" w:rsidRPr="001427AF">
        <w:rPr>
          <w:rFonts w:ascii="Arial" w:hAnsi="Arial" w:cs="Arial"/>
        </w:rPr>
        <w:t>g</w:t>
      </w:r>
      <w:r w:rsidR="00440A9E" w:rsidRPr="001427AF">
        <w:rPr>
          <w:rFonts w:ascii="Arial" w:hAnsi="Arial" w:cs="Arial"/>
        </w:rPr>
        <w:t>rade.</w:t>
      </w:r>
    </w:p>
    <w:p w14:paraId="213B8F80" w14:textId="41EDCE39" w:rsidR="002E521D" w:rsidRPr="001427AF" w:rsidRDefault="0063304B" w:rsidP="00CA5853">
      <w:pPr>
        <w:pStyle w:val="NormalWeb"/>
        <w:numPr>
          <w:ilvl w:val="0"/>
          <w:numId w:val="21"/>
        </w:numPr>
        <w:spacing w:before="0" w:beforeAutospacing="0" w:after="0" w:afterAutospacing="0"/>
        <w:rPr>
          <w:rFonts w:ascii="Arial" w:hAnsi="Arial" w:cs="Arial"/>
        </w:rPr>
      </w:pPr>
      <w:r w:rsidRPr="001427AF">
        <w:rPr>
          <w:rFonts w:ascii="Arial" w:hAnsi="Arial" w:cs="Arial"/>
        </w:rPr>
        <w:t xml:space="preserve">The final </w:t>
      </w:r>
      <w:r w:rsidR="00BD0621" w:rsidRPr="001427AF">
        <w:rPr>
          <w:rFonts w:ascii="Arial" w:hAnsi="Arial" w:cs="Arial"/>
        </w:rPr>
        <w:t xml:space="preserve">school performance </w:t>
      </w:r>
      <w:r w:rsidRPr="001427AF">
        <w:rPr>
          <w:rFonts w:ascii="Arial" w:hAnsi="Arial" w:cs="Arial"/>
        </w:rPr>
        <w:t xml:space="preserve">grade </w:t>
      </w:r>
      <w:r w:rsidR="0017240A" w:rsidRPr="001427AF">
        <w:rPr>
          <w:rFonts w:ascii="Arial" w:hAnsi="Arial" w:cs="Arial"/>
        </w:rPr>
        <w:t xml:space="preserve">is </w:t>
      </w:r>
      <w:r w:rsidRPr="001427AF">
        <w:rPr>
          <w:rFonts w:ascii="Arial" w:hAnsi="Arial" w:cs="Arial"/>
        </w:rPr>
        <w:t xml:space="preserve">based on a </w:t>
      </w:r>
      <w:r w:rsidR="0022382C" w:rsidRPr="001427AF">
        <w:rPr>
          <w:rFonts w:ascii="Arial" w:hAnsi="Arial" w:cs="Arial"/>
        </w:rPr>
        <w:t>fifteen</w:t>
      </w:r>
      <w:r w:rsidRPr="001427AF">
        <w:rPr>
          <w:rFonts w:ascii="Arial" w:hAnsi="Arial" w:cs="Arial"/>
        </w:rPr>
        <w:t xml:space="preserve">-point scale, per </w:t>
      </w:r>
      <w:r w:rsidR="002240E1" w:rsidRPr="001427AF">
        <w:rPr>
          <w:rFonts w:ascii="Arial" w:hAnsi="Arial" w:cs="Arial"/>
        </w:rPr>
        <w:t>l</w:t>
      </w:r>
      <w:r w:rsidRPr="001427AF">
        <w:rPr>
          <w:rFonts w:ascii="Arial" w:hAnsi="Arial" w:cs="Arial"/>
        </w:rPr>
        <w:t>egislation.</w:t>
      </w:r>
      <w:r w:rsidR="005C4EE3" w:rsidRPr="001427AF">
        <w:rPr>
          <w:rFonts w:ascii="Arial" w:hAnsi="Arial" w:cs="Arial"/>
        </w:rPr>
        <w:t xml:space="preserve"> </w:t>
      </w:r>
    </w:p>
    <w:p w14:paraId="29A28E4B" w14:textId="72099D95" w:rsidR="00557436" w:rsidRPr="001427AF" w:rsidRDefault="00557436" w:rsidP="04C35213">
      <w:pPr>
        <w:keepNext/>
        <w:keepLines/>
        <w:spacing w:line="240" w:lineRule="auto"/>
        <w:ind w:left="360"/>
        <w:rPr>
          <w:rFonts w:ascii="Arial" w:hAnsi="Arial" w:cs="Arial"/>
          <w:kern w:val="20"/>
        </w:rPr>
      </w:pPr>
      <w:bookmarkStart w:id="12" w:name="_Toc116913503"/>
      <w:bookmarkStart w:id="13" w:name="_Toc116913705"/>
      <w:bookmarkStart w:id="14" w:name="_Toc117160447"/>
      <w:bookmarkStart w:id="15" w:name="_Toc117758889"/>
      <w:bookmarkStart w:id="16" w:name="_Toc117763313"/>
      <w:bookmarkStart w:id="17" w:name="_Toc117842270"/>
      <w:bookmarkStart w:id="18" w:name="_Toc118360015"/>
      <w:bookmarkStart w:id="19" w:name="_Toc118360400"/>
      <w:bookmarkStart w:id="20" w:name="_Toc118360581"/>
      <w:bookmarkStart w:id="21" w:name="_Toc118360759"/>
      <w:bookmarkStart w:id="22" w:name="_Toc118360949"/>
      <w:bookmarkStart w:id="23" w:name="_Toc123897436"/>
      <w:bookmarkStart w:id="24" w:name="_Toc123898558"/>
      <w:bookmarkStart w:id="25" w:name="_Toc123899004"/>
      <w:bookmarkStart w:id="26" w:name="_Toc123899186"/>
      <w:bookmarkStart w:id="27" w:name="_Toc123902715"/>
      <w:bookmarkStart w:id="28" w:name="_Toc123902896"/>
      <w:bookmarkStart w:id="29" w:name="_Toc124449371"/>
      <w:bookmarkStart w:id="30" w:name="_Toc135034500"/>
      <w:bookmarkStart w:id="31" w:name="_Toc135809602"/>
      <w:bookmarkStart w:id="32" w:name="_Toc135811755"/>
      <w:bookmarkStart w:id="33" w:name="_Toc135812492"/>
      <w:bookmarkStart w:id="34" w:name="_Toc135812686"/>
      <w:bookmarkStart w:id="35" w:name="_Toc135813245"/>
      <w:bookmarkStart w:id="36" w:name="_Toc136337969"/>
      <w:bookmarkStart w:id="37" w:name="_Toc136338202"/>
      <w:bookmarkStart w:id="38" w:name="_Toc136338382"/>
      <w:bookmarkStart w:id="39" w:name="_Toc136354363"/>
      <w:bookmarkStart w:id="40" w:name="_Toc136354668"/>
      <w:bookmarkStart w:id="41" w:name="_Toc136418610"/>
      <w:bookmarkStart w:id="42" w:name="_Toc136418872"/>
      <w:bookmarkStart w:id="43" w:name="_Toc136419128"/>
      <w:bookmarkStart w:id="44" w:name="_Toc136419384"/>
      <w:bookmarkStart w:id="45" w:name="_Toc137441871"/>
      <w:bookmarkStart w:id="46" w:name="_Toc137443095"/>
      <w:bookmarkStart w:id="47" w:name="_Toc137443844"/>
      <w:bookmarkStart w:id="48" w:name="_Toc142887824"/>
      <w:bookmarkStart w:id="49" w:name="_Toc145658560"/>
      <w:bookmarkStart w:id="50" w:name="_Toc150421449"/>
      <w:bookmarkStart w:id="51" w:name="_Toc160974032"/>
      <w:bookmarkStart w:id="52" w:name="_Toc164434951"/>
      <w:bookmarkStart w:id="53" w:name="_Toc168309532"/>
      <w:bookmarkStart w:id="54" w:name="_Toc173833004"/>
      <w:bookmarkStart w:id="55" w:name="_Toc186785571"/>
      <w:bookmarkStart w:id="56" w:name="_Toc189568532"/>
      <w:bookmarkStart w:id="57" w:name="_Toc190264921"/>
      <w:bookmarkStart w:id="58" w:name="_Toc191295144"/>
      <w:bookmarkStart w:id="59" w:name="_Toc193453721"/>
      <w:bookmarkStart w:id="60" w:name="_Toc194390475"/>
      <w:bookmarkStart w:id="61" w:name="_Toc195268566"/>
      <w:bookmarkStart w:id="62" w:name="_Toc202164562"/>
      <w:bookmarkStart w:id="63" w:name="_Toc202436659"/>
      <w:bookmarkStart w:id="64" w:name="_Toc203726396"/>
      <w:bookmarkStart w:id="65" w:name="_Toc207780319"/>
      <w:bookmarkStart w:id="66" w:name="_Toc209166400"/>
      <w:bookmarkStart w:id="67" w:name="_Toc214280683"/>
      <w:bookmarkStart w:id="68" w:name="_Toc214295881"/>
      <w:bookmarkStart w:id="69" w:name="_Toc214296065"/>
      <w:bookmarkStart w:id="70" w:name="_Toc214296353"/>
      <w:bookmarkStart w:id="71" w:name="_Toc216343183"/>
      <w:bookmarkStart w:id="72" w:name="_Toc218853615"/>
      <w:bookmarkStart w:id="73" w:name="_Toc221081888"/>
      <w:bookmarkStart w:id="74" w:name="_Toc221083216"/>
      <w:bookmarkStart w:id="75" w:name="_Toc221097833"/>
      <w:bookmarkStart w:id="76" w:name="_Toc225232596"/>
      <w:bookmarkStart w:id="77" w:name="_Toc225232779"/>
      <w:bookmarkStart w:id="78" w:name="_Toc225232962"/>
      <w:bookmarkStart w:id="79" w:name="_Toc225233145"/>
      <w:bookmarkStart w:id="80" w:name="_Toc225234145"/>
      <w:bookmarkStart w:id="81" w:name="_Toc225234330"/>
      <w:bookmarkStart w:id="82" w:name="_Toc225234515"/>
      <w:bookmarkStart w:id="83" w:name="_Toc22526029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70D1D778" w14:textId="5B0C1F9B" w:rsidR="00BF649A" w:rsidRPr="001427AF" w:rsidRDefault="00AC6A41" w:rsidP="001514C3">
      <w:pPr>
        <w:pStyle w:val="Heading2"/>
      </w:pPr>
      <w:bookmarkStart w:id="84" w:name="_Toc135812494"/>
      <w:bookmarkStart w:id="85" w:name="_Toc136418874"/>
      <w:bookmarkStart w:id="86" w:name="_Toc136419130"/>
      <w:bookmarkStart w:id="87" w:name="_Toc225404942"/>
      <w:r w:rsidRPr="001427AF">
        <w:t>School</w:t>
      </w:r>
      <w:r w:rsidR="008F002A" w:rsidRPr="001427AF">
        <w:t xml:space="preserve"> </w:t>
      </w:r>
      <w:r w:rsidR="00BF649A" w:rsidRPr="001427AF">
        <w:t>P</w:t>
      </w:r>
      <w:r w:rsidR="008F002A" w:rsidRPr="001427AF">
        <w:t xml:space="preserve">erformance </w:t>
      </w:r>
      <w:r w:rsidR="00BF649A" w:rsidRPr="001427AF">
        <w:t>G</w:t>
      </w:r>
      <w:r w:rsidR="008F002A" w:rsidRPr="001427AF">
        <w:t xml:space="preserve">rade </w:t>
      </w:r>
      <w:r w:rsidR="00BF649A" w:rsidRPr="001427AF">
        <w:t>I</w:t>
      </w:r>
      <w:r w:rsidR="00483F5F" w:rsidRPr="001427AF">
        <w:t>ndicators</w:t>
      </w:r>
      <w:bookmarkEnd w:id="84"/>
      <w:bookmarkEnd w:id="85"/>
      <w:bookmarkEnd w:id="86"/>
      <w:bookmarkEnd w:id="87"/>
      <w:r w:rsidR="00483F5F" w:rsidRPr="001427AF">
        <w:t xml:space="preserve"> </w:t>
      </w:r>
    </w:p>
    <w:p w14:paraId="51BFDBDE" w14:textId="3C8B7121" w:rsidR="00804F72" w:rsidRPr="001427AF" w:rsidRDefault="00804F72" w:rsidP="00804F72">
      <w:pPr>
        <w:pStyle w:val="Default"/>
        <w:rPr>
          <w:rFonts w:ascii="Arial" w:hAnsi="Arial" w:cs="Arial"/>
        </w:rPr>
      </w:pPr>
      <w:r w:rsidRPr="001427AF">
        <w:rPr>
          <w:rFonts w:ascii="Arial" w:hAnsi="Arial" w:cs="Arial"/>
        </w:rPr>
        <w:t xml:space="preserve">The SPG indicators </w:t>
      </w:r>
      <w:r w:rsidR="008F77F5" w:rsidRPr="001427AF">
        <w:rPr>
          <w:rFonts w:ascii="Arial" w:hAnsi="Arial" w:cs="Arial"/>
        </w:rPr>
        <w:t xml:space="preserve">and school quality </w:t>
      </w:r>
      <w:r w:rsidR="00BD4D17" w:rsidRPr="001427AF">
        <w:rPr>
          <w:rFonts w:ascii="Arial" w:hAnsi="Arial" w:cs="Arial"/>
        </w:rPr>
        <w:t xml:space="preserve">and student success </w:t>
      </w:r>
      <w:r w:rsidR="008F77F5" w:rsidRPr="001427AF">
        <w:rPr>
          <w:rFonts w:ascii="Arial" w:hAnsi="Arial" w:cs="Arial"/>
        </w:rPr>
        <w:t xml:space="preserve">measures </w:t>
      </w:r>
      <w:r w:rsidRPr="001427AF">
        <w:rPr>
          <w:rFonts w:ascii="Arial" w:hAnsi="Arial" w:cs="Arial"/>
        </w:rPr>
        <w:t xml:space="preserve">for elementary and middle schools differ from </w:t>
      </w:r>
      <w:r w:rsidR="008F77F5" w:rsidRPr="001427AF">
        <w:rPr>
          <w:rFonts w:ascii="Arial" w:hAnsi="Arial" w:cs="Arial"/>
        </w:rPr>
        <w:t>those</w:t>
      </w:r>
      <w:r w:rsidRPr="001427AF">
        <w:rPr>
          <w:rFonts w:ascii="Arial" w:hAnsi="Arial" w:cs="Arial"/>
        </w:rPr>
        <w:t xml:space="preserve"> for high schools</w:t>
      </w:r>
      <w:r w:rsidR="008F77F5" w:rsidRPr="001427AF">
        <w:rPr>
          <w:rFonts w:ascii="Arial" w:hAnsi="Arial" w:cs="Arial"/>
        </w:rPr>
        <w:t>,</w:t>
      </w:r>
      <w:r w:rsidRPr="001427AF">
        <w:rPr>
          <w:rFonts w:ascii="Arial" w:hAnsi="Arial" w:cs="Arial"/>
        </w:rPr>
        <w:t xml:space="preserve"> as presented in</w:t>
      </w:r>
      <w:r w:rsidR="00352567" w:rsidRPr="001427AF">
        <w:rPr>
          <w:rFonts w:ascii="Arial" w:hAnsi="Arial" w:cs="Arial"/>
        </w:rPr>
        <w:t xml:space="preserve"> table 1.2</w:t>
      </w:r>
      <w:r w:rsidR="008F77F5" w:rsidRPr="001427AF">
        <w:rPr>
          <w:rFonts w:ascii="Arial" w:hAnsi="Arial" w:cs="Arial"/>
        </w:rPr>
        <w:t>.</w:t>
      </w:r>
    </w:p>
    <w:p w14:paraId="142F40C8" w14:textId="77777777" w:rsidR="00EB4F1F" w:rsidRPr="001427AF" w:rsidRDefault="00EB4F1F" w:rsidP="00804F72">
      <w:pPr>
        <w:pStyle w:val="Default"/>
        <w:rPr>
          <w:rFonts w:ascii="Arial" w:hAnsi="Arial" w:cs="Arial"/>
        </w:rPr>
      </w:pPr>
    </w:p>
    <w:p w14:paraId="7ECE2184" w14:textId="110AE88B" w:rsidR="00177BFD" w:rsidRPr="001427AF" w:rsidRDefault="00177BFD" w:rsidP="009A62A9">
      <w:pPr>
        <w:pStyle w:val="Caption"/>
        <w:keepNext/>
        <w:spacing w:after="0"/>
        <w:rPr>
          <w:rFonts w:ascii="Arial" w:hAnsi="Arial" w:cs="Arial"/>
        </w:rPr>
      </w:pPr>
      <w:bookmarkStart w:id="88" w:name="_Ref197507126"/>
      <w:r w:rsidRPr="001427AF">
        <w:rPr>
          <w:rFonts w:ascii="Arial" w:hAnsi="Arial" w:cs="Arial"/>
        </w:rPr>
        <w:t>T</w:t>
      </w:r>
      <w:r w:rsidR="003D6308">
        <w:rPr>
          <w:rFonts w:ascii="Arial" w:hAnsi="Arial" w:cs="Arial"/>
        </w:rPr>
        <w:t>ABLE</w:t>
      </w:r>
      <w:r w:rsidRPr="001427AF">
        <w:rPr>
          <w:rFonts w:ascii="Arial" w:hAnsi="Arial" w:cs="Arial"/>
        </w:rPr>
        <w:t xml:space="preserve"> </w:t>
      </w:r>
      <w:bookmarkEnd w:id="88"/>
      <w:r w:rsidR="00352567" w:rsidRPr="001427AF">
        <w:rPr>
          <w:rFonts w:ascii="Arial" w:hAnsi="Arial" w:cs="Arial"/>
        </w:rPr>
        <w:t>1.2</w:t>
      </w:r>
      <w:r w:rsidR="000E149D" w:rsidRPr="001427AF">
        <w:rPr>
          <w:rFonts w:ascii="Arial" w:hAnsi="Arial" w:cs="Arial"/>
        </w:rPr>
        <w:t>.</w:t>
      </w:r>
      <w:r w:rsidRPr="001427AF">
        <w:rPr>
          <w:rFonts w:ascii="Arial" w:hAnsi="Arial" w:cs="Arial"/>
        </w:rPr>
        <w:t xml:space="preserve"> School performance grade indicators and school quality measures</w:t>
      </w:r>
      <w:r w:rsidR="009B6332">
        <w:rPr>
          <w:rFonts w:ascii="Arial" w:hAnsi="Arial" w:cs="Arial"/>
        </w:rPr>
        <w:t xml:space="preserve"> (elementary)</w:t>
      </w:r>
    </w:p>
    <w:tbl>
      <w:tblPr>
        <w:tblStyle w:val="ListTable3"/>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ool Performance Grade indicators and school quality measures"/>
        <w:tblDescription w:val="This table provides an overview of what makes up the school performance grade indicators and school quality success measures. The first column provides the details for elementary and middle schools. The second column provides the details for high schools. "/>
      </w:tblPr>
      <w:tblGrid>
        <w:gridCol w:w="5125"/>
        <w:gridCol w:w="5130"/>
      </w:tblGrid>
      <w:tr w:rsidR="00B65A2C" w:rsidRPr="001427AF" w14:paraId="5B4CE055" w14:textId="0CF8318A" w:rsidTr="00212AFA">
        <w:trPr>
          <w:cnfStyle w:val="100000000000" w:firstRow="1" w:lastRow="0" w:firstColumn="0" w:lastColumn="0" w:oddVBand="0" w:evenVBand="0" w:oddHBand="0" w:evenHBand="0" w:firstRowFirstColumn="0" w:firstRowLastColumn="0" w:lastRowFirstColumn="0" w:lastRowLastColumn="0"/>
          <w:trHeight w:val="214"/>
        </w:trPr>
        <w:tc>
          <w:tcPr>
            <w:cnfStyle w:val="001000000100" w:firstRow="0" w:lastRow="0" w:firstColumn="1" w:lastColumn="0" w:oddVBand="0" w:evenVBand="0" w:oddHBand="0" w:evenHBand="0" w:firstRowFirstColumn="1" w:firstRowLastColumn="0" w:lastRowFirstColumn="0" w:lastRowLastColumn="0"/>
            <w:tcW w:w="2499" w:type="pct"/>
            <w:tcBorders>
              <w:right w:val="single" w:sz="4" w:space="0" w:color="auto"/>
            </w:tcBorders>
            <w:shd w:val="clear" w:color="auto" w:fill="ACB9CA" w:themeFill="text2" w:themeFillTint="66"/>
          </w:tcPr>
          <w:p w14:paraId="34A25FB0" w14:textId="77777777" w:rsidR="00B65A2C" w:rsidRPr="001427AF" w:rsidRDefault="00B65A2C" w:rsidP="00B65A2C">
            <w:pPr>
              <w:pStyle w:val="Default"/>
              <w:contextualSpacing/>
              <w:rPr>
                <w:rFonts w:ascii="Arial" w:hAnsi="Arial" w:cs="Arial"/>
                <w:sz w:val="20"/>
                <w:szCs w:val="20"/>
              </w:rPr>
            </w:pPr>
            <w:r w:rsidRPr="001427AF">
              <w:rPr>
                <w:rFonts w:ascii="Arial" w:hAnsi="Arial" w:cs="Arial"/>
                <w:sz w:val="20"/>
                <w:szCs w:val="20"/>
              </w:rPr>
              <w:t>Elementary and middle school achievement indicators (80%)</w:t>
            </w:r>
          </w:p>
        </w:tc>
        <w:tc>
          <w:tcPr>
            <w:tcW w:w="2501" w:type="pct"/>
            <w:tcBorders>
              <w:right w:val="single" w:sz="4" w:space="0" w:color="auto"/>
            </w:tcBorders>
            <w:shd w:val="clear" w:color="auto" w:fill="ACB9CA" w:themeFill="text2" w:themeFillTint="66"/>
          </w:tcPr>
          <w:p w14:paraId="28913A4D" w14:textId="1393A4AB" w:rsidR="00B65A2C" w:rsidRPr="001427AF" w:rsidRDefault="00B65A2C" w:rsidP="00B65A2C">
            <w:pPr>
              <w:pStyle w:val="Default"/>
              <w:contextualSpacing/>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427AF">
              <w:rPr>
                <w:rFonts w:ascii="Arial" w:hAnsi="Arial" w:cs="Arial"/>
                <w:sz w:val="20"/>
                <w:szCs w:val="20"/>
              </w:rPr>
              <w:t>School Quality or Student Success Indicator</w:t>
            </w:r>
          </w:p>
        </w:tc>
      </w:tr>
      <w:tr w:rsidR="00B65A2C" w:rsidRPr="001427AF" w14:paraId="04E0DB82" w14:textId="2CD99D5D" w:rsidTr="00212AFA">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2499" w:type="pct"/>
            <w:tcBorders>
              <w:right w:val="single" w:sz="4" w:space="0" w:color="auto"/>
            </w:tcBorders>
          </w:tcPr>
          <w:p w14:paraId="2F46FD03" w14:textId="77777777" w:rsidR="00B65A2C" w:rsidRPr="00EB04F2" w:rsidRDefault="00B65A2C" w:rsidP="00B65A2C">
            <w:pPr>
              <w:pStyle w:val="Default"/>
              <w:contextualSpacing/>
              <w:rPr>
                <w:rFonts w:ascii="Arial" w:hAnsi="Arial" w:cs="Arial"/>
                <w:sz w:val="20"/>
                <w:szCs w:val="20"/>
              </w:rPr>
            </w:pPr>
            <w:r w:rsidRPr="003B6CB4">
              <w:rPr>
                <w:rFonts w:ascii="Arial" w:hAnsi="Arial" w:cs="Arial"/>
                <w:sz w:val="20"/>
                <w:szCs w:val="20"/>
              </w:rPr>
              <w:t xml:space="preserve">Level 3 and above </w:t>
            </w:r>
          </w:p>
          <w:p w14:paraId="516537A7" w14:textId="77777777" w:rsidR="00B65A2C" w:rsidRPr="001427AF" w:rsidRDefault="00B65A2C" w:rsidP="00CA5853">
            <w:pPr>
              <w:pStyle w:val="Default"/>
              <w:numPr>
                <w:ilvl w:val="0"/>
                <w:numId w:val="138"/>
              </w:numPr>
              <w:contextualSpacing/>
              <w:rPr>
                <w:rFonts w:ascii="Arial" w:hAnsi="Arial" w:cs="Arial"/>
                <w:b w:val="0"/>
                <w:bCs w:val="0"/>
                <w:sz w:val="20"/>
                <w:szCs w:val="20"/>
              </w:rPr>
            </w:pPr>
            <w:r w:rsidRPr="001427AF">
              <w:rPr>
                <w:rFonts w:ascii="Arial" w:hAnsi="Arial" w:cs="Arial"/>
                <w:b w:val="0"/>
                <w:bCs w:val="0"/>
                <w:sz w:val="20"/>
                <w:szCs w:val="20"/>
              </w:rPr>
              <w:t>Grade 3–8 EOG Reading Proficiency</w:t>
            </w:r>
          </w:p>
          <w:p w14:paraId="3314DA29" w14:textId="77777777" w:rsidR="00B65A2C" w:rsidRPr="001427AF" w:rsidRDefault="00B65A2C" w:rsidP="00CA5853">
            <w:pPr>
              <w:pStyle w:val="ListParagraph"/>
              <w:numPr>
                <w:ilvl w:val="0"/>
                <w:numId w:val="138"/>
              </w:numPr>
              <w:rPr>
                <w:rFonts w:ascii="Arial" w:hAnsi="Arial" w:cs="Arial"/>
                <w:b w:val="0"/>
                <w:bCs w:val="0"/>
                <w:sz w:val="20"/>
              </w:rPr>
            </w:pPr>
            <w:r w:rsidRPr="001427AF">
              <w:rPr>
                <w:rFonts w:ascii="Arial" w:hAnsi="Arial" w:cs="Arial"/>
                <w:b w:val="0"/>
                <w:bCs w:val="0"/>
                <w:sz w:val="20"/>
              </w:rPr>
              <w:t xml:space="preserve">Grade 3–8 EOG Mathematics Proficiency/ NC Math 1 Proficiency </w:t>
            </w:r>
          </w:p>
          <w:p w14:paraId="42021E3A" w14:textId="77777777" w:rsidR="00B65A2C" w:rsidRPr="001427AF" w:rsidRDefault="00B65A2C" w:rsidP="00CA5853">
            <w:pPr>
              <w:pStyle w:val="ListParagraph"/>
              <w:numPr>
                <w:ilvl w:val="0"/>
                <w:numId w:val="138"/>
              </w:numPr>
              <w:rPr>
                <w:rFonts w:ascii="Arial" w:hAnsi="Arial" w:cs="Arial"/>
                <w:b w:val="0"/>
                <w:bCs w:val="0"/>
                <w:sz w:val="20"/>
              </w:rPr>
            </w:pPr>
            <w:r w:rsidRPr="001427AF">
              <w:rPr>
                <w:rFonts w:ascii="Arial" w:hAnsi="Arial" w:cs="Arial"/>
                <w:b w:val="0"/>
                <w:bCs w:val="0"/>
                <w:sz w:val="20"/>
              </w:rPr>
              <w:t>Grade 5 and 8 Science Proficiency</w:t>
            </w:r>
          </w:p>
          <w:p w14:paraId="587A02F8" w14:textId="77777777" w:rsidR="00B65A2C" w:rsidRDefault="00B65A2C" w:rsidP="00B65A2C">
            <w:pPr>
              <w:pStyle w:val="Default"/>
              <w:contextualSpacing/>
              <w:rPr>
                <w:rFonts w:ascii="Arial" w:hAnsi="Arial" w:cs="Arial"/>
                <w:b w:val="0"/>
                <w:bCs w:val="0"/>
                <w:sz w:val="20"/>
                <w:szCs w:val="20"/>
              </w:rPr>
            </w:pPr>
          </w:p>
          <w:p w14:paraId="69DB717D" w14:textId="2484288E" w:rsidR="00B65A2C" w:rsidRPr="001427AF" w:rsidRDefault="00B65A2C" w:rsidP="00491DC0">
            <w:pPr>
              <w:pStyle w:val="Default"/>
              <w:contextualSpacing/>
              <w:rPr>
                <w:rFonts w:ascii="Arial" w:hAnsi="Arial" w:cs="Arial"/>
                <w:b w:val="0"/>
                <w:bCs w:val="0"/>
                <w:sz w:val="20"/>
                <w:szCs w:val="20"/>
              </w:rPr>
            </w:pPr>
            <w:r w:rsidRPr="001427AF">
              <w:rPr>
                <w:rFonts w:ascii="Arial" w:hAnsi="Arial" w:cs="Arial"/>
                <w:b w:val="0"/>
                <w:bCs w:val="0"/>
                <w:sz w:val="20"/>
                <w:szCs w:val="20"/>
              </w:rPr>
              <w:t>English Learner Progress</w:t>
            </w:r>
          </w:p>
        </w:tc>
        <w:tc>
          <w:tcPr>
            <w:tcW w:w="2501" w:type="pct"/>
            <w:tcBorders>
              <w:right w:val="single" w:sz="4" w:space="0" w:color="auto"/>
            </w:tcBorders>
          </w:tcPr>
          <w:p w14:paraId="2220F72F" w14:textId="77777777" w:rsidR="00B65A2C" w:rsidRPr="001427AF" w:rsidRDefault="00B65A2C" w:rsidP="00B65A2C">
            <w:pPr>
              <w:pStyle w:val="Default"/>
              <w:contextualSpacing/>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1427AF">
              <w:rPr>
                <w:rFonts w:ascii="Arial" w:hAnsi="Arial" w:cs="Arial"/>
                <w:sz w:val="20"/>
                <w:szCs w:val="20"/>
              </w:rPr>
              <w:t>Elementary and middle school accountability growth (20%)</w:t>
            </w:r>
          </w:p>
          <w:p w14:paraId="3376C9B5" w14:textId="65B78F5A" w:rsidR="00B65A2C" w:rsidRPr="003B6CB4" w:rsidRDefault="00B65A2C" w:rsidP="00CA5853">
            <w:pPr>
              <w:pStyle w:val="Default"/>
              <w:numPr>
                <w:ilvl w:val="0"/>
                <w:numId w:val="143"/>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27AF">
              <w:rPr>
                <w:rFonts w:ascii="Arial" w:hAnsi="Arial" w:cs="Arial"/>
                <w:b/>
                <w:bCs/>
                <w:sz w:val="20"/>
                <w:szCs w:val="20"/>
              </w:rPr>
              <w:t>Reading, mathematics, and science</w:t>
            </w:r>
          </w:p>
        </w:tc>
      </w:tr>
    </w:tbl>
    <w:p w14:paraId="2A3F1971" w14:textId="0327CC03" w:rsidR="00804F72" w:rsidRDefault="00804F72" w:rsidP="003261AF">
      <w:pPr>
        <w:pStyle w:val="NormalWeb"/>
        <w:spacing w:before="0" w:beforeAutospacing="0" w:after="0" w:afterAutospacing="0"/>
        <w:contextualSpacing/>
        <w:rPr>
          <w:rFonts w:ascii="Arial" w:hAnsi="Arial" w:cs="Arial"/>
        </w:rPr>
      </w:pPr>
    </w:p>
    <w:p w14:paraId="55D43374" w14:textId="1B7089DF" w:rsidR="008E2228" w:rsidRPr="00EB04F2" w:rsidRDefault="002C1A54" w:rsidP="003261AF">
      <w:pPr>
        <w:pStyle w:val="NormalWeb"/>
        <w:spacing w:before="0" w:beforeAutospacing="0" w:after="0" w:afterAutospacing="0"/>
        <w:contextualSpacing/>
        <w:rPr>
          <w:rFonts w:ascii="Arial" w:hAnsi="Arial" w:cs="Arial"/>
          <w:sz w:val="20"/>
          <w:szCs w:val="20"/>
        </w:rPr>
      </w:pPr>
      <w:r w:rsidRPr="00EB04F2">
        <w:rPr>
          <w:rFonts w:ascii="Arial" w:hAnsi="Arial" w:cs="Arial"/>
          <w:sz w:val="20"/>
          <w:szCs w:val="20"/>
        </w:rPr>
        <w:t xml:space="preserve">TABLE. 1.2.1. School performance grade </w:t>
      </w:r>
      <w:r w:rsidR="00E62147" w:rsidRPr="00E62147">
        <w:rPr>
          <w:rFonts w:ascii="Arial" w:hAnsi="Arial" w:cs="Arial"/>
          <w:sz w:val="20"/>
          <w:szCs w:val="20"/>
        </w:rPr>
        <w:t>indicators</w:t>
      </w:r>
      <w:r w:rsidRPr="00EB04F2">
        <w:rPr>
          <w:rFonts w:ascii="Arial" w:hAnsi="Arial" w:cs="Arial"/>
          <w:sz w:val="20"/>
          <w:szCs w:val="20"/>
        </w:rPr>
        <w:t xml:space="preserve"> and school </w:t>
      </w:r>
      <w:r w:rsidR="009B6332" w:rsidRPr="00EB04F2">
        <w:rPr>
          <w:rFonts w:ascii="Arial" w:hAnsi="Arial" w:cs="Arial"/>
          <w:sz w:val="20"/>
          <w:szCs w:val="20"/>
        </w:rPr>
        <w:t>quality measures (high school)</w:t>
      </w:r>
    </w:p>
    <w:tbl>
      <w:tblPr>
        <w:tblStyle w:val="TableGrid"/>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5130"/>
      </w:tblGrid>
      <w:tr w:rsidR="00491DC0" w14:paraId="3F198032" w14:textId="390941C9" w:rsidTr="00212AFA">
        <w:trPr>
          <w:tblHeader/>
        </w:trPr>
        <w:tc>
          <w:tcPr>
            <w:tcW w:w="5125" w:type="dxa"/>
            <w:shd w:val="clear" w:color="auto" w:fill="ACB9CA" w:themeFill="text2" w:themeFillTint="66"/>
          </w:tcPr>
          <w:p w14:paraId="4D3F2B8B" w14:textId="2D2D0380" w:rsidR="00491DC0" w:rsidRPr="00EB04F2" w:rsidRDefault="00491DC0" w:rsidP="00491DC0">
            <w:pPr>
              <w:pStyle w:val="NormalWeb"/>
              <w:spacing w:before="0" w:beforeAutospacing="0" w:after="0" w:afterAutospacing="0"/>
              <w:contextualSpacing/>
              <w:rPr>
                <w:rFonts w:ascii="Arial" w:hAnsi="Arial" w:cs="Arial"/>
                <w:b/>
                <w:bCs/>
              </w:rPr>
            </w:pPr>
            <w:r w:rsidRPr="00EB04F2">
              <w:rPr>
                <w:rFonts w:ascii="Arial" w:hAnsi="Arial" w:cs="Arial"/>
                <w:b/>
                <w:bCs/>
                <w:sz w:val="20"/>
                <w:szCs w:val="20"/>
              </w:rPr>
              <w:t>High school achievement indicators (80%)</w:t>
            </w:r>
            <w:bookmarkStart w:id="89" w:name="_Ref219442131"/>
            <w:r w:rsidR="00DB67EF">
              <w:rPr>
                <w:rFonts w:ascii="ZWAdobeF" w:hAnsi="ZWAdobeF" w:cs="ZWAdobeF"/>
                <w:bCs/>
                <w:sz w:val="2"/>
                <w:szCs w:val="2"/>
              </w:rPr>
              <w:t>0F</w:t>
            </w:r>
            <w:r>
              <w:rPr>
                <w:rStyle w:val="FootnoteReference"/>
                <w:rFonts w:ascii="Arial" w:hAnsi="Arial" w:cs="Arial"/>
                <w:b/>
                <w:bCs/>
                <w:sz w:val="20"/>
                <w:szCs w:val="20"/>
              </w:rPr>
              <w:footnoteReference w:id="2"/>
            </w:r>
            <w:bookmarkEnd w:id="89"/>
          </w:p>
        </w:tc>
        <w:tc>
          <w:tcPr>
            <w:tcW w:w="5130" w:type="dxa"/>
            <w:shd w:val="clear" w:color="auto" w:fill="ACB9CA" w:themeFill="text2" w:themeFillTint="66"/>
          </w:tcPr>
          <w:p w14:paraId="332D9629" w14:textId="771D2A41" w:rsidR="00491DC0" w:rsidRPr="00EB04F2" w:rsidRDefault="00491DC0" w:rsidP="00491DC0">
            <w:pPr>
              <w:pStyle w:val="NormalWeb"/>
              <w:spacing w:before="0" w:beforeAutospacing="0" w:after="0" w:afterAutospacing="0"/>
              <w:contextualSpacing/>
              <w:rPr>
                <w:rFonts w:ascii="Arial" w:hAnsi="Arial" w:cs="Arial"/>
                <w:b/>
                <w:bCs/>
                <w:sz w:val="20"/>
                <w:szCs w:val="20"/>
              </w:rPr>
            </w:pPr>
            <w:r w:rsidRPr="001427AF">
              <w:rPr>
                <w:rFonts w:ascii="Arial" w:hAnsi="Arial" w:cs="Arial"/>
                <w:b/>
                <w:sz w:val="20"/>
              </w:rPr>
              <w:t>School Quality or Student Success Indicators</w:t>
            </w:r>
          </w:p>
        </w:tc>
      </w:tr>
      <w:tr w:rsidR="00491DC0" w14:paraId="56BE3C3F" w14:textId="54AA49C8" w:rsidTr="00212AFA">
        <w:tc>
          <w:tcPr>
            <w:tcW w:w="5125" w:type="dxa"/>
          </w:tcPr>
          <w:p w14:paraId="30A0B45E" w14:textId="77777777" w:rsidR="00491DC0" w:rsidRPr="00163351" w:rsidRDefault="00491DC0" w:rsidP="00491DC0">
            <w:pPr>
              <w:pStyle w:val="Default"/>
              <w:contextualSpacing/>
              <w:rPr>
                <w:rFonts w:ascii="Arial" w:hAnsi="Arial" w:cs="Arial"/>
                <w:b/>
                <w:bCs/>
                <w:sz w:val="20"/>
                <w:szCs w:val="20"/>
              </w:rPr>
            </w:pPr>
            <w:r w:rsidRPr="00163351">
              <w:rPr>
                <w:rFonts w:ascii="Arial" w:hAnsi="Arial" w:cs="Arial"/>
                <w:b/>
                <w:bCs/>
                <w:sz w:val="20"/>
                <w:szCs w:val="20"/>
              </w:rPr>
              <w:t xml:space="preserve">Level 3 and above </w:t>
            </w:r>
          </w:p>
          <w:p w14:paraId="20344FF2" w14:textId="0B8B6D9C" w:rsidR="00491DC0" w:rsidRPr="00846784" w:rsidRDefault="00491DC0" w:rsidP="00CA5853">
            <w:pPr>
              <w:pStyle w:val="ListParagraph"/>
              <w:numPr>
                <w:ilvl w:val="0"/>
                <w:numId w:val="139"/>
              </w:numPr>
              <w:rPr>
                <w:rFonts w:ascii="Arial" w:hAnsi="Arial" w:cs="Arial"/>
                <w:sz w:val="20"/>
              </w:rPr>
            </w:pPr>
            <w:r w:rsidRPr="00163351">
              <w:rPr>
                <w:rFonts w:ascii="Arial" w:hAnsi="Arial" w:cs="Arial"/>
                <w:sz w:val="20"/>
              </w:rPr>
              <w:t>EOC tests in NC Math 1, NC</w:t>
            </w:r>
            <w:r w:rsidRPr="00846784">
              <w:rPr>
                <w:rFonts w:ascii="Arial" w:hAnsi="Arial" w:cs="Arial"/>
                <w:sz w:val="20"/>
              </w:rPr>
              <w:t xml:space="preserve"> Math 3, and English II proficiency</w:t>
            </w:r>
          </w:p>
          <w:p w14:paraId="71D41492" w14:textId="77777777" w:rsidR="00491DC0" w:rsidRDefault="00491DC0" w:rsidP="00491DC0">
            <w:pPr>
              <w:pStyle w:val="Default"/>
              <w:contextualSpacing/>
              <w:rPr>
                <w:rFonts w:ascii="Arial" w:hAnsi="Arial" w:cs="Arial"/>
                <w:sz w:val="20"/>
                <w:szCs w:val="20"/>
              </w:rPr>
            </w:pPr>
          </w:p>
          <w:p w14:paraId="74C0C148" w14:textId="77777777" w:rsidR="00491DC0" w:rsidRDefault="00491DC0" w:rsidP="00491DC0">
            <w:pPr>
              <w:pStyle w:val="Default"/>
              <w:contextualSpacing/>
              <w:rPr>
                <w:rFonts w:ascii="Arial" w:hAnsi="Arial" w:cs="Arial"/>
                <w:sz w:val="20"/>
                <w:szCs w:val="20"/>
              </w:rPr>
            </w:pPr>
            <w:r w:rsidRPr="001427AF">
              <w:rPr>
                <w:rFonts w:ascii="Arial" w:hAnsi="Arial" w:cs="Arial"/>
                <w:sz w:val="20"/>
                <w:szCs w:val="20"/>
              </w:rPr>
              <w:t>English Learner Progress</w:t>
            </w:r>
          </w:p>
          <w:p w14:paraId="18D4F16D" w14:textId="77777777" w:rsidR="00491DC0" w:rsidRPr="001427AF" w:rsidRDefault="00491DC0" w:rsidP="00491DC0">
            <w:pPr>
              <w:pStyle w:val="Default"/>
              <w:contextualSpacing/>
              <w:rPr>
                <w:rFonts w:ascii="Arial" w:hAnsi="Arial" w:cs="Arial"/>
                <w:sz w:val="20"/>
                <w:szCs w:val="20"/>
              </w:rPr>
            </w:pPr>
            <w:r w:rsidRPr="001427AF">
              <w:rPr>
                <w:rFonts w:ascii="Arial" w:hAnsi="Arial" w:cs="Arial"/>
                <w:sz w:val="20"/>
                <w:szCs w:val="20"/>
              </w:rPr>
              <w:t>Four-Year Cohort Graduation Rate</w:t>
            </w:r>
          </w:p>
          <w:p w14:paraId="64D4CDEA" w14:textId="77777777" w:rsidR="00212AFA" w:rsidRDefault="00212AFA" w:rsidP="00491DC0">
            <w:pPr>
              <w:pStyle w:val="Default"/>
              <w:contextualSpacing/>
              <w:rPr>
                <w:rFonts w:ascii="Arial" w:hAnsi="Arial" w:cs="Arial"/>
                <w:b/>
                <w:bCs/>
                <w:sz w:val="20"/>
                <w:szCs w:val="20"/>
              </w:rPr>
            </w:pPr>
          </w:p>
          <w:p w14:paraId="3C3E9C98" w14:textId="61CBDC71" w:rsidR="00491DC0" w:rsidRPr="00EB04F2" w:rsidRDefault="00491DC0" w:rsidP="00491DC0">
            <w:pPr>
              <w:pStyle w:val="Default"/>
              <w:contextualSpacing/>
              <w:rPr>
                <w:rFonts w:ascii="Arial" w:hAnsi="Arial" w:cs="Arial"/>
                <w:b/>
                <w:bCs/>
                <w:sz w:val="20"/>
                <w:szCs w:val="20"/>
                <w:vertAlign w:val="superscript"/>
              </w:rPr>
            </w:pPr>
            <w:r w:rsidRPr="001427AF">
              <w:rPr>
                <w:rFonts w:ascii="Arial" w:hAnsi="Arial" w:cs="Arial"/>
                <w:b/>
                <w:bCs/>
                <w:sz w:val="20"/>
                <w:szCs w:val="20"/>
              </w:rPr>
              <w:t>High school accountability growth (20%)</w:t>
            </w:r>
          </w:p>
          <w:p w14:paraId="15A96BD5" w14:textId="490A3D53" w:rsidR="00491DC0" w:rsidRDefault="00491DC0" w:rsidP="00CA5853">
            <w:pPr>
              <w:pStyle w:val="NormalWeb"/>
              <w:numPr>
                <w:ilvl w:val="0"/>
                <w:numId w:val="139"/>
              </w:numPr>
              <w:spacing w:before="0" w:beforeAutospacing="0" w:after="0" w:afterAutospacing="0"/>
              <w:contextualSpacing/>
              <w:rPr>
                <w:rFonts w:ascii="Arial" w:hAnsi="Arial" w:cs="Arial"/>
              </w:rPr>
            </w:pPr>
            <w:r w:rsidRPr="001427AF">
              <w:rPr>
                <w:rFonts w:ascii="Arial" w:hAnsi="Arial" w:cs="Arial"/>
                <w:sz w:val="20"/>
                <w:szCs w:val="20"/>
              </w:rPr>
              <w:t>English II, high school mathematics</w:t>
            </w:r>
          </w:p>
        </w:tc>
        <w:tc>
          <w:tcPr>
            <w:tcW w:w="5130" w:type="dxa"/>
          </w:tcPr>
          <w:p w14:paraId="34EAEBD0" w14:textId="77777777" w:rsidR="00491DC0" w:rsidRPr="001427AF" w:rsidRDefault="00491DC0" w:rsidP="00491DC0">
            <w:pPr>
              <w:pStyle w:val="Default"/>
              <w:contextualSpacing/>
              <w:rPr>
                <w:rFonts w:ascii="Arial" w:hAnsi="Arial" w:cs="Arial"/>
                <w:sz w:val="20"/>
                <w:szCs w:val="20"/>
              </w:rPr>
            </w:pPr>
            <w:r w:rsidRPr="001427AF">
              <w:rPr>
                <w:rFonts w:ascii="Arial" w:hAnsi="Arial" w:cs="Arial"/>
                <w:sz w:val="20"/>
                <w:szCs w:val="20"/>
              </w:rPr>
              <w:t xml:space="preserve">Biology </w:t>
            </w:r>
            <w:r>
              <w:rPr>
                <w:rFonts w:ascii="Arial" w:hAnsi="Arial" w:cs="Arial"/>
                <w:sz w:val="20"/>
                <w:szCs w:val="20"/>
              </w:rPr>
              <w:t xml:space="preserve">EOC </w:t>
            </w:r>
            <w:r w:rsidRPr="001427AF">
              <w:rPr>
                <w:rFonts w:ascii="Arial" w:hAnsi="Arial" w:cs="Arial"/>
                <w:sz w:val="20"/>
                <w:szCs w:val="20"/>
              </w:rPr>
              <w:t>proficiency</w:t>
            </w:r>
          </w:p>
          <w:p w14:paraId="33654921" w14:textId="77777777" w:rsidR="00491DC0" w:rsidRDefault="00491DC0" w:rsidP="00491DC0">
            <w:pPr>
              <w:pStyle w:val="Default"/>
              <w:contextualSpacing/>
              <w:rPr>
                <w:rFonts w:ascii="Arial" w:hAnsi="Arial" w:cs="Arial"/>
                <w:sz w:val="20"/>
                <w:szCs w:val="20"/>
              </w:rPr>
            </w:pPr>
          </w:p>
          <w:p w14:paraId="4FB3442A" w14:textId="77777777" w:rsidR="00491DC0" w:rsidRPr="001427AF" w:rsidRDefault="00491DC0" w:rsidP="00491DC0">
            <w:pPr>
              <w:pStyle w:val="Default"/>
              <w:contextualSpacing/>
              <w:rPr>
                <w:rFonts w:ascii="Arial" w:hAnsi="Arial" w:cs="Arial"/>
                <w:sz w:val="20"/>
                <w:szCs w:val="20"/>
              </w:rPr>
            </w:pPr>
            <w:r w:rsidRPr="001427AF">
              <w:rPr>
                <w:rFonts w:ascii="Arial" w:hAnsi="Arial" w:cs="Arial"/>
                <w:sz w:val="20"/>
                <w:szCs w:val="20"/>
              </w:rPr>
              <w:t>Completion of the NC Math 3 course in grade 12</w:t>
            </w:r>
          </w:p>
          <w:p w14:paraId="2B4ADC8C" w14:textId="77777777" w:rsidR="00491DC0" w:rsidRDefault="00491DC0" w:rsidP="00491DC0">
            <w:pPr>
              <w:pStyle w:val="NormalWeb"/>
              <w:spacing w:before="0" w:beforeAutospacing="0" w:after="0" w:afterAutospacing="0"/>
              <w:contextualSpacing/>
              <w:rPr>
                <w:rFonts w:ascii="Arial" w:hAnsi="Arial" w:cs="Arial"/>
                <w:sz w:val="20"/>
                <w:szCs w:val="20"/>
              </w:rPr>
            </w:pPr>
          </w:p>
          <w:p w14:paraId="23DD68A8" w14:textId="71FB9FCD" w:rsidR="00491DC0" w:rsidRPr="00163351" w:rsidRDefault="00491DC0" w:rsidP="00491DC0">
            <w:pPr>
              <w:pStyle w:val="Default"/>
              <w:contextualSpacing/>
              <w:rPr>
                <w:rFonts w:ascii="Arial" w:hAnsi="Arial" w:cs="Arial"/>
                <w:b/>
                <w:bCs/>
                <w:sz w:val="20"/>
                <w:szCs w:val="20"/>
              </w:rPr>
            </w:pPr>
            <w:r w:rsidRPr="001427AF">
              <w:rPr>
                <w:rFonts w:ascii="Arial" w:hAnsi="Arial" w:cs="Arial"/>
                <w:sz w:val="20"/>
                <w:szCs w:val="20"/>
              </w:rPr>
              <w:t>The ACT/ACT WorkKeys at grade 12</w:t>
            </w:r>
          </w:p>
        </w:tc>
      </w:tr>
    </w:tbl>
    <w:p w14:paraId="2AC83DFB" w14:textId="6CD73E98" w:rsidR="003261AF" w:rsidRPr="001427AF" w:rsidRDefault="00456D71" w:rsidP="001514C3">
      <w:pPr>
        <w:pStyle w:val="Heading2"/>
      </w:pPr>
      <w:bookmarkStart w:id="90" w:name="_Toc135812495"/>
      <w:bookmarkStart w:id="91" w:name="_Toc136418875"/>
      <w:bookmarkStart w:id="92" w:name="_Toc136419131"/>
      <w:bookmarkStart w:id="93" w:name="_Toc225404943"/>
      <w:r w:rsidRPr="001427AF">
        <w:lastRenderedPageBreak/>
        <w:t xml:space="preserve">School </w:t>
      </w:r>
      <w:r w:rsidR="003261AF" w:rsidRPr="001427AF">
        <w:t>P</w:t>
      </w:r>
      <w:r w:rsidRPr="001427AF">
        <w:t xml:space="preserve">erformance </w:t>
      </w:r>
      <w:r w:rsidR="003261AF" w:rsidRPr="001427AF">
        <w:t>G</w:t>
      </w:r>
      <w:r w:rsidRPr="001427AF">
        <w:t xml:space="preserve">rade </w:t>
      </w:r>
      <w:r w:rsidR="003261AF" w:rsidRPr="001427AF">
        <w:t>I</w:t>
      </w:r>
      <w:r w:rsidRPr="001427AF">
        <w:t xml:space="preserve">ndicators for </w:t>
      </w:r>
      <w:r w:rsidR="003261AF" w:rsidRPr="001427AF">
        <w:t>E</w:t>
      </w:r>
      <w:r w:rsidR="00A607B2" w:rsidRPr="001427AF">
        <w:t xml:space="preserve">lementary and </w:t>
      </w:r>
      <w:r w:rsidR="003261AF" w:rsidRPr="001427AF">
        <w:t>S</w:t>
      </w:r>
      <w:r w:rsidR="00A607B2" w:rsidRPr="001427AF">
        <w:t xml:space="preserve">econdary </w:t>
      </w:r>
      <w:r w:rsidR="003261AF" w:rsidRPr="001427AF">
        <w:t>S</w:t>
      </w:r>
      <w:r w:rsidR="00A607B2" w:rsidRPr="001427AF">
        <w:t>chools</w:t>
      </w:r>
      <w:r w:rsidR="003261AF" w:rsidRPr="001427AF">
        <w:t xml:space="preserve"> </w:t>
      </w:r>
      <w:r w:rsidR="00A9149E" w:rsidRPr="001427AF">
        <w:t>(</w:t>
      </w:r>
      <w:r w:rsidR="003261AF" w:rsidRPr="001427AF">
        <w:t>K</w:t>
      </w:r>
      <w:r w:rsidR="00CE6FB2" w:rsidRPr="001427AF">
        <w:t xml:space="preserve">indergarten through </w:t>
      </w:r>
      <w:r w:rsidR="003261AF" w:rsidRPr="001427AF">
        <w:t>G</w:t>
      </w:r>
      <w:r w:rsidR="00CE6FB2" w:rsidRPr="001427AF">
        <w:t xml:space="preserve">rade </w:t>
      </w:r>
      <w:r w:rsidR="003261AF" w:rsidRPr="001427AF">
        <w:t>E</w:t>
      </w:r>
      <w:r w:rsidR="00CE6FB2" w:rsidRPr="001427AF">
        <w:t>ight</w:t>
      </w:r>
      <w:r w:rsidR="00A9149E" w:rsidRPr="001427AF">
        <w:t xml:space="preserve">) </w:t>
      </w:r>
      <w:r w:rsidR="008F77F5" w:rsidRPr="001427AF">
        <w:t>T</w:t>
      </w:r>
      <w:r w:rsidR="00A607B2" w:rsidRPr="001427AF">
        <w:t xml:space="preserve">hat </w:t>
      </w:r>
      <w:r w:rsidR="008F77F5" w:rsidRPr="001427AF">
        <w:t>A</w:t>
      </w:r>
      <w:r w:rsidR="00A607B2" w:rsidRPr="001427AF">
        <w:t xml:space="preserve">re </w:t>
      </w:r>
      <w:r w:rsidR="008F77F5" w:rsidRPr="001427AF">
        <w:t>N</w:t>
      </w:r>
      <w:r w:rsidR="00A607B2" w:rsidRPr="001427AF">
        <w:t xml:space="preserve">ot </w:t>
      </w:r>
      <w:r w:rsidR="003261AF" w:rsidRPr="001427AF">
        <w:t>H</w:t>
      </w:r>
      <w:r w:rsidR="00A607B2" w:rsidRPr="001427AF">
        <w:t xml:space="preserve">igh </w:t>
      </w:r>
      <w:r w:rsidR="003261AF" w:rsidRPr="001427AF">
        <w:t>S</w:t>
      </w:r>
      <w:r w:rsidR="00A607B2" w:rsidRPr="001427AF">
        <w:t>chools</w:t>
      </w:r>
      <w:bookmarkEnd w:id="90"/>
      <w:bookmarkEnd w:id="91"/>
      <w:bookmarkEnd w:id="92"/>
      <w:bookmarkEnd w:id="93"/>
    </w:p>
    <w:p w14:paraId="2F372D24" w14:textId="77777777" w:rsidR="00DE129E" w:rsidRPr="001427AF" w:rsidRDefault="00DE129E" w:rsidP="00DE129E">
      <w:pPr>
        <w:pStyle w:val="NormalWeb"/>
        <w:spacing w:before="0" w:beforeAutospacing="0" w:after="0" w:afterAutospacing="0"/>
        <w:contextualSpacing/>
        <w:rPr>
          <w:rFonts w:ascii="Arial" w:hAnsi="Arial" w:cs="Arial"/>
          <w:color w:val="000000"/>
        </w:rPr>
      </w:pPr>
      <w:r w:rsidRPr="001427AF">
        <w:rPr>
          <w:rFonts w:ascii="Arial" w:hAnsi="Arial" w:cs="Arial"/>
          <w:color w:val="000000"/>
        </w:rPr>
        <w:t>The Academic Achievement Indicator (i.e., combined reading and mathematics tests), the Other Academic Indicator (i.e., science tests), and the English Learner Progress (ELP) Indicator comprise 80% of the total weight for the system of annual meaningful differentiation and include the following indicators:</w:t>
      </w:r>
    </w:p>
    <w:p w14:paraId="72CB8E8C" w14:textId="5E1BC0DB" w:rsidR="00DE129E" w:rsidRPr="001427AF" w:rsidRDefault="00DE129E" w:rsidP="00CA5853">
      <w:pPr>
        <w:pStyle w:val="Default"/>
        <w:numPr>
          <w:ilvl w:val="0"/>
          <w:numId w:val="139"/>
        </w:numPr>
        <w:rPr>
          <w:rFonts w:ascii="Arial" w:hAnsi="Arial" w:cs="Arial"/>
        </w:rPr>
      </w:pPr>
      <w:r w:rsidRPr="001427AF">
        <w:rPr>
          <w:rFonts w:ascii="Arial" w:hAnsi="Arial" w:cs="Arial"/>
          <w:i/>
        </w:rPr>
        <w:t>End-of-Grade Tests</w:t>
      </w:r>
      <w:r w:rsidRPr="001427AF">
        <w:rPr>
          <w:rFonts w:ascii="Arial" w:hAnsi="Arial" w:cs="Arial"/>
        </w:rPr>
        <w:t>.</w:t>
      </w:r>
      <w:r w:rsidRPr="001427AF" w:rsidDel="002240E1">
        <w:rPr>
          <w:rFonts w:ascii="Arial" w:hAnsi="Arial" w:cs="Arial"/>
        </w:rPr>
        <w:t xml:space="preserve"> </w:t>
      </w:r>
      <w:r w:rsidRPr="001427AF">
        <w:rPr>
          <w:rFonts w:ascii="Arial" w:hAnsi="Arial" w:cs="Arial"/>
        </w:rPr>
        <w:t>Students that score at or above Level 3 on annual end-of-grade (EOG)</w:t>
      </w:r>
      <w:r w:rsidRPr="001427AF" w:rsidDel="00112341">
        <w:rPr>
          <w:rFonts w:ascii="Arial" w:hAnsi="Arial" w:cs="Arial"/>
        </w:rPr>
        <w:t xml:space="preserve"> </w:t>
      </w:r>
      <w:r w:rsidRPr="001427AF">
        <w:rPr>
          <w:rFonts w:ascii="Arial" w:hAnsi="Arial" w:cs="Arial"/>
        </w:rPr>
        <w:t xml:space="preserve">tests in reading and mathematics in grades 3–8, NC Math 1 for some students in middle school, and science tests in grades 5 and 8 are counted for academic growth and performance. </w:t>
      </w:r>
      <w:r w:rsidR="00D477BE" w:rsidRPr="001427AF">
        <w:rPr>
          <w:rFonts w:ascii="Arial" w:hAnsi="Arial" w:cs="Arial"/>
        </w:rPr>
        <w:t>NCEXTEND1</w:t>
      </w:r>
      <w:r w:rsidRPr="001427AF">
        <w:rPr>
          <w:rFonts w:ascii="Arial" w:hAnsi="Arial" w:cs="Arial"/>
        </w:rPr>
        <w:t xml:space="preserve"> is an alternate assessment for students with disabilities who are instructed on the North Carolina Extended Content Standards. This assessment is included in the performance measure only, not in growth. </w:t>
      </w:r>
    </w:p>
    <w:p w14:paraId="06289436" w14:textId="77777777" w:rsidR="00DE129E" w:rsidRPr="001427AF" w:rsidRDefault="00DE129E" w:rsidP="00CA5853">
      <w:pPr>
        <w:pStyle w:val="Default"/>
        <w:numPr>
          <w:ilvl w:val="0"/>
          <w:numId w:val="139"/>
        </w:numPr>
        <w:rPr>
          <w:rFonts w:ascii="Arial" w:hAnsi="Arial" w:cs="Arial"/>
        </w:rPr>
      </w:pPr>
      <w:r w:rsidRPr="001427AF">
        <w:rPr>
          <w:rFonts w:ascii="Arial" w:hAnsi="Arial" w:cs="Arial"/>
          <w:i/>
        </w:rPr>
        <w:t>English Learner Progress</w:t>
      </w:r>
      <w:r w:rsidRPr="001427AF">
        <w:rPr>
          <w:rFonts w:ascii="Arial" w:hAnsi="Arial" w:cs="Arial"/>
        </w:rPr>
        <w:t>.</w:t>
      </w:r>
      <w:r w:rsidRPr="001427AF" w:rsidDel="002240E1">
        <w:rPr>
          <w:rFonts w:ascii="Arial" w:hAnsi="Arial" w:cs="Arial"/>
        </w:rPr>
        <w:t xml:space="preserve"> </w:t>
      </w:r>
      <w:r w:rsidRPr="001427AF">
        <w:rPr>
          <w:rFonts w:ascii="Arial" w:hAnsi="Arial" w:cs="Arial"/>
        </w:rPr>
        <w:t>Students who are classified as English learners (EL) take an English language attainment assessment, which is included in the accountability model for students in grades 3–8.</w:t>
      </w:r>
    </w:p>
    <w:p w14:paraId="3B86769A" w14:textId="18FD640C" w:rsidR="00D82D28" w:rsidRPr="001427AF" w:rsidRDefault="00DE129E" w:rsidP="00DE129E">
      <w:pPr>
        <w:pStyle w:val="NormalWeb"/>
        <w:rPr>
          <w:rFonts w:ascii="Arial" w:hAnsi="Arial" w:cs="Arial"/>
          <w:color w:val="000000"/>
        </w:rPr>
      </w:pPr>
      <w:r w:rsidRPr="001427AF">
        <w:rPr>
          <w:rFonts w:ascii="Arial" w:hAnsi="Arial" w:cs="Arial"/>
          <w:color w:val="000000" w:themeColor="text1"/>
        </w:rPr>
        <w:t xml:space="preserve">The School Quality or Student Success Indicator (i.e., school growth) </w:t>
      </w:r>
      <w:r w:rsidR="00D477BE" w:rsidRPr="001427AF">
        <w:rPr>
          <w:rFonts w:ascii="Arial" w:hAnsi="Arial" w:cs="Arial"/>
          <w:color w:val="000000" w:themeColor="text1"/>
        </w:rPr>
        <w:t>accounts</w:t>
      </w:r>
      <w:r w:rsidRPr="001427AF">
        <w:rPr>
          <w:rFonts w:ascii="Arial" w:hAnsi="Arial" w:cs="Arial"/>
          <w:color w:val="000000" w:themeColor="text1"/>
        </w:rPr>
        <w:t xml:space="preserve"> for 20% of the total weight for the system of annual meaningful differentiation. </w:t>
      </w:r>
      <w:proofErr w:type="gramStart"/>
      <w:r w:rsidRPr="001427AF">
        <w:rPr>
          <w:rFonts w:ascii="Arial" w:hAnsi="Arial" w:cs="Arial"/>
          <w:color w:val="000000" w:themeColor="text1"/>
        </w:rPr>
        <w:t>The 20</w:t>
      </w:r>
      <w:proofErr w:type="gramEnd"/>
      <w:r w:rsidRPr="001427AF">
        <w:rPr>
          <w:rFonts w:ascii="Arial" w:hAnsi="Arial" w:cs="Arial"/>
          <w:color w:val="000000" w:themeColor="text1"/>
        </w:rPr>
        <w:t>% is determined by school growth on the statewide tests of reading, mathematics, and science. School growth is referred to as School Accountability Growth.</w:t>
      </w:r>
    </w:p>
    <w:p w14:paraId="3080B53B" w14:textId="77777777" w:rsidR="00D82D28" w:rsidRPr="001427AF" w:rsidRDefault="00D82D28" w:rsidP="00D82D28">
      <w:pPr>
        <w:pStyle w:val="NormalWeb"/>
        <w:rPr>
          <w:rFonts w:ascii="Arial" w:hAnsi="Arial" w:cs="Arial"/>
          <w:color w:val="000000"/>
        </w:rPr>
      </w:pPr>
      <w:r w:rsidRPr="001427AF">
        <w:rPr>
          <w:rFonts w:ascii="Arial" w:hAnsi="Arial" w:cs="Arial"/>
          <w:color w:val="000000"/>
        </w:rPr>
        <w:t>The achievement indicators have much greater weight in the system than the School Quality or Student Success indicator.</w:t>
      </w:r>
    </w:p>
    <w:p w14:paraId="54B5769E" w14:textId="2DEF75A9" w:rsidR="00D82D28" w:rsidRPr="001427AF" w:rsidRDefault="00D82D28" w:rsidP="00D82D28">
      <w:pPr>
        <w:pStyle w:val="NormalWeb"/>
        <w:rPr>
          <w:rFonts w:ascii="Arial" w:hAnsi="Arial" w:cs="Arial"/>
          <w:color w:val="000000"/>
        </w:rPr>
      </w:pPr>
      <w:r w:rsidRPr="001427AF">
        <w:rPr>
          <w:rFonts w:ascii="Arial" w:hAnsi="Arial" w:cs="Arial"/>
          <w:color w:val="000000"/>
        </w:rPr>
        <w:t xml:space="preserve">As specified in </w:t>
      </w:r>
      <w:r w:rsidR="009677F4" w:rsidRPr="001427AF">
        <w:rPr>
          <w:rFonts w:ascii="Arial" w:hAnsi="Arial" w:cs="Arial"/>
          <w:color w:val="000000"/>
        </w:rPr>
        <w:t xml:space="preserve">G.S. </w:t>
      </w:r>
      <w:r w:rsidRPr="001427AF">
        <w:rPr>
          <w:rFonts w:ascii="Arial" w:hAnsi="Arial" w:cs="Arial"/>
          <w:color w:val="000000"/>
        </w:rPr>
        <w:t>§115C.83.15(b), the school achievement part of the model uses “(</w:t>
      </w:r>
      <w:proofErr w:type="spellStart"/>
      <w:r w:rsidRPr="001427AF">
        <w:rPr>
          <w:rFonts w:ascii="Arial" w:hAnsi="Arial" w:cs="Arial"/>
          <w:color w:val="000000"/>
        </w:rPr>
        <w:t>i</w:t>
      </w:r>
      <w:proofErr w:type="spellEnd"/>
      <w:r w:rsidRPr="001427AF">
        <w:rPr>
          <w:rFonts w:ascii="Arial" w:hAnsi="Arial" w:cs="Arial"/>
          <w:color w:val="000000"/>
        </w:rPr>
        <w:t>) a composite approach to weigh the achievement elements based on the number of students measured by any given achievement element, and (ii) proportionally adjust the scale to account for the absence of a school achievement element…” Within the Achievement Component, most of the data is based on student performance on the reading and mathematics assessments. Typically, there are three grade levels with these test scores and only one grade level with data for the Other Academic Indicator (</w:t>
      </w:r>
      <w:r w:rsidR="00112341" w:rsidRPr="001427AF">
        <w:rPr>
          <w:rFonts w:ascii="Arial" w:hAnsi="Arial" w:cs="Arial"/>
          <w:color w:val="000000"/>
        </w:rPr>
        <w:t xml:space="preserve">i.e., </w:t>
      </w:r>
      <w:r w:rsidRPr="001427AF">
        <w:rPr>
          <w:rFonts w:ascii="Arial" w:hAnsi="Arial" w:cs="Arial"/>
          <w:color w:val="000000"/>
        </w:rPr>
        <w:t xml:space="preserve">science scores). </w:t>
      </w:r>
    </w:p>
    <w:p w14:paraId="5094719A" w14:textId="37FC87E5" w:rsidR="00D82D28" w:rsidRPr="001427AF" w:rsidRDefault="00D82D28" w:rsidP="00D82D28">
      <w:pPr>
        <w:pStyle w:val="NormalWeb"/>
        <w:rPr>
          <w:rFonts w:ascii="Arial" w:hAnsi="Arial" w:cs="Arial"/>
          <w:color w:val="000000"/>
        </w:rPr>
      </w:pPr>
      <w:r w:rsidRPr="001427AF">
        <w:rPr>
          <w:rFonts w:ascii="Arial" w:hAnsi="Arial" w:cs="Arial"/>
          <w:color w:val="000000" w:themeColor="text1"/>
        </w:rPr>
        <w:t xml:space="preserve">Likewise, there is a smaller subset of students comprising the ELP indicator. This method of calculation allows for a proportional representation of </w:t>
      </w:r>
      <w:bookmarkStart w:id="94" w:name="_Int_53TVpF4w"/>
      <w:r w:rsidRPr="001427AF">
        <w:rPr>
          <w:rFonts w:ascii="Arial" w:hAnsi="Arial" w:cs="Arial"/>
          <w:color w:val="000000" w:themeColor="text1"/>
        </w:rPr>
        <w:t>ELs</w:t>
      </w:r>
      <w:bookmarkEnd w:id="94"/>
      <w:r w:rsidRPr="001427AF">
        <w:rPr>
          <w:rFonts w:ascii="Arial" w:hAnsi="Arial" w:cs="Arial"/>
          <w:color w:val="000000" w:themeColor="text1"/>
        </w:rPr>
        <w:t xml:space="preserve"> in relationship to the total school population. If a school does not have the required number of students to report the ELP indicator, its weight will become part of the other indicators in the achievement component. </w:t>
      </w:r>
    </w:p>
    <w:p w14:paraId="51D87A37" w14:textId="77777777" w:rsidR="00D82D28" w:rsidRDefault="00D82D28" w:rsidP="00D82D28">
      <w:pPr>
        <w:pStyle w:val="NormalWeb"/>
        <w:spacing w:before="0" w:beforeAutospacing="0"/>
        <w:rPr>
          <w:rFonts w:ascii="Arial" w:hAnsi="Arial" w:cs="Arial"/>
          <w:color w:val="000000"/>
        </w:rPr>
      </w:pPr>
      <w:r w:rsidRPr="001427AF">
        <w:rPr>
          <w:rFonts w:ascii="Arial" w:hAnsi="Arial" w:cs="Arial"/>
          <w:color w:val="000000"/>
        </w:rPr>
        <w:t>Table 1.3 illustrates how North Carolina calculates the elementary and middle school accountability indicator measures used in the accountability model. The numbers in th</w:t>
      </w:r>
      <w:r w:rsidR="00285ABB" w:rsidRPr="001427AF">
        <w:rPr>
          <w:rFonts w:ascii="Arial" w:hAnsi="Arial" w:cs="Arial"/>
          <w:color w:val="000000"/>
        </w:rPr>
        <w:t>is</w:t>
      </w:r>
      <w:r w:rsidRPr="001427AF" w:rsidDel="009677F4">
        <w:rPr>
          <w:rFonts w:ascii="Arial" w:hAnsi="Arial" w:cs="Arial"/>
          <w:color w:val="000000"/>
        </w:rPr>
        <w:t xml:space="preserve"> </w:t>
      </w:r>
      <w:r w:rsidR="009677F4" w:rsidRPr="001427AF">
        <w:rPr>
          <w:rFonts w:ascii="Arial" w:hAnsi="Arial" w:cs="Arial"/>
          <w:color w:val="000000"/>
        </w:rPr>
        <w:t xml:space="preserve">table </w:t>
      </w:r>
      <w:r w:rsidRPr="001427AF">
        <w:rPr>
          <w:rFonts w:ascii="Arial" w:hAnsi="Arial" w:cs="Arial"/>
          <w:color w:val="000000"/>
        </w:rPr>
        <w:t>are examples.</w:t>
      </w:r>
    </w:p>
    <w:p w14:paraId="2FBF1E26" w14:textId="77777777" w:rsidR="008B3721" w:rsidRPr="00BF1F0E" w:rsidRDefault="008B3721">
      <w:pPr>
        <w:spacing w:line="240" w:lineRule="auto"/>
        <w:rPr>
          <w:rFonts w:ascii="Arial" w:hAnsi="Arial" w:cs="Arial"/>
          <w:szCs w:val="24"/>
        </w:rPr>
      </w:pPr>
      <w:r w:rsidRPr="00BF1F0E">
        <w:rPr>
          <w:rFonts w:ascii="Arial" w:hAnsi="Arial" w:cs="Arial"/>
        </w:rPr>
        <w:br w:type="page"/>
      </w:r>
    </w:p>
    <w:p w14:paraId="4E652139" w14:textId="78D5738F" w:rsidR="006D70A4" w:rsidRPr="001427AF" w:rsidRDefault="00663C6C" w:rsidP="008B3721">
      <w:pPr>
        <w:pStyle w:val="NormalWeb"/>
        <w:spacing w:before="0" w:beforeAutospacing="0"/>
        <w:rPr>
          <w:rFonts w:ascii="Arial" w:hAnsi="Arial" w:cs="Arial"/>
          <w:i/>
          <w:sz w:val="20"/>
        </w:rPr>
      </w:pPr>
      <w:r w:rsidRPr="001427AF">
        <w:rPr>
          <w:rFonts w:ascii="Arial" w:hAnsi="Arial" w:cs="Arial"/>
          <w:sz w:val="20"/>
        </w:rPr>
        <w:lastRenderedPageBreak/>
        <w:t>T</w:t>
      </w:r>
      <w:r w:rsidR="00907E40" w:rsidRPr="001427AF">
        <w:rPr>
          <w:rFonts w:ascii="Arial" w:hAnsi="Arial" w:cs="Arial"/>
          <w:sz w:val="20"/>
        </w:rPr>
        <w:t>ABLE</w:t>
      </w:r>
      <w:r w:rsidRPr="001427AF">
        <w:rPr>
          <w:rFonts w:ascii="Arial" w:hAnsi="Arial" w:cs="Arial"/>
          <w:sz w:val="20"/>
        </w:rPr>
        <w:t xml:space="preserve"> </w:t>
      </w:r>
      <w:r w:rsidR="00482C61" w:rsidRPr="001427AF">
        <w:rPr>
          <w:rFonts w:ascii="Arial" w:hAnsi="Arial" w:cs="Arial"/>
          <w:sz w:val="20"/>
        </w:rPr>
        <w:t>1</w:t>
      </w:r>
      <w:r w:rsidR="006861E9" w:rsidRPr="001427AF">
        <w:rPr>
          <w:rFonts w:ascii="Arial" w:hAnsi="Arial" w:cs="Arial"/>
          <w:sz w:val="20"/>
        </w:rPr>
        <w:t>.3</w:t>
      </w:r>
      <w:r w:rsidR="00B22C8E" w:rsidRPr="001427AF">
        <w:rPr>
          <w:rFonts w:ascii="Arial" w:hAnsi="Arial" w:cs="Arial"/>
          <w:sz w:val="20"/>
        </w:rPr>
        <w:t>.</w:t>
      </w:r>
      <w:r w:rsidR="00B22C8E" w:rsidRPr="001427AF">
        <w:rPr>
          <w:rFonts w:ascii="Arial" w:hAnsi="Arial" w:cs="Arial"/>
          <w:b/>
          <w:sz w:val="20"/>
        </w:rPr>
        <w:t xml:space="preserve"> </w:t>
      </w:r>
      <w:r w:rsidR="00F274C8" w:rsidRPr="001427AF">
        <w:rPr>
          <w:rFonts w:ascii="Arial" w:hAnsi="Arial" w:cs="Arial"/>
          <w:sz w:val="20"/>
        </w:rPr>
        <w:t xml:space="preserve">Elementary and </w:t>
      </w:r>
      <w:r w:rsidR="001D6118" w:rsidRPr="001427AF">
        <w:rPr>
          <w:rFonts w:ascii="Arial" w:hAnsi="Arial" w:cs="Arial"/>
          <w:sz w:val="20"/>
        </w:rPr>
        <w:t>m</w:t>
      </w:r>
      <w:r w:rsidR="00F274C8" w:rsidRPr="001427AF">
        <w:rPr>
          <w:rFonts w:ascii="Arial" w:hAnsi="Arial" w:cs="Arial"/>
          <w:sz w:val="20"/>
        </w:rPr>
        <w:t xml:space="preserve">iddle </w:t>
      </w:r>
      <w:r w:rsidR="001D6118" w:rsidRPr="001427AF">
        <w:rPr>
          <w:rFonts w:ascii="Arial" w:hAnsi="Arial" w:cs="Arial"/>
          <w:sz w:val="20"/>
        </w:rPr>
        <w:t>s</w:t>
      </w:r>
      <w:r w:rsidR="00F274C8" w:rsidRPr="001427AF">
        <w:rPr>
          <w:rFonts w:ascii="Arial" w:hAnsi="Arial" w:cs="Arial"/>
          <w:sz w:val="20"/>
        </w:rPr>
        <w:t xml:space="preserve">chool </w:t>
      </w:r>
      <w:r w:rsidR="000107BA" w:rsidRPr="001427AF">
        <w:rPr>
          <w:rFonts w:ascii="Arial" w:hAnsi="Arial" w:cs="Arial"/>
          <w:sz w:val="20"/>
        </w:rPr>
        <w:t xml:space="preserve">indicator </w:t>
      </w:r>
      <w:r w:rsidR="001D6118" w:rsidRPr="001427AF">
        <w:rPr>
          <w:rFonts w:ascii="Arial" w:hAnsi="Arial" w:cs="Arial"/>
          <w:sz w:val="20"/>
        </w:rPr>
        <w:t>c</w:t>
      </w:r>
      <w:r w:rsidR="00291C7E" w:rsidRPr="001427AF">
        <w:rPr>
          <w:rFonts w:ascii="Arial" w:hAnsi="Arial" w:cs="Arial"/>
          <w:sz w:val="20"/>
        </w:rPr>
        <w:t>alculations</w:t>
      </w:r>
      <w:r w:rsidR="007C2AA2">
        <w:rPr>
          <w:rFonts w:ascii="Arial" w:hAnsi="Arial" w:cs="Arial"/>
          <w:sz w:val="20"/>
        </w:rPr>
        <w:t xml:space="preserve"> (proficiency)</w:t>
      </w:r>
      <w:r w:rsidR="00F5351E">
        <w:rPr>
          <w:rFonts w:ascii="Arial" w:hAnsi="Arial" w:cs="Arial"/>
          <w:sz w:val="20"/>
        </w:rPr>
        <w:t xml:space="preserve"> example</w:t>
      </w:r>
    </w:p>
    <w:tbl>
      <w:tblPr>
        <w:tblW w:w="9640"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0E0" w:firstRow="1" w:lastRow="1" w:firstColumn="1" w:lastColumn="0" w:noHBand="0" w:noVBand="0"/>
        <w:tblDescription w:val="This table provides an example calculation of an elementary or middle schools, school performance grade. "/>
      </w:tblPr>
      <w:tblGrid>
        <w:gridCol w:w="3868"/>
        <w:gridCol w:w="2827"/>
        <w:gridCol w:w="2945"/>
      </w:tblGrid>
      <w:tr w:rsidR="000B1FB5" w:rsidRPr="001427AF" w14:paraId="35F4381E" w14:textId="77777777" w:rsidTr="001D3CE3">
        <w:trPr>
          <w:trHeight w:val="389"/>
          <w:tblHeader/>
        </w:trPr>
        <w:tc>
          <w:tcPr>
            <w:tcW w:w="3868" w:type="dxa"/>
            <w:tcBorders>
              <w:top w:val="single" w:sz="12" w:space="0" w:color="auto"/>
              <w:bottom w:val="single" w:sz="12" w:space="0" w:color="auto"/>
              <w:right w:val="single" w:sz="12" w:space="0" w:color="auto"/>
            </w:tcBorders>
            <w:shd w:val="clear" w:color="auto" w:fill="ACB9CA" w:themeFill="text2" w:themeFillTint="66"/>
            <w:vAlign w:val="center"/>
          </w:tcPr>
          <w:p w14:paraId="3330E543" w14:textId="75582FB9" w:rsidR="000B1FB5" w:rsidRPr="001427AF" w:rsidRDefault="000B1FB5" w:rsidP="000728E1">
            <w:pPr>
              <w:spacing w:line="240" w:lineRule="auto"/>
              <w:contextualSpacing/>
              <w:rPr>
                <w:rFonts w:ascii="Arial" w:hAnsi="Arial" w:cs="Arial"/>
                <w:b/>
                <w:sz w:val="20"/>
              </w:rPr>
            </w:pPr>
            <w:r w:rsidRPr="001427AF">
              <w:rPr>
                <w:rFonts w:ascii="Arial" w:hAnsi="Arial" w:cs="Arial"/>
                <w:b/>
                <w:sz w:val="20"/>
              </w:rPr>
              <w:t>Measure</w:t>
            </w:r>
          </w:p>
        </w:tc>
        <w:tc>
          <w:tcPr>
            <w:tcW w:w="2827" w:type="dxa"/>
            <w:tcBorders>
              <w:top w:val="single" w:sz="12" w:space="0" w:color="auto"/>
              <w:left w:val="single" w:sz="12" w:space="0" w:color="auto"/>
              <w:bottom w:val="single" w:sz="12" w:space="0" w:color="auto"/>
            </w:tcBorders>
            <w:shd w:val="clear" w:color="auto" w:fill="ACB9CA" w:themeFill="text2" w:themeFillTint="66"/>
            <w:vAlign w:val="center"/>
          </w:tcPr>
          <w:p w14:paraId="75D80A63" w14:textId="5A292EA2" w:rsidR="000B1FB5" w:rsidRPr="001427AF" w:rsidRDefault="000B1FB5" w:rsidP="001A535F">
            <w:pPr>
              <w:spacing w:line="240" w:lineRule="auto"/>
              <w:contextualSpacing/>
              <w:jc w:val="center"/>
              <w:rPr>
                <w:rFonts w:ascii="Arial" w:hAnsi="Arial" w:cs="Arial"/>
                <w:b/>
                <w:sz w:val="20"/>
              </w:rPr>
            </w:pPr>
            <w:r w:rsidRPr="001427AF">
              <w:rPr>
                <w:rFonts w:ascii="Arial" w:hAnsi="Arial" w:cs="Arial"/>
                <w:b/>
                <w:sz w:val="20"/>
              </w:rPr>
              <w:t>Numerator</w:t>
            </w:r>
          </w:p>
        </w:tc>
        <w:tc>
          <w:tcPr>
            <w:tcW w:w="2945" w:type="dxa"/>
            <w:tcBorders>
              <w:top w:val="single" w:sz="12" w:space="0" w:color="auto"/>
              <w:bottom w:val="single" w:sz="12" w:space="0" w:color="auto"/>
            </w:tcBorders>
            <w:shd w:val="clear" w:color="auto" w:fill="ACB9CA" w:themeFill="text2" w:themeFillTint="66"/>
            <w:vAlign w:val="center"/>
          </w:tcPr>
          <w:p w14:paraId="7C136A01" w14:textId="10FA0760" w:rsidR="000B1FB5" w:rsidRPr="001427AF" w:rsidRDefault="000B1FB5" w:rsidP="001A535F">
            <w:pPr>
              <w:spacing w:line="240" w:lineRule="auto"/>
              <w:contextualSpacing/>
              <w:jc w:val="center"/>
              <w:rPr>
                <w:rFonts w:ascii="Arial" w:hAnsi="Arial" w:cs="Arial"/>
                <w:sz w:val="20"/>
              </w:rPr>
            </w:pPr>
            <w:r w:rsidRPr="001427AF">
              <w:rPr>
                <w:rFonts w:ascii="Arial" w:hAnsi="Arial" w:cs="Arial"/>
                <w:b/>
                <w:sz w:val="20"/>
              </w:rPr>
              <w:t>Denominator</w:t>
            </w:r>
          </w:p>
        </w:tc>
      </w:tr>
      <w:tr w:rsidR="000B1FB5" w:rsidRPr="001427AF" w14:paraId="4464B072" w14:textId="77777777" w:rsidTr="001D3CE3">
        <w:trPr>
          <w:trHeight w:val="163"/>
        </w:trPr>
        <w:tc>
          <w:tcPr>
            <w:tcW w:w="3868" w:type="dxa"/>
            <w:tcBorders>
              <w:top w:val="single" w:sz="12" w:space="0" w:color="auto"/>
              <w:right w:val="single" w:sz="12" w:space="0" w:color="auto"/>
            </w:tcBorders>
          </w:tcPr>
          <w:p w14:paraId="7519A9C4" w14:textId="4760738A" w:rsidR="000B1FB5" w:rsidRPr="001427AF" w:rsidRDefault="000B1FB5" w:rsidP="00AC4519">
            <w:pPr>
              <w:spacing w:before="40"/>
              <w:rPr>
                <w:rFonts w:ascii="Arial" w:hAnsi="Arial" w:cs="Arial"/>
                <w:sz w:val="20"/>
              </w:rPr>
            </w:pPr>
            <w:r w:rsidRPr="001427AF">
              <w:rPr>
                <w:rFonts w:ascii="Arial" w:hAnsi="Arial" w:cs="Arial"/>
                <w:sz w:val="20"/>
              </w:rPr>
              <w:t>EOG Reading</w:t>
            </w:r>
          </w:p>
        </w:tc>
        <w:tc>
          <w:tcPr>
            <w:tcW w:w="2827" w:type="dxa"/>
            <w:tcBorders>
              <w:top w:val="single" w:sz="12" w:space="0" w:color="auto"/>
              <w:left w:val="single" w:sz="12" w:space="0" w:color="auto"/>
            </w:tcBorders>
          </w:tcPr>
          <w:p w14:paraId="7492C05B" w14:textId="3CE79816" w:rsidR="000B1FB5" w:rsidRPr="001427AF" w:rsidRDefault="000B1FB5" w:rsidP="0045102D">
            <w:pPr>
              <w:spacing w:before="40"/>
              <w:jc w:val="center"/>
              <w:rPr>
                <w:rFonts w:ascii="Arial" w:hAnsi="Arial" w:cs="Arial"/>
                <w:sz w:val="20"/>
              </w:rPr>
            </w:pPr>
            <w:r w:rsidRPr="001427AF">
              <w:rPr>
                <w:rFonts w:ascii="Arial" w:hAnsi="Arial" w:cs="Arial"/>
                <w:sz w:val="20"/>
              </w:rPr>
              <w:t>362</w:t>
            </w:r>
          </w:p>
        </w:tc>
        <w:tc>
          <w:tcPr>
            <w:tcW w:w="2945" w:type="dxa"/>
            <w:tcBorders>
              <w:top w:val="single" w:sz="12" w:space="0" w:color="auto"/>
            </w:tcBorders>
          </w:tcPr>
          <w:p w14:paraId="3CEA6283" w14:textId="15E1FDD0" w:rsidR="000B1FB5" w:rsidRPr="001427AF" w:rsidRDefault="000B1FB5" w:rsidP="0045102D">
            <w:pPr>
              <w:spacing w:before="40"/>
              <w:jc w:val="center"/>
              <w:rPr>
                <w:rFonts w:ascii="Arial" w:hAnsi="Arial" w:cs="Arial"/>
                <w:sz w:val="20"/>
              </w:rPr>
            </w:pPr>
            <w:r w:rsidRPr="001427AF">
              <w:rPr>
                <w:rFonts w:ascii="Arial" w:hAnsi="Arial" w:cs="Arial"/>
                <w:sz w:val="20"/>
              </w:rPr>
              <w:t>841</w:t>
            </w:r>
          </w:p>
        </w:tc>
      </w:tr>
      <w:tr w:rsidR="000B1FB5" w:rsidRPr="001427AF" w14:paraId="16C3FDD4" w14:textId="77777777" w:rsidTr="001D3CE3">
        <w:trPr>
          <w:trHeight w:val="56"/>
        </w:trPr>
        <w:tc>
          <w:tcPr>
            <w:tcW w:w="3868" w:type="dxa"/>
            <w:tcBorders>
              <w:right w:val="single" w:sz="12" w:space="0" w:color="auto"/>
            </w:tcBorders>
          </w:tcPr>
          <w:p w14:paraId="65D1CBC5" w14:textId="0822FF59" w:rsidR="000B1FB5" w:rsidRPr="001427AF" w:rsidRDefault="000B1FB5" w:rsidP="00AC4519">
            <w:pPr>
              <w:spacing w:before="40"/>
              <w:rPr>
                <w:rFonts w:ascii="Arial" w:hAnsi="Arial" w:cs="Arial"/>
                <w:sz w:val="20"/>
              </w:rPr>
            </w:pPr>
            <w:r w:rsidRPr="001427AF">
              <w:rPr>
                <w:rFonts w:ascii="Arial" w:hAnsi="Arial" w:cs="Arial"/>
                <w:sz w:val="20"/>
              </w:rPr>
              <w:t>EOG Math</w:t>
            </w:r>
          </w:p>
        </w:tc>
        <w:tc>
          <w:tcPr>
            <w:tcW w:w="2827" w:type="dxa"/>
            <w:tcBorders>
              <w:left w:val="single" w:sz="12" w:space="0" w:color="auto"/>
            </w:tcBorders>
          </w:tcPr>
          <w:p w14:paraId="3C8333E9" w14:textId="0E8D3016" w:rsidR="000B1FB5" w:rsidRPr="001427AF" w:rsidRDefault="000B1FB5" w:rsidP="0045102D">
            <w:pPr>
              <w:spacing w:before="40"/>
              <w:jc w:val="center"/>
              <w:rPr>
                <w:rFonts w:ascii="Arial" w:hAnsi="Arial" w:cs="Arial"/>
                <w:sz w:val="20"/>
              </w:rPr>
            </w:pPr>
            <w:r w:rsidRPr="001427AF">
              <w:rPr>
                <w:rFonts w:ascii="Arial" w:hAnsi="Arial" w:cs="Arial"/>
                <w:sz w:val="20"/>
              </w:rPr>
              <w:t>341</w:t>
            </w:r>
          </w:p>
        </w:tc>
        <w:tc>
          <w:tcPr>
            <w:tcW w:w="2945" w:type="dxa"/>
          </w:tcPr>
          <w:p w14:paraId="106B4857" w14:textId="5E6108D7" w:rsidR="000B1FB5" w:rsidRPr="001427AF" w:rsidRDefault="000B1FB5" w:rsidP="0045102D">
            <w:pPr>
              <w:spacing w:before="40"/>
              <w:jc w:val="center"/>
              <w:rPr>
                <w:rFonts w:ascii="Arial" w:hAnsi="Arial" w:cs="Arial"/>
                <w:sz w:val="20"/>
              </w:rPr>
            </w:pPr>
            <w:r w:rsidRPr="001427AF">
              <w:rPr>
                <w:rFonts w:ascii="Arial" w:hAnsi="Arial" w:cs="Arial"/>
                <w:sz w:val="20"/>
              </w:rPr>
              <w:t>841</w:t>
            </w:r>
          </w:p>
        </w:tc>
      </w:tr>
      <w:tr w:rsidR="000B1FB5" w:rsidRPr="001427AF" w14:paraId="0ED302F3" w14:textId="77777777" w:rsidTr="001D3CE3">
        <w:trPr>
          <w:trHeight w:val="56"/>
        </w:trPr>
        <w:tc>
          <w:tcPr>
            <w:tcW w:w="3868" w:type="dxa"/>
            <w:tcBorders>
              <w:right w:val="single" w:sz="12" w:space="0" w:color="auto"/>
            </w:tcBorders>
          </w:tcPr>
          <w:p w14:paraId="3DCBF938" w14:textId="7E447334" w:rsidR="000B1FB5" w:rsidRPr="001427AF" w:rsidRDefault="000B1FB5" w:rsidP="00AC4519">
            <w:pPr>
              <w:spacing w:before="40"/>
              <w:rPr>
                <w:rFonts w:ascii="Arial" w:hAnsi="Arial" w:cs="Arial"/>
                <w:sz w:val="20"/>
              </w:rPr>
            </w:pPr>
            <w:r w:rsidRPr="001427AF">
              <w:rPr>
                <w:rFonts w:ascii="Arial" w:hAnsi="Arial" w:cs="Arial"/>
                <w:sz w:val="20"/>
              </w:rPr>
              <w:t>EOG Science</w:t>
            </w:r>
          </w:p>
        </w:tc>
        <w:tc>
          <w:tcPr>
            <w:tcW w:w="2827" w:type="dxa"/>
            <w:tcBorders>
              <w:left w:val="single" w:sz="12" w:space="0" w:color="auto"/>
            </w:tcBorders>
          </w:tcPr>
          <w:p w14:paraId="5524BECC" w14:textId="3A3CC4AD" w:rsidR="000B1FB5" w:rsidRPr="001427AF" w:rsidRDefault="000B1FB5" w:rsidP="0045102D">
            <w:pPr>
              <w:spacing w:before="40"/>
              <w:jc w:val="center"/>
              <w:rPr>
                <w:rFonts w:ascii="Arial" w:hAnsi="Arial" w:cs="Arial"/>
                <w:sz w:val="20"/>
              </w:rPr>
            </w:pPr>
            <w:r w:rsidRPr="001427AF">
              <w:rPr>
                <w:rFonts w:ascii="Arial" w:hAnsi="Arial" w:cs="Arial"/>
                <w:sz w:val="20"/>
              </w:rPr>
              <w:t>189</w:t>
            </w:r>
          </w:p>
        </w:tc>
        <w:tc>
          <w:tcPr>
            <w:tcW w:w="2945" w:type="dxa"/>
          </w:tcPr>
          <w:p w14:paraId="7DB86FB2" w14:textId="07B19B82" w:rsidR="000B1FB5" w:rsidRPr="001427AF" w:rsidRDefault="000B1FB5" w:rsidP="0045102D">
            <w:pPr>
              <w:spacing w:before="40"/>
              <w:jc w:val="center"/>
              <w:rPr>
                <w:rFonts w:ascii="Arial" w:hAnsi="Arial" w:cs="Arial"/>
                <w:sz w:val="20"/>
              </w:rPr>
            </w:pPr>
            <w:r w:rsidRPr="001427AF">
              <w:rPr>
                <w:rFonts w:ascii="Arial" w:hAnsi="Arial" w:cs="Arial"/>
                <w:sz w:val="20"/>
              </w:rPr>
              <w:t>289</w:t>
            </w:r>
          </w:p>
        </w:tc>
      </w:tr>
      <w:tr w:rsidR="000B1FB5" w:rsidRPr="001427AF" w14:paraId="7BA3EEF4" w14:textId="77777777" w:rsidTr="001D3CE3">
        <w:trPr>
          <w:trHeight w:val="56"/>
        </w:trPr>
        <w:tc>
          <w:tcPr>
            <w:tcW w:w="3868" w:type="dxa"/>
            <w:tcBorders>
              <w:right w:val="single" w:sz="12" w:space="0" w:color="auto"/>
            </w:tcBorders>
          </w:tcPr>
          <w:p w14:paraId="77ED6C94" w14:textId="31CFDAC9" w:rsidR="000B1FB5" w:rsidRPr="001427AF" w:rsidRDefault="000B1FB5" w:rsidP="00AC4519">
            <w:pPr>
              <w:spacing w:before="40"/>
              <w:rPr>
                <w:rFonts w:ascii="Arial" w:hAnsi="Arial" w:cs="Arial"/>
                <w:sz w:val="20"/>
              </w:rPr>
            </w:pPr>
            <w:r w:rsidRPr="001427AF">
              <w:rPr>
                <w:rFonts w:ascii="Arial" w:hAnsi="Arial" w:cs="Arial"/>
                <w:sz w:val="20"/>
              </w:rPr>
              <w:t>English Learner Progress</w:t>
            </w:r>
          </w:p>
        </w:tc>
        <w:tc>
          <w:tcPr>
            <w:tcW w:w="2827" w:type="dxa"/>
            <w:tcBorders>
              <w:left w:val="single" w:sz="12" w:space="0" w:color="auto"/>
            </w:tcBorders>
          </w:tcPr>
          <w:p w14:paraId="6A6B5D4E" w14:textId="567AABCB" w:rsidR="000B1FB5" w:rsidRPr="001427AF" w:rsidRDefault="000B1FB5" w:rsidP="0045102D">
            <w:pPr>
              <w:spacing w:before="40"/>
              <w:jc w:val="center"/>
              <w:rPr>
                <w:rFonts w:ascii="Arial" w:hAnsi="Arial" w:cs="Arial"/>
                <w:sz w:val="20"/>
              </w:rPr>
            </w:pPr>
            <w:r w:rsidRPr="001427AF">
              <w:rPr>
                <w:rFonts w:ascii="Arial" w:hAnsi="Arial" w:cs="Arial"/>
                <w:sz w:val="20"/>
              </w:rPr>
              <w:t>8</w:t>
            </w:r>
          </w:p>
        </w:tc>
        <w:tc>
          <w:tcPr>
            <w:tcW w:w="2945" w:type="dxa"/>
          </w:tcPr>
          <w:p w14:paraId="33E756C6" w14:textId="743AE28C" w:rsidR="000B1FB5" w:rsidRPr="001427AF" w:rsidRDefault="000B1FB5" w:rsidP="0045102D">
            <w:pPr>
              <w:spacing w:before="40"/>
              <w:jc w:val="center"/>
              <w:rPr>
                <w:rFonts w:ascii="Arial" w:hAnsi="Arial" w:cs="Arial"/>
                <w:sz w:val="20"/>
              </w:rPr>
            </w:pPr>
            <w:r w:rsidRPr="001427AF">
              <w:rPr>
                <w:rFonts w:ascii="Arial" w:hAnsi="Arial" w:cs="Arial"/>
                <w:sz w:val="20"/>
              </w:rPr>
              <w:t>32</w:t>
            </w:r>
          </w:p>
        </w:tc>
      </w:tr>
      <w:tr w:rsidR="000B1FB5" w:rsidRPr="001427AF" w14:paraId="360B978D" w14:textId="77777777" w:rsidTr="001D3CE3">
        <w:trPr>
          <w:trHeight w:val="310"/>
        </w:trPr>
        <w:tc>
          <w:tcPr>
            <w:tcW w:w="3868" w:type="dxa"/>
            <w:tcBorders>
              <w:bottom w:val="single" w:sz="12" w:space="0" w:color="auto"/>
              <w:right w:val="single" w:sz="12" w:space="0" w:color="auto"/>
            </w:tcBorders>
          </w:tcPr>
          <w:p w14:paraId="24896DAD" w14:textId="4A534C28" w:rsidR="000B1FB5" w:rsidRPr="001427AF" w:rsidRDefault="000B1FB5" w:rsidP="00AC4519">
            <w:pPr>
              <w:spacing w:before="40"/>
              <w:rPr>
                <w:rFonts w:ascii="Arial" w:hAnsi="Arial" w:cs="Arial"/>
                <w:b/>
                <w:bCs/>
                <w:sz w:val="20"/>
              </w:rPr>
            </w:pPr>
            <w:r w:rsidRPr="001427AF">
              <w:rPr>
                <w:rFonts w:ascii="Arial" w:hAnsi="Arial" w:cs="Arial"/>
                <w:b/>
                <w:bCs/>
                <w:sz w:val="20"/>
              </w:rPr>
              <w:t>Total School Achievement Score</w:t>
            </w:r>
          </w:p>
        </w:tc>
        <w:tc>
          <w:tcPr>
            <w:tcW w:w="2827" w:type="dxa"/>
            <w:tcBorders>
              <w:left w:val="single" w:sz="12" w:space="0" w:color="auto"/>
              <w:bottom w:val="single" w:sz="12" w:space="0" w:color="auto"/>
            </w:tcBorders>
          </w:tcPr>
          <w:p w14:paraId="0A1A86A4" w14:textId="4CBB4182" w:rsidR="000B1FB5" w:rsidRPr="001427AF" w:rsidRDefault="000B1FB5" w:rsidP="00F23DB3">
            <w:pPr>
              <w:spacing w:line="240" w:lineRule="auto"/>
              <w:jc w:val="center"/>
              <w:rPr>
                <w:rFonts w:ascii="Arial" w:hAnsi="Arial" w:cs="Arial"/>
                <w:b/>
                <w:bCs/>
                <w:sz w:val="20"/>
              </w:rPr>
            </w:pPr>
            <w:r w:rsidRPr="001427AF">
              <w:rPr>
                <w:rFonts w:ascii="Arial" w:hAnsi="Arial" w:cs="Arial"/>
                <w:b/>
                <w:bCs/>
                <w:sz w:val="20"/>
              </w:rPr>
              <w:t>900</w:t>
            </w:r>
          </w:p>
          <w:p w14:paraId="47414D08" w14:textId="616CD724" w:rsidR="000B1FB5" w:rsidRPr="001427AF" w:rsidRDefault="000B1FB5" w:rsidP="00F23DB3">
            <w:pPr>
              <w:spacing w:line="240" w:lineRule="auto"/>
              <w:jc w:val="center"/>
              <w:rPr>
                <w:rFonts w:ascii="Arial" w:hAnsi="Arial" w:cs="Arial"/>
                <w:b/>
                <w:bCs/>
                <w:sz w:val="20"/>
              </w:rPr>
            </w:pPr>
            <w:r w:rsidRPr="001427AF">
              <w:rPr>
                <w:rFonts w:ascii="Arial" w:hAnsi="Arial" w:cs="Arial"/>
                <w:b/>
                <w:bCs/>
                <w:sz w:val="20"/>
              </w:rPr>
              <w:t>(Sum of numerators)</w:t>
            </w:r>
          </w:p>
        </w:tc>
        <w:tc>
          <w:tcPr>
            <w:tcW w:w="2945" w:type="dxa"/>
            <w:tcBorders>
              <w:bottom w:val="single" w:sz="12" w:space="0" w:color="auto"/>
            </w:tcBorders>
          </w:tcPr>
          <w:p w14:paraId="47427C71" w14:textId="5949BDB8" w:rsidR="000B1FB5" w:rsidRPr="001427AF" w:rsidRDefault="000B1FB5" w:rsidP="00F23DB3">
            <w:pPr>
              <w:spacing w:line="240" w:lineRule="auto"/>
              <w:jc w:val="center"/>
              <w:rPr>
                <w:rFonts w:ascii="Arial" w:hAnsi="Arial" w:cs="Arial"/>
                <w:b/>
                <w:bCs/>
                <w:sz w:val="20"/>
              </w:rPr>
            </w:pPr>
            <w:r w:rsidRPr="001427AF">
              <w:rPr>
                <w:rFonts w:ascii="Arial" w:hAnsi="Arial" w:cs="Arial"/>
                <w:b/>
                <w:bCs/>
                <w:sz w:val="20"/>
              </w:rPr>
              <w:t>2,003</w:t>
            </w:r>
          </w:p>
          <w:p w14:paraId="2F34F4D0" w14:textId="073FB334" w:rsidR="000B1FB5" w:rsidRPr="001427AF" w:rsidRDefault="000B1FB5" w:rsidP="00F23DB3">
            <w:pPr>
              <w:spacing w:line="240" w:lineRule="auto"/>
              <w:jc w:val="center"/>
              <w:rPr>
                <w:rFonts w:ascii="Arial" w:hAnsi="Arial" w:cs="Arial"/>
                <w:b/>
                <w:bCs/>
                <w:sz w:val="20"/>
              </w:rPr>
            </w:pPr>
            <w:r w:rsidRPr="001427AF">
              <w:rPr>
                <w:rFonts w:ascii="Arial" w:hAnsi="Arial" w:cs="Arial"/>
                <w:b/>
                <w:bCs/>
                <w:sz w:val="20"/>
              </w:rPr>
              <w:t>(Sum of denominators)</w:t>
            </w:r>
          </w:p>
        </w:tc>
      </w:tr>
    </w:tbl>
    <w:p w14:paraId="6DBC9CC2" w14:textId="028A0ACC" w:rsidR="005D414A" w:rsidRDefault="005D414A" w:rsidP="00490BF9">
      <w:pPr>
        <w:pStyle w:val="NormalWeb"/>
        <w:spacing w:before="0" w:beforeAutospacing="0"/>
        <w:rPr>
          <w:rFonts w:ascii="Arial" w:hAnsi="Arial" w:cs="Arial"/>
          <w:color w:val="000000"/>
        </w:rPr>
      </w:pPr>
      <w:r w:rsidRPr="00301336">
        <w:rPr>
          <w:rFonts w:ascii="Arial" w:hAnsi="Arial" w:cs="Arial"/>
          <w:b/>
          <w:bCs/>
          <w:sz w:val="20"/>
        </w:rPr>
        <w:t>Score used in final calculation</w:t>
      </w:r>
      <w:r>
        <w:rPr>
          <w:rFonts w:ascii="Arial" w:hAnsi="Arial" w:cs="Arial"/>
          <w:b/>
          <w:bCs/>
          <w:sz w:val="20"/>
        </w:rPr>
        <w:t xml:space="preserve"> </w:t>
      </w:r>
      <w:r w:rsidRPr="00E92A17">
        <w:rPr>
          <w:rFonts w:ascii="Arial" w:hAnsi="Arial" w:cs="Arial"/>
          <w:b/>
          <w:bCs/>
          <w:sz w:val="20"/>
        </w:rPr>
        <w:t>900/2003 = 44.9</w:t>
      </w:r>
    </w:p>
    <w:p w14:paraId="7AB849AC" w14:textId="05D05AE2" w:rsidR="000B1FB5" w:rsidRPr="00301336" w:rsidRDefault="000B1FB5" w:rsidP="00301336">
      <w:pPr>
        <w:pStyle w:val="NormalWeb"/>
        <w:spacing w:before="0" w:beforeAutospacing="0" w:after="0" w:afterAutospacing="0"/>
        <w:rPr>
          <w:rFonts w:ascii="Arial" w:hAnsi="Arial" w:cs="Arial"/>
          <w:color w:val="000000"/>
          <w:sz w:val="20"/>
          <w:szCs w:val="20"/>
        </w:rPr>
      </w:pPr>
      <w:r w:rsidRPr="00301336">
        <w:rPr>
          <w:rFonts w:ascii="Arial" w:hAnsi="Arial" w:cs="Arial"/>
          <w:color w:val="000000"/>
          <w:sz w:val="20"/>
          <w:szCs w:val="20"/>
        </w:rPr>
        <w:t>TABLE 1.3.1</w:t>
      </w:r>
      <w:r w:rsidR="007C2AA2" w:rsidRPr="00301336">
        <w:rPr>
          <w:rFonts w:ascii="Arial" w:hAnsi="Arial" w:cs="Arial"/>
          <w:color w:val="000000"/>
          <w:sz w:val="20"/>
          <w:szCs w:val="20"/>
        </w:rPr>
        <w:t xml:space="preserve">. </w:t>
      </w:r>
      <w:r w:rsidR="007C2AA2" w:rsidRPr="007C2AA2">
        <w:rPr>
          <w:rFonts w:ascii="Arial" w:hAnsi="Arial" w:cs="Arial"/>
          <w:sz w:val="20"/>
          <w:szCs w:val="20"/>
        </w:rPr>
        <w:t>Elementary and middle school indicator calculations (growth)</w:t>
      </w:r>
      <w:r w:rsidR="00F5351E">
        <w:rPr>
          <w:rFonts w:ascii="Arial" w:hAnsi="Arial" w:cs="Arial"/>
          <w:sz w:val="20"/>
          <w:szCs w:val="20"/>
        </w:rPr>
        <w:t xml:space="preserve"> example</w:t>
      </w:r>
    </w:p>
    <w:tbl>
      <w:tblPr>
        <w:tblStyle w:val="TableGrid"/>
        <w:tblW w:w="97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3897"/>
        <w:gridCol w:w="2848"/>
        <w:gridCol w:w="2967"/>
      </w:tblGrid>
      <w:tr w:rsidR="007C2AA2" w:rsidRPr="007C2AA2" w14:paraId="00B18A76" w14:textId="77777777" w:rsidTr="00D07C6D">
        <w:trPr>
          <w:trHeight w:val="485"/>
        </w:trPr>
        <w:tc>
          <w:tcPr>
            <w:tcW w:w="3897" w:type="dxa"/>
            <w:shd w:val="clear" w:color="auto" w:fill="ACB9CA" w:themeFill="text2" w:themeFillTint="66"/>
          </w:tcPr>
          <w:p w14:paraId="7BAE76FE" w14:textId="6547442C" w:rsidR="007C2AA2" w:rsidRPr="00301336" w:rsidRDefault="007C2AA2" w:rsidP="00301336">
            <w:pPr>
              <w:pStyle w:val="NormalWeb"/>
              <w:spacing w:before="0" w:beforeAutospacing="0" w:after="0" w:afterAutospacing="0"/>
              <w:rPr>
                <w:rFonts w:ascii="Arial" w:hAnsi="Arial" w:cs="Arial"/>
                <w:b/>
                <w:bCs/>
                <w:color w:val="000000"/>
                <w:sz w:val="20"/>
                <w:szCs w:val="20"/>
              </w:rPr>
            </w:pPr>
            <w:r w:rsidRPr="00301336">
              <w:rPr>
                <w:rFonts w:ascii="Arial" w:hAnsi="Arial" w:cs="Arial"/>
                <w:b/>
                <w:bCs/>
                <w:color w:val="000000"/>
                <w:sz w:val="20"/>
                <w:szCs w:val="20"/>
              </w:rPr>
              <w:t>Measure</w:t>
            </w:r>
          </w:p>
        </w:tc>
        <w:tc>
          <w:tcPr>
            <w:tcW w:w="2848" w:type="dxa"/>
            <w:shd w:val="clear" w:color="auto" w:fill="ACB9CA" w:themeFill="text2" w:themeFillTint="66"/>
          </w:tcPr>
          <w:p w14:paraId="6F17E99A" w14:textId="4A6C036D" w:rsidR="007C2AA2" w:rsidRPr="00301336" w:rsidRDefault="007C2AA2" w:rsidP="00D07C6D">
            <w:pPr>
              <w:pStyle w:val="NormalWeb"/>
              <w:spacing w:before="0" w:beforeAutospacing="0" w:after="0" w:afterAutospacing="0"/>
              <w:jc w:val="center"/>
              <w:rPr>
                <w:rFonts w:ascii="Arial" w:hAnsi="Arial" w:cs="Arial"/>
                <w:b/>
                <w:bCs/>
                <w:color w:val="000000"/>
                <w:sz w:val="20"/>
                <w:szCs w:val="20"/>
              </w:rPr>
            </w:pPr>
            <w:r w:rsidRPr="00301336">
              <w:rPr>
                <w:rFonts w:ascii="Arial" w:hAnsi="Arial" w:cs="Arial"/>
                <w:b/>
                <w:bCs/>
                <w:sz w:val="20"/>
              </w:rPr>
              <w:t>Growth composite index</w:t>
            </w:r>
          </w:p>
        </w:tc>
        <w:tc>
          <w:tcPr>
            <w:tcW w:w="2967" w:type="dxa"/>
            <w:shd w:val="clear" w:color="auto" w:fill="ACB9CA" w:themeFill="text2" w:themeFillTint="66"/>
          </w:tcPr>
          <w:p w14:paraId="0369B88D" w14:textId="3785A1BB" w:rsidR="007C2AA2" w:rsidRPr="00301336" w:rsidRDefault="007C2AA2" w:rsidP="00D07C6D">
            <w:pPr>
              <w:pStyle w:val="NormalWeb"/>
              <w:spacing w:before="0" w:beforeAutospacing="0" w:after="0" w:afterAutospacing="0"/>
              <w:jc w:val="center"/>
              <w:rPr>
                <w:rFonts w:ascii="Arial" w:hAnsi="Arial" w:cs="Arial"/>
                <w:b/>
                <w:bCs/>
                <w:color w:val="000000"/>
                <w:sz w:val="20"/>
                <w:szCs w:val="20"/>
              </w:rPr>
            </w:pPr>
            <w:r w:rsidRPr="00301336">
              <w:rPr>
                <w:rFonts w:ascii="Arial" w:hAnsi="Arial" w:cs="Arial"/>
                <w:b/>
                <w:bCs/>
                <w:sz w:val="20"/>
              </w:rPr>
              <w:t>Growth score used in final calculations</w:t>
            </w:r>
          </w:p>
        </w:tc>
      </w:tr>
      <w:tr w:rsidR="007C2AA2" w:rsidRPr="007C2AA2" w14:paraId="756BB9A3" w14:textId="77777777" w:rsidTr="00D07C6D">
        <w:trPr>
          <w:trHeight w:val="447"/>
        </w:trPr>
        <w:tc>
          <w:tcPr>
            <w:tcW w:w="3897" w:type="dxa"/>
            <w:shd w:val="clear" w:color="auto" w:fill="FFFFFF" w:themeFill="background1"/>
          </w:tcPr>
          <w:p w14:paraId="6778EED7" w14:textId="77777777" w:rsidR="007C2AA2" w:rsidRPr="007C2AA2" w:rsidRDefault="007C2AA2" w:rsidP="00301336">
            <w:pPr>
              <w:spacing w:line="240" w:lineRule="auto"/>
              <w:rPr>
                <w:rFonts w:ascii="Arial" w:hAnsi="Arial" w:cs="Arial"/>
                <w:sz w:val="20"/>
              </w:rPr>
            </w:pPr>
            <w:r w:rsidRPr="007C2AA2">
              <w:rPr>
                <w:rFonts w:ascii="Arial" w:hAnsi="Arial" w:cs="Arial"/>
                <w:sz w:val="20"/>
              </w:rPr>
              <w:t xml:space="preserve">School Accountability Growth Score </w:t>
            </w:r>
          </w:p>
          <w:p w14:paraId="3619719D" w14:textId="256F8D1E" w:rsidR="007C2AA2" w:rsidRPr="00301336" w:rsidRDefault="007C2AA2" w:rsidP="00301336">
            <w:pPr>
              <w:pStyle w:val="NormalWeb"/>
              <w:spacing w:before="0" w:beforeAutospacing="0" w:after="0" w:afterAutospacing="0"/>
              <w:rPr>
                <w:rFonts w:ascii="Arial" w:hAnsi="Arial" w:cs="Arial"/>
                <w:color w:val="000000"/>
                <w:sz w:val="20"/>
                <w:szCs w:val="20"/>
              </w:rPr>
            </w:pPr>
            <w:r w:rsidRPr="001427AF">
              <w:rPr>
                <w:rFonts w:ascii="Arial" w:hAnsi="Arial" w:cs="Arial"/>
                <w:sz w:val="20"/>
              </w:rPr>
              <w:t>(Reading, Math, and Science Composite)</w:t>
            </w:r>
          </w:p>
        </w:tc>
        <w:tc>
          <w:tcPr>
            <w:tcW w:w="2848" w:type="dxa"/>
            <w:shd w:val="clear" w:color="auto" w:fill="FFFFFF" w:themeFill="background1"/>
            <w:vAlign w:val="center"/>
          </w:tcPr>
          <w:p w14:paraId="092855FA" w14:textId="1538990A" w:rsidR="007C2AA2" w:rsidRPr="00301336" w:rsidRDefault="007C2AA2" w:rsidP="00A21782">
            <w:pPr>
              <w:pStyle w:val="NormalWeb"/>
              <w:spacing w:before="0" w:beforeAutospacing="0" w:after="0" w:afterAutospacing="0"/>
              <w:jc w:val="center"/>
              <w:rPr>
                <w:rFonts w:ascii="Arial" w:hAnsi="Arial" w:cs="Arial"/>
                <w:color w:val="000000"/>
                <w:sz w:val="20"/>
                <w:szCs w:val="20"/>
              </w:rPr>
            </w:pPr>
            <w:r w:rsidRPr="001427AF">
              <w:rPr>
                <w:rFonts w:ascii="Arial" w:hAnsi="Arial" w:cs="Arial"/>
                <w:sz w:val="20"/>
              </w:rPr>
              <w:t>-0.95</w:t>
            </w:r>
          </w:p>
        </w:tc>
        <w:tc>
          <w:tcPr>
            <w:tcW w:w="2967" w:type="dxa"/>
            <w:shd w:val="clear" w:color="auto" w:fill="FFFFFF" w:themeFill="background1"/>
            <w:vAlign w:val="center"/>
          </w:tcPr>
          <w:p w14:paraId="6B7710C3" w14:textId="4E5A2442" w:rsidR="007C2AA2" w:rsidRPr="00301336" w:rsidRDefault="007C2AA2" w:rsidP="00A13EE2">
            <w:pPr>
              <w:pStyle w:val="NormalWeb"/>
              <w:spacing w:before="0" w:beforeAutospacing="0" w:after="0" w:afterAutospacing="0"/>
              <w:jc w:val="center"/>
              <w:rPr>
                <w:rFonts w:ascii="Arial" w:hAnsi="Arial" w:cs="Arial"/>
                <w:color w:val="000000"/>
                <w:sz w:val="20"/>
                <w:szCs w:val="20"/>
              </w:rPr>
            </w:pPr>
            <w:r w:rsidRPr="001427AF">
              <w:rPr>
                <w:rFonts w:ascii="Arial" w:hAnsi="Arial" w:cs="Arial"/>
                <w:sz w:val="20"/>
              </w:rPr>
              <w:t>75.2</w:t>
            </w:r>
          </w:p>
        </w:tc>
      </w:tr>
    </w:tbl>
    <w:p w14:paraId="72C8A250" w14:textId="77777777" w:rsidR="00B07466" w:rsidRDefault="00B07466" w:rsidP="005F2F00">
      <w:pPr>
        <w:pStyle w:val="NormalWeb"/>
        <w:spacing w:before="0" w:beforeAutospacing="0" w:after="0" w:afterAutospacing="0"/>
        <w:rPr>
          <w:rFonts w:ascii="Arial" w:hAnsi="Arial" w:cs="Arial"/>
          <w:color w:val="000000"/>
        </w:rPr>
      </w:pPr>
    </w:p>
    <w:p w14:paraId="25B18A78" w14:textId="6C640F57" w:rsidR="00990636" w:rsidRPr="001427AF" w:rsidRDefault="00990636" w:rsidP="005F2F00">
      <w:pPr>
        <w:pStyle w:val="NormalWeb"/>
        <w:spacing w:before="0" w:beforeAutospacing="0" w:after="0" w:afterAutospacing="0"/>
        <w:rPr>
          <w:rFonts w:ascii="Arial" w:hAnsi="Arial" w:cs="Arial"/>
          <w:color w:val="000000" w:themeColor="text1"/>
        </w:rPr>
      </w:pPr>
      <w:r w:rsidRPr="001427AF">
        <w:rPr>
          <w:rFonts w:ascii="Arial" w:hAnsi="Arial" w:cs="Arial"/>
          <w:color w:val="000000" w:themeColor="text1"/>
        </w:rPr>
        <w:t>To obtain the total school achievement score, the total number of proficient scores for all indicators are added and then divided by the total number of scores for all indicators. The growth score calculation will be further explained below</w:t>
      </w:r>
      <w:r w:rsidR="006D022F" w:rsidRPr="001427AF">
        <w:rPr>
          <w:rFonts w:ascii="Arial" w:hAnsi="Arial" w:cs="Arial"/>
          <w:color w:val="000000" w:themeColor="text1"/>
        </w:rPr>
        <w:t xml:space="preserve"> in Section 1.5</w:t>
      </w:r>
      <w:r w:rsidRPr="001427AF">
        <w:rPr>
          <w:rFonts w:ascii="Arial" w:hAnsi="Arial" w:cs="Arial"/>
          <w:color w:val="000000" w:themeColor="text1"/>
        </w:rPr>
        <w:t>.</w:t>
      </w:r>
    </w:p>
    <w:p w14:paraId="781EB219" w14:textId="77777777" w:rsidR="005F0164" w:rsidRPr="001427AF" w:rsidRDefault="005F0164" w:rsidP="00125190">
      <w:pPr>
        <w:rPr>
          <w:rFonts w:ascii="Arial" w:hAnsi="Arial" w:cs="Arial"/>
        </w:rPr>
      </w:pPr>
    </w:p>
    <w:p w14:paraId="44840D9C" w14:textId="78DC39CB" w:rsidR="00710723" w:rsidRPr="001427AF" w:rsidRDefault="006F0EFD" w:rsidP="001514C3">
      <w:pPr>
        <w:pStyle w:val="Heading2"/>
      </w:pPr>
      <w:bookmarkStart w:id="95" w:name="_Toc135812496"/>
      <w:bookmarkStart w:id="96" w:name="_Toc136418876"/>
      <w:bookmarkStart w:id="97" w:name="_Toc136419132"/>
      <w:bookmarkStart w:id="98" w:name="_Toc225404944"/>
      <w:r w:rsidRPr="001427AF">
        <w:t>S</w:t>
      </w:r>
      <w:r w:rsidR="002B658D" w:rsidRPr="001427AF">
        <w:t xml:space="preserve">chool </w:t>
      </w:r>
      <w:r w:rsidR="00710723" w:rsidRPr="001427AF">
        <w:t>P</w:t>
      </w:r>
      <w:r w:rsidR="002B658D" w:rsidRPr="001427AF">
        <w:t xml:space="preserve">erformance </w:t>
      </w:r>
      <w:r w:rsidR="00710723" w:rsidRPr="001427AF">
        <w:t>G</w:t>
      </w:r>
      <w:r w:rsidR="002B658D" w:rsidRPr="001427AF">
        <w:t xml:space="preserve">rade </w:t>
      </w:r>
      <w:r w:rsidR="00710723" w:rsidRPr="001427AF">
        <w:t>I</w:t>
      </w:r>
      <w:r w:rsidRPr="001427AF">
        <w:t>ndicator</w:t>
      </w:r>
      <w:r w:rsidR="00845FF1" w:rsidRPr="001427AF">
        <w:t>s</w:t>
      </w:r>
      <w:r w:rsidR="00A25094" w:rsidRPr="001427AF">
        <w:t xml:space="preserve"> for </w:t>
      </w:r>
      <w:r w:rsidR="00710723" w:rsidRPr="001427AF">
        <w:t>H</w:t>
      </w:r>
      <w:r w:rsidR="00A25094" w:rsidRPr="001427AF">
        <w:t xml:space="preserve">igh </w:t>
      </w:r>
      <w:r w:rsidR="00710723" w:rsidRPr="001427AF">
        <w:t>S</w:t>
      </w:r>
      <w:r w:rsidR="00A25094" w:rsidRPr="001427AF">
        <w:t>chools</w:t>
      </w:r>
      <w:bookmarkEnd w:id="95"/>
      <w:bookmarkEnd w:id="96"/>
      <w:bookmarkEnd w:id="97"/>
      <w:bookmarkEnd w:id="98"/>
    </w:p>
    <w:p w14:paraId="16DA9FC1" w14:textId="51BB3810" w:rsidR="00763725" w:rsidRPr="001427AF" w:rsidRDefault="00763725" w:rsidP="00763725">
      <w:pPr>
        <w:pStyle w:val="NormalWeb"/>
        <w:spacing w:before="0" w:beforeAutospacing="0" w:after="0" w:afterAutospacing="0"/>
        <w:contextualSpacing/>
        <w:rPr>
          <w:rFonts w:ascii="Arial" w:hAnsi="Arial" w:cs="Arial"/>
          <w:color w:val="000000"/>
        </w:rPr>
      </w:pPr>
      <w:r w:rsidRPr="001427AF">
        <w:rPr>
          <w:rFonts w:ascii="Arial" w:hAnsi="Arial" w:cs="Arial"/>
          <w:color w:val="000000" w:themeColor="text1"/>
        </w:rPr>
        <w:t xml:space="preserve">The high school model </w:t>
      </w:r>
      <w:proofErr w:type="gramStart"/>
      <w:r w:rsidRPr="001427AF">
        <w:rPr>
          <w:rFonts w:ascii="Arial" w:hAnsi="Arial" w:cs="Arial"/>
          <w:color w:val="000000" w:themeColor="text1"/>
        </w:rPr>
        <w:t>applies</w:t>
      </w:r>
      <w:proofErr w:type="gramEnd"/>
      <w:r w:rsidRPr="001427AF">
        <w:rPr>
          <w:rFonts w:ascii="Arial" w:hAnsi="Arial" w:cs="Arial"/>
          <w:color w:val="000000" w:themeColor="text1"/>
        </w:rPr>
        <w:t xml:space="preserve"> the weights in the system, where growth is 20% of the model, and the remaining indicators</w:t>
      </w:r>
      <w:r w:rsidR="00277B21" w:rsidRPr="001427AF">
        <w:rPr>
          <w:rFonts w:ascii="Arial" w:hAnsi="Arial" w:cs="Arial"/>
          <w:color w:val="000000" w:themeColor="text1"/>
        </w:rPr>
        <w:t xml:space="preserve"> of </w:t>
      </w:r>
      <w:r w:rsidRPr="001427AF">
        <w:rPr>
          <w:rFonts w:ascii="Arial" w:hAnsi="Arial" w:cs="Arial"/>
          <w:color w:val="000000" w:themeColor="text1"/>
        </w:rPr>
        <w:t>Academic Achievement and School Quality Student Success</w:t>
      </w:r>
      <w:r w:rsidR="00786F25" w:rsidRPr="001427AF">
        <w:rPr>
          <w:rFonts w:ascii="Arial" w:hAnsi="Arial" w:cs="Arial"/>
          <w:color w:val="000000" w:themeColor="text1"/>
        </w:rPr>
        <w:t xml:space="preserve"> </w:t>
      </w:r>
      <w:r w:rsidRPr="001427AF">
        <w:rPr>
          <w:rFonts w:ascii="Arial" w:hAnsi="Arial" w:cs="Arial"/>
          <w:color w:val="000000" w:themeColor="text1"/>
        </w:rPr>
        <w:t xml:space="preserve">are 80%. </w:t>
      </w:r>
    </w:p>
    <w:p w14:paraId="5C2F753F" w14:textId="77777777" w:rsidR="00763725" w:rsidRPr="001427AF" w:rsidRDefault="00763725" w:rsidP="00763725">
      <w:pPr>
        <w:pStyle w:val="NormalWeb"/>
        <w:spacing w:before="0" w:beforeAutospacing="0" w:after="0" w:afterAutospacing="0"/>
        <w:contextualSpacing/>
        <w:rPr>
          <w:rFonts w:ascii="Arial" w:hAnsi="Arial" w:cs="Arial"/>
          <w:color w:val="000000"/>
        </w:rPr>
      </w:pPr>
    </w:p>
    <w:p w14:paraId="23B1CC54" w14:textId="77777777" w:rsidR="00763725" w:rsidRPr="001427AF" w:rsidRDefault="00763725" w:rsidP="00763725">
      <w:pPr>
        <w:pStyle w:val="NormalWeb"/>
        <w:spacing w:before="0" w:beforeAutospacing="0" w:after="0" w:afterAutospacing="0"/>
        <w:contextualSpacing/>
        <w:rPr>
          <w:rFonts w:ascii="Arial" w:hAnsi="Arial" w:cs="Arial"/>
          <w:b/>
          <w:bCs/>
          <w:i/>
          <w:iCs/>
        </w:rPr>
      </w:pPr>
      <w:r w:rsidRPr="001427AF">
        <w:rPr>
          <w:rFonts w:ascii="Arial" w:hAnsi="Arial" w:cs="Arial"/>
          <w:color w:val="000000"/>
        </w:rPr>
        <w:t>The high school indicators making up 80% of the model are as follows:</w:t>
      </w:r>
    </w:p>
    <w:p w14:paraId="76F86F34" w14:textId="11FA7187" w:rsidR="00763725" w:rsidRPr="001427AF" w:rsidRDefault="00763725" w:rsidP="00CA5853">
      <w:pPr>
        <w:pStyle w:val="Default"/>
        <w:numPr>
          <w:ilvl w:val="0"/>
          <w:numId w:val="144"/>
        </w:numPr>
        <w:contextualSpacing/>
        <w:rPr>
          <w:rFonts w:ascii="Arial" w:hAnsi="Arial" w:cs="Arial"/>
        </w:rPr>
      </w:pPr>
      <w:r w:rsidRPr="001427AF">
        <w:rPr>
          <w:rFonts w:ascii="Arial" w:hAnsi="Arial" w:cs="Arial"/>
          <w:i/>
        </w:rPr>
        <w:t>End-of-Course Tests</w:t>
      </w:r>
      <w:r w:rsidR="002473C5" w:rsidRPr="001427AF">
        <w:rPr>
          <w:rFonts w:ascii="Arial" w:hAnsi="Arial" w:cs="Arial"/>
        </w:rPr>
        <w:t>.</w:t>
      </w:r>
      <w:r w:rsidRPr="001427AF">
        <w:rPr>
          <w:rFonts w:ascii="Arial" w:hAnsi="Arial" w:cs="Arial"/>
        </w:rPr>
        <w:t xml:space="preserve"> Students that score at or above Level 3 on </w:t>
      </w:r>
      <w:r w:rsidR="00354A12" w:rsidRPr="001427AF">
        <w:rPr>
          <w:rFonts w:ascii="Arial" w:hAnsi="Arial" w:cs="Arial"/>
        </w:rPr>
        <w:t>the</w:t>
      </w:r>
      <w:r w:rsidRPr="001427AF" w:rsidDel="002473C5">
        <w:rPr>
          <w:rFonts w:ascii="Arial" w:hAnsi="Arial" w:cs="Arial"/>
        </w:rPr>
        <w:t xml:space="preserve"> </w:t>
      </w:r>
      <w:r w:rsidRPr="001427AF">
        <w:rPr>
          <w:rFonts w:ascii="Arial" w:hAnsi="Arial" w:cs="Arial"/>
        </w:rPr>
        <w:t>NC Math 1, NC Math 3, English II, and Biology</w:t>
      </w:r>
      <w:r w:rsidRPr="001427AF" w:rsidDel="002473C5">
        <w:rPr>
          <w:rFonts w:ascii="Arial" w:hAnsi="Arial" w:cs="Arial"/>
        </w:rPr>
        <w:t xml:space="preserve"> </w:t>
      </w:r>
      <w:r w:rsidR="00354A12" w:rsidRPr="001427AF">
        <w:rPr>
          <w:rFonts w:ascii="Arial" w:hAnsi="Arial" w:cs="Arial"/>
        </w:rPr>
        <w:t xml:space="preserve">end-of-course (EOC) assessments </w:t>
      </w:r>
      <w:r w:rsidRPr="001427AF">
        <w:rPr>
          <w:rFonts w:ascii="Arial" w:hAnsi="Arial" w:cs="Arial"/>
        </w:rPr>
        <w:t xml:space="preserve">are counted for performance. NC Math 1, NC Math 3, and English II are also counted for growth. Biology is not part of growth. </w:t>
      </w:r>
      <w:r w:rsidR="00D477BE" w:rsidRPr="001427AF">
        <w:rPr>
          <w:rFonts w:ascii="Arial" w:hAnsi="Arial" w:cs="Arial"/>
        </w:rPr>
        <w:t>NCEXTEND1</w:t>
      </w:r>
      <w:r w:rsidRPr="001427AF">
        <w:rPr>
          <w:rFonts w:ascii="Arial" w:hAnsi="Arial" w:cs="Arial"/>
        </w:rPr>
        <w:t xml:space="preserve"> is an alternate assessment for students with disabilities instructed </w:t>
      </w:r>
      <w:r w:rsidR="002473C5" w:rsidRPr="001427AF">
        <w:rPr>
          <w:rFonts w:ascii="Arial" w:hAnsi="Arial" w:cs="Arial"/>
        </w:rPr>
        <w:t xml:space="preserve">on </w:t>
      </w:r>
      <w:r w:rsidRPr="001427AF">
        <w:rPr>
          <w:rFonts w:ascii="Arial" w:hAnsi="Arial" w:cs="Arial"/>
        </w:rPr>
        <w:t xml:space="preserve">the NC Extended Content Standards and is included in performance only, not in growth. </w:t>
      </w:r>
    </w:p>
    <w:p w14:paraId="33CF230A" w14:textId="4341093D" w:rsidR="00763725" w:rsidRPr="001427AF" w:rsidRDefault="00763725" w:rsidP="00CA5853">
      <w:pPr>
        <w:pStyle w:val="Default"/>
        <w:numPr>
          <w:ilvl w:val="0"/>
          <w:numId w:val="144"/>
        </w:numPr>
        <w:contextualSpacing/>
        <w:rPr>
          <w:rFonts w:ascii="Arial" w:hAnsi="Arial" w:cs="Arial"/>
        </w:rPr>
      </w:pPr>
      <w:r w:rsidRPr="001427AF">
        <w:rPr>
          <w:rFonts w:ascii="Arial" w:hAnsi="Arial" w:cs="Arial"/>
          <w:i/>
        </w:rPr>
        <w:t>Cohort Graduation Rate</w:t>
      </w:r>
      <w:r w:rsidR="002473C5" w:rsidRPr="001427AF">
        <w:rPr>
          <w:rFonts w:ascii="Arial" w:hAnsi="Arial" w:cs="Arial"/>
        </w:rPr>
        <w:t>.</w:t>
      </w:r>
      <w:r w:rsidRPr="001427AF" w:rsidDel="002473C5">
        <w:rPr>
          <w:rFonts w:ascii="Arial" w:hAnsi="Arial" w:cs="Arial"/>
        </w:rPr>
        <w:t xml:space="preserve"> </w:t>
      </w:r>
      <w:r w:rsidRPr="001427AF">
        <w:rPr>
          <w:rFonts w:ascii="Arial" w:hAnsi="Arial" w:cs="Arial"/>
        </w:rPr>
        <w:t xml:space="preserve">The percentage of students who graduate within the defined cohort in four years or less. </w:t>
      </w:r>
    </w:p>
    <w:p w14:paraId="2C8007EE" w14:textId="7F325C8C" w:rsidR="00763725" w:rsidRPr="001427AF" w:rsidRDefault="00763725" w:rsidP="00CA5853">
      <w:pPr>
        <w:pStyle w:val="Default"/>
        <w:numPr>
          <w:ilvl w:val="0"/>
          <w:numId w:val="144"/>
        </w:numPr>
        <w:contextualSpacing/>
        <w:rPr>
          <w:rFonts w:ascii="Arial" w:hAnsi="Arial" w:cs="Arial"/>
        </w:rPr>
      </w:pPr>
      <w:r w:rsidRPr="001427AF">
        <w:rPr>
          <w:rFonts w:ascii="Arial" w:hAnsi="Arial" w:cs="Arial"/>
          <w:i/>
        </w:rPr>
        <w:t>English Learner Progress</w:t>
      </w:r>
      <w:r w:rsidR="002473C5" w:rsidRPr="001427AF">
        <w:rPr>
          <w:rFonts w:ascii="Arial" w:hAnsi="Arial" w:cs="Arial"/>
        </w:rPr>
        <w:t>.</w:t>
      </w:r>
      <w:r w:rsidRPr="001427AF" w:rsidDel="002473C5">
        <w:rPr>
          <w:rFonts w:ascii="Arial" w:hAnsi="Arial" w:cs="Arial"/>
        </w:rPr>
        <w:t xml:space="preserve"> </w:t>
      </w:r>
      <w:r w:rsidRPr="001427AF">
        <w:rPr>
          <w:rFonts w:ascii="Arial" w:hAnsi="Arial" w:cs="Arial"/>
        </w:rPr>
        <w:t>Students who are classified as E</w:t>
      </w:r>
      <w:r w:rsidR="007E28AC" w:rsidRPr="001427AF">
        <w:rPr>
          <w:rFonts w:ascii="Arial" w:hAnsi="Arial" w:cs="Arial"/>
        </w:rPr>
        <w:t>L</w:t>
      </w:r>
      <w:r w:rsidRPr="001427AF">
        <w:rPr>
          <w:rFonts w:ascii="Arial" w:hAnsi="Arial" w:cs="Arial"/>
        </w:rPr>
        <w:t xml:space="preserve"> take an English language attainment assessment which is included in the accountability model for students in grade </w:t>
      </w:r>
      <w:r w:rsidR="00D3427D" w:rsidRPr="001427AF">
        <w:rPr>
          <w:rFonts w:ascii="Arial" w:hAnsi="Arial" w:cs="Arial"/>
        </w:rPr>
        <w:t>10</w:t>
      </w:r>
      <w:r w:rsidRPr="001427AF">
        <w:rPr>
          <w:rFonts w:ascii="Arial" w:hAnsi="Arial" w:cs="Arial"/>
        </w:rPr>
        <w:t xml:space="preserve">. </w:t>
      </w:r>
    </w:p>
    <w:p w14:paraId="46BD125F" w14:textId="7A5BF17B" w:rsidR="00763725" w:rsidRPr="001427AF" w:rsidRDefault="00763725" w:rsidP="00CA5853">
      <w:pPr>
        <w:pStyle w:val="Default"/>
        <w:numPr>
          <w:ilvl w:val="0"/>
          <w:numId w:val="144"/>
        </w:numPr>
        <w:contextualSpacing/>
        <w:rPr>
          <w:rFonts w:ascii="Arial" w:hAnsi="Arial" w:cs="Arial"/>
        </w:rPr>
      </w:pPr>
      <w:r w:rsidRPr="001427AF">
        <w:rPr>
          <w:rFonts w:ascii="Arial" w:hAnsi="Arial" w:cs="Arial"/>
          <w:i/>
        </w:rPr>
        <w:t>Math Course Rigor</w:t>
      </w:r>
      <w:r w:rsidR="002473C5" w:rsidRPr="001427AF">
        <w:rPr>
          <w:rFonts w:ascii="Arial" w:hAnsi="Arial" w:cs="Arial"/>
        </w:rPr>
        <w:t>.</w:t>
      </w:r>
      <w:r w:rsidRPr="001427AF" w:rsidDel="002473C5">
        <w:rPr>
          <w:rFonts w:ascii="Arial" w:hAnsi="Arial" w:cs="Arial"/>
        </w:rPr>
        <w:t xml:space="preserve"> </w:t>
      </w:r>
      <w:r w:rsidRPr="001427AF">
        <w:rPr>
          <w:rFonts w:ascii="Arial" w:hAnsi="Arial" w:cs="Arial"/>
        </w:rPr>
        <w:t xml:space="preserve">The percentage of grade </w:t>
      </w:r>
      <w:r w:rsidR="001E1D3C" w:rsidRPr="001427AF">
        <w:rPr>
          <w:rFonts w:ascii="Arial" w:hAnsi="Arial" w:cs="Arial"/>
        </w:rPr>
        <w:t>12</w:t>
      </w:r>
      <w:r w:rsidRPr="001427AF">
        <w:rPr>
          <w:rFonts w:ascii="Arial" w:hAnsi="Arial" w:cs="Arial"/>
        </w:rPr>
        <w:t xml:space="preserve"> students passing the NC Math 3 course. </w:t>
      </w:r>
    </w:p>
    <w:p w14:paraId="5E76A957" w14:textId="5E4979AD" w:rsidR="00763725" w:rsidRPr="001427AF" w:rsidRDefault="00763725" w:rsidP="00CA5853">
      <w:pPr>
        <w:pStyle w:val="Default"/>
        <w:numPr>
          <w:ilvl w:val="0"/>
          <w:numId w:val="144"/>
        </w:numPr>
        <w:contextualSpacing/>
        <w:rPr>
          <w:rFonts w:ascii="Arial" w:hAnsi="Arial" w:cs="Arial"/>
        </w:rPr>
      </w:pPr>
      <w:r w:rsidRPr="001427AF">
        <w:rPr>
          <w:rFonts w:ascii="Arial" w:hAnsi="Arial" w:cs="Arial"/>
          <w:i/>
        </w:rPr>
        <w:t>The ACT/</w:t>
      </w:r>
      <w:r w:rsidR="003F1D4D" w:rsidRPr="001427AF">
        <w:rPr>
          <w:rFonts w:ascii="Arial" w:hAnsi="Arial" w:cs="Arial"/>
          <w:i/>
        </w:rPr>
        <w:t xml:space="preserve">ACT </w:t>
      </w:r>
      <w:r w:rsidRPr="001427AF">
        <w:rPr>
          <w:rFonts w:ascii="Arial" w:hAnsi="Arial" w:cs="Arial"/>
          <w:i/>
        </w:rPr>
        <w:t>WorkKeys</w:t>
      </w:r>
      <w:r w:rsidR="002473C5" w:rsidRPr="001427AF">
        <w:rPr>
          <w:rFonts w:ascii="Arial" w:hAnsi="Arial" w:cs="Arial"/>
        </w:rPr>
        <w:t>.</w:t>
      </w:r>
      <w:r w:rsidRPr="001427AF">
        <w:rPr>
          <w:rFonts w:ascii="Arial" w:hAnsi="Arial" w:cs="Arial"/>
        </w:rPr>
        <w:t xml:space="preserve"> The percentage of grade </w:t>
      </w:r>
      <w:r w:rsidR="00746AE1" w:rsidRPr="001427AF">
        <w:rPr>
          <w:rFonts w:ascii="Arial" w:hAnsi="Arial" w:cs="Arial"/>
        </w:rPr>
        <w:t>12</w:t>
      </w:r>
      <w:r w:rsidRPr="001427AF">
        <w:rPr>
          <w:rFonts w:ascii="Arial" w:hAnsi="Arial" w:cs="Arial"/>
        </w:rPr>
        <w:t xml:space="preserve"> students meeting either the University of North Carolina </w:t>
      </w:r>
      <w:r w:rsidR="003F1D4D" w:rsidRPr="001427AF">
        <w:rPr>
          <w:rFonts w:ascii="Arial" w:hAnsi="Arial" w:cs="Arial"/>
        </w:rPr>
        <w:t xml:space="preserve">(UNC) </w:t>
      </w:r>
      <w:r w:rsidRPr="001427AF">
        <w:rPr>
          <w:rFonts w:ascii="Arial" w:hAnsi="Arial" w:cs="Arial"/>
        </w:rPr>
        <w:t>System’s admissions minimum requirement on a college admissions assessment (</w:t>
      </w:r>
      <w:r w:rsidR="00112341" w:rsidRPr="001427AF">
        <w:rPr>
          <w:rFonts w:ascii="Arial" w:hAnsi="Arial" w:cs="Arial"/>
        </w:rPr>
        <w:t xml:space="preserve">i.e., </w:t>
      </w:r>
      <w:r w:rsidRPr="001427AF">
        <w:rPr>
          <w:rFonts w:ascii="Arial" w:hAnsi="Arial" w:cs="Arial"/>
        </w:rPr>
        <w:t xml:space="preserve">a composite </w:t>
      </w:r>
      <w:r w:rsidRPr="00717692">
        <w:rPr>
          <w:rFonts w:ascii="Arial" w:hAnsi="Arial" w:cs="Arial"/>
        </w:rPr>
        <w:t xml:space="preserve">score of </w:t>
      </w:r>
      <w:r w:rsidR="005E2505" w:rsidRPr="00717692">
        <w:rPr>
          <w:rFonts w:ascii="Arial" w:hAnsi="Arial" w:cs="Arial"/>
        </w:rPr>
        <w:t>seventeen</w:t>
      </w:r>
      <w:r w:rsidRPr="001427AF">
        <w:rPr>
          <w:rFonts w:ascii="Arial" w:hAnsi="Arial" w:cs="Arial"/>
        </w:rPr>
        <w:t xml:space="preserve"> on </w:t>
      </w:r>
      <w:bookmarkStart w:id="99" w:name="_Int_a9rnj0DV"/>
      <w:r w:rsidR="006272BE" w:rsidRPr="001427AF">
        <w:rPr>
          <w:rFonts w:ascii="Arial" w:hAnsi="Arial" w:cs="Arial"/>
        </w:rPr>
        <w:t xml:space="preserve">the state administration </w:t>
      </w:r>
      <w:proofErr w:type="gramStart"/>
      <w:r w:rsidRPr="001427AF">
        <w:rPr>
          <w:rFonts w:ascii="Arial" w:hAnsi="Arial" w:cs="Arial"/>
        </w:rPr>
        <w:t>The</w:t>
      </w:r>
      <w:bookmarkEnd w:id="99"/>
      <w:proofErr w:type="gramEnd"/>
      <w:r w:rsidRPr="001427AF">
        <w:rPr>
          <w:rFonts w:ascii="Arial" w:hAnsi="Arial" w:cs="Arial"/>
        </w:rPr>
        <w:t xml:space="preserve"> ACT) or who meet the standard earning a certificate at the Silver, Gold, or Platinum level on a nationally normed test of workplace readiness (</w:t>
      </w:r>
      <w:r w:rsidR="00112341" w:rsidRPr="001427AF">
        <w:rPr>
          <w:rFonts w:ascii="Arial" w:hAnsi="Arial" w:cs="Arial"/>
        </w:rPr>
        <w:t xml:space="preserve">i.e., </w:t>
      </w:r>
      <w:r w:rsidR="006272BE" w:rsidRPr="001427AF">
        <w:rPr>
          <w:rFonts w:ascii="Arial" w:hAnsi="Arial" w:cs="Arial"/>
        </w:rPr>
        <w:t xml:space="preserve">the state administration of the </w:t>
      </w:r>
      <w:r w:rsidRPr="001427AF">
        <w:rPr>
          <w:rFonts w:ascii="Arial" w:hAnsi="Arial" w:cs="Arial"/>
        </w:rPr>
        <w:t>WorkKeys assessments).</w:t>
      </w:r>
    </w:p>
    <w:p w14:paraId="15EE17FD" w14:textId="77777777" w:rsidR="00820A38" w:rsidRPr="00BF1F0E" w:rsidRDefault="00820A38">
      <w:pPr>
        <w:spacing w:line="240" w:lineRule="auto"/>
        <w:rPr>
          <w:rFonts w:ascii="Arial" w:hAnsi="Arial" w:cs="Arial"/>
          <w:szCs w:val="24"/>
        </w:rPr>
      </w:pPr>
      <w:r w:rsidRPr="00BF1F0E">
        <w:rPr>
          <w:rFonts w:ascii="Arial" w:hAnsi="Arial" w:cs="Arial"/>
        </w:rPr>
        <w:br w:type="page"/>
      </w:r>
    </w:p>
    <w:p w14:paraId="2B82886B" w14:textId="68D386FA" w:rsidR="00763725" w:rsidRPr="001427AF" w:rsidRDefault="00763725" w:rsidP="00763725">
      <w:pPr>
        <w:pStyle w:val="NormalWeb"/>
        <w:spacing w:before="0" w:beforeAutospacing="0" w:after="0" w:afterAutospacing="0"/>
        <w:contextualSpacing/>
        <w:rPr>
          <w:rFonts w:ascii="Arial" w:hAnsi="Arial" w:cs="Arial"/>
          <w:color w:val="000000"/>
        </w:rPr>
      </w:pPr>
      <w:r w:rsidRPr="001427AF">
        <w:rPr>
          <w:rFonts w:ascii="Arial" w:hAnsi="Arial" w:cs="Arial"/>
          <w:color w:val="000000"/>
        </w:rPr>
        <w:lastRenderedPageBreak/>
        <w:t xml:space="preserve">School growth accounts for 20% of the total weight for the system of annual meaningful </w:t>
      </w:r>
      <w:proofErr w:type="gramStart"/>
      <w:r w:rsidRPr="001427AF">
        <w:rPr>
          <w:rFonts w:ascii="Arial" w:hAnsi="Arial" w:cs="Arial"/>
          <w:color w:val="000000"/>
        </w:rPr>
        <w:t>differentiation</w:t>
      </w:r>
      <w:proofErr w:type="gramEnd"/>
      <w:r w:rsidRPr="001427AF">
        <w:rPr>
          <w:rFonts w:ascii="Arial" w:hAnsi="Arial" w:cs="Arial"/>
          <w:color w:val="000000"/>
        </w:rPr>
        <w:t xml:space="preserve">. The 20% is determined by calculating the school growth on the statewide assessments </w:t>
      </w:r>
      <w:r w:rsidR="00112341" w:rsidRPr="001427AF">
        <w:rPr>
          <w:rFonts w:ascii="Arial" w:hAnsi="Arial" w:cs="Arial"/>
          <w:color w:val="000000"/>
        </w:rPr>
        <w:t xml:space="preserve">of </w:t>
      </w:r>
      <w:r w:rsidRPr="001427AF">
        <w:rPr>
          <w:rFonts w:ascii="Arial" w:hAnsi="Arial" w:cs="Arial"/>
          <w:color w:val="000000"/>
        </w:rPr>
        <w:t>reading and mathematics. School growth is referred to as School Accountability Growth.</w:t>
      </w:r>
    </w:p>
    <w:p w14:paraId="49B845B1" w14:textId="77777777" w:rsidR="00763725" w:rsidRPr="001427AF" w:rsidRDefault="00763725" w:rsidP="00763725">
      <w:pPr>
        <w:pStyle w:val="NormalWeb"/>
        <w:spacing w:before="0" w:beforeAutospacing="0" w:after="0" w:afterAutospacing="0"/>
        <w:contextualSpacing/>
        <w:rPr>
          <w:rFonts w:ascii="Arial" w:hAnsi="Arial" w:cs="Arial"/>
          <w:i/>
          <w:iCs/>
          <w:color w:val="000000"/>
        </w:rPr>
      </w:pPr>
    </w:p>
    <w:p w14:paraId="3D566274" w14:textId="5424BF9B" w:rsidR="00763725" w:rsidRPr="001427AF" w:rsidRDefault="00763725" w:rsidP="00763725">
      <w:pPr>
        <w:pStyle w:val="NormalWeb"/>
        <w:spacing w:before="0" w:beforeAutospacing="0" w:after="0" w:afterAutospacing="0"/>
        <w:contextualSpacing/>
        <w:rPr>
          <w:rFonts w:ascii="Arial" w:hAnsi="Arial" w:cs="Arial"/>
          <w:color w:val="000000"/>
        </w:rPr>
      </w:pPr>
      <w:r w:rsidRPr="001427AF">
        <w:rPr>
          <w:rFonts w:ascii="Arial" w:hAnsi="Arial" w:cs="Arial"/>
        </w:rPr>
        <w:t xml:space="preserve">Table 1.4 </w:t>
      </w:r>
      <w:r w:rsidRPr="001427AF">
        <w:rPr>
          <w:rFonts w:ascii="Arial" w:hAnsi="Arial" w:cs="Arial"/>
          <w:color w:val="000000"/>
        </w:rPr>
        <w:t xml:space="preserve">illustrates how North Carolina calculates the high school accountability indicator measures used in the accountability model. </w:t>
      </w:r>
      <w:r w:rsidR="00F502AC" w:rsidRPr="001427AF">
        <w:rPr>
          <w:rFonts w:ascii="Arial" w:hAnsi="Arial" w:cs="Arial"/>
          <w:color w:val="000000"/>
        </w:rPr>
        <w:t xml:space="preserve">Note: </w:t>
      </w:r>
      <w:r w:rsidRPr="001427AF">
        <w:rPr>
          <w:rFonts w:ascii="Arial" w:hAnsi="Arial" w:cs="Arial"/>
          <w:color w:val="000000"/>
        </w:rPr>
        <w:t>The numbers in th</w:t>
      </w:r>
      <w:r w:rsidR="00285ABB" w:rsidRPr="001427AF">
        <w:rPr>
          <w:rFonts w:ascii="Arial" w:hAnsi="Arial" w:cs="Arial"/>
          <w:color w:val="000000"/>
        </w:rPr>
        <w:t>is</w:t>
      </w:r>
      <w:r w:rsidRPr="001427AF" w:rsidDel="00285ABB">
        <w:rPr>
          <w:rFonts w:ascii="Arial" w:hAnsi="Arial" w:cs="Arial"/>
          <w:color w:val="000000"/>
        </w:rPr>
        <w:t xml:space="preserve"> </w:t>
      </w:r>
      <w:r w:rsidR="00285ABB" w:rsidRPr="001427AF">
        <w:rPr>
          <w:rFonts w:ascii="Arial" w:hAnsi="Arial" w:cs="Arial"/>
          <w:color w:val="000000"/>
        </w:rPr>
        <w:t xml:space="preserve">table </w:t>
      </w:r>
      <w:r w:rsidRPr="001427AF">
        <w:rPr>
          <w:rFonts w:ascii="Arial" w:hAnsi="Arial" w:cs="Arial"/>
          <w:color w:val="000000"/>
        </w:rPr>
        <w:t>are examples.</w:t>
      </w:r>
    </w:p>
    <w:p w14:paraId="648021EC" w14:textId="77777777" w:rsidR="009074A8" w:rsidRPr="001427AF" w:rsidRDefault="009074A8" w:rsidP="00710723">
      <w:pPr>
        <w:pStyle w:val="NormalWeb"/>
        <w:spacing w:before="0" w:beforeAutospacing="0" w:after="0" w:afterAutospacing="0"/>
        <w:contextualSpacing/>
        <w:rPr>
          <w:rFonts w:ascii="Arial" w:hAnsi="Arial" w:cs="Arial"/>
          <w:color w:val="000000"/>
        </w:rPr>
      </w:pPr>
    </w:p>
    <w:p w14:paraId="774CAC97" w14:textId="72DDEC4B" w:rsidR="00B27B25" w:rsidRPr="001427AF" w:rsidRDefault="00B27B25" w:rsidP="00F52FD8">
      <w:pPr>
        <w:pStyle w:val="TGTable"/>
        <w:rPr>
          <w:rFonts w:ascii="Arial" w:hAnsi="Arial" w:cs="Arial"/>
          <w:i/>
          <w:sz w:val="20"/>
        </w:rPr>
      </w:pPr>
      <w:r w:rsidRPr="001427AF">
        <w:rPr>
          <w:rFonts w:ascii="Arial" w:hAnsi="Arial" w:cs="Arial"/>
          <w:sz w:val="20"/>
        </w:rPr>
        <w:t>T</w:t>
      </w:r>
      <w:r w:rsidR="0028713F" w:rsidRPr="001427AF">
        <w:rPr>
          <w:rFonts w:ascii="Arial" w:hAnsi="Arial" w:cs="Arial"/>
          <w:sz w:val="20"/>
        </w:rPr>
        <w:t>ABLE</w:t>
      </w:r>
      <w:r w:rsidRPr="001427AF">
        <w:rPr>
          <w:rFonts w:ascii="Arial" w:hAnsi="Arial" w:cs="Arial"/>
          <w:sz w:val="20"/>
        </w:rPr>
        <w:t xml:space="preserve"> </w:t>
      </w:r>
      <w:r w:rsidR="00B65751" w:rsidRPr="001427AF">
        <w:rPr>
          <w:rFonts w:ascii="Arial" w:hAnsi="Arial" w:cs="Arial"/>
          <w:sz w:val="20"/>
        </w:rPr>
        <w:t>1</w:t>
      </w:r>
      <w:r w:rsidR="003D42F5" w:rsidRPr="001427AF">
        <w:rPr>
          <w:rFonts w:ascii="Arial" w:hAnsi="Arial" w:cs="Arial"/>
          <w:sz w:val="20"/>
        </w:rPr>
        <w:t>.</w:t>
      </w:r>
      <w:r w:rsidR="00793EAD" w:rsidRPr="001427AF">
        <w:rPr>
          <w:rFonts w:ascii="Arial" w:hAnsi="Arial" w:cs="Arial"/>
          <w:sz w:val="20"/>
        </w:rPr>
        <w:t>4.</w:t>
      </w:r>
      <w:r w:rsidR="00B22C8E" w:rsidRPr="001427AF">
        <w:rPr>
          <w:rFonts w:ascii="Arial" w:hAnsi="Arial" w:cs="Arial"/>
          <w:sz w:val="20"/>
        </w:rPr>
        <w:t xml:space="preserve"> </w:t>
      </w:r>
      <w:r w:rsidRPr="001427AF">
        <w:rPr>
          <w:rFonts w:ascii="Arial" w:hAnsi="Arial" w:cs="Arial"/>
          <w:sz w:val="20"/>
        </w:rPr>
        <w:t xml:space="preserve">High </w:t>
      </w:r>
      <w:r w:rsidR="00ED7F86" w:rsidRPr="001427AF">
        <w:rPr>
          <w:rFonts w:ascii="Arial" w:hAnsi="Arial" w:cs="Arial"/>
          <w:sz w:val="20"/>
        </w:rPr>
        <w:t>s</w:t>
      </w:r>
      <w:r w:rsidRPr="001427AF">
        <w:rPr>
          <w:rFonts w:ascii="Arial" w:hAnsi="Arial" w:cs="Arial"/>
          <w:sz w:val="20"/>
        </w:rPr>
        <w:t xml:space="preserve">chool </w:t>
      </w:r>
      <w:r w:rsidR="00ED7F86" w:rsidRPr="001427AF">
        <w:rPr>
          <w:rFonts w:ascii="Arial" w:hAnsi="Arial" w:cs="Arial"/>
          <w:sz w:val="20"/>
        </w:rPr>
        <w:t>m</w:t>
      </w:r>
      <w:r w:rsidRPr="001427AF">
        <w:rPr>
          <w:rFonts w:ascii="Arial" w:hAnsi="Arial" w:cs="Arial"/>
          <w:sz w:val="20"/>
        </w:rPr>
        <w:t xml:space="preserve">easure </w:t>
      </w:r>
      <w:r w:rsidR="006C30CF">
        <w:rPr>
          <w:rFonts w:ascii="Arial" w:hAnsi="Arial" w:cs="Arial"/>
          <w:sz w:val="20"/>
        </w:rPr>
        <w:t>(</w:t>
      </w:r>
      <w:r w:rsidR="00543696">
        <w:rPr>
          <w:rFonts w:ascii="Arial" w:hAnsi="Arial" w:cs="Arial"/>
          <w:sz w:val="20"/>
        </w:rPr>
        <w:t>proficiency</w:t>
      </w:r>
      <w:r w:rsidR="006C30CF">
        <w:rPr>
          <w:rFonts w:ascii="Arial" w:hAnsi="Arial" w:cs="Arial"/>
          <w:sz w:val="20"/>
        </w:rPr>
        <w:t>)</w:t>
      </w:r>
      <w:r w:rsidR="00321DCA">
        <w:rPr>
          <w:rFonts w:ascii="Arial" w:hAnsi="Arial" w:cs="Arial"/>
          <w:sz w:val="20"/>
        </w:rPr>
        <w:t xml:space="preserve"> example</w:t>
      </w:r>
    </w:p>
    <w:tbl>
      <w:tblPr>
        <w:tblW w:w="0" w:type="auto"/>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1E0" w:firstRow="1" w:lastRow="1" w:firstColumn="1" w:lastColumn="1" w:noHBand="0" w:noVBand="0"/>
        <w:tblDescription w:val="This table provides an example calculation of a high schools, school performance grade. "/>
      </w:tblPr>
      <w:tblGrid>
        <w:gridCol w:w="4157"/>
        <w:gridCol w:w="2470"/>
        <w:gridCol w:w="2687"/>
      </w:tblGrid>
      <w:tr w:rsidR="00545F7A" w:rsidRPr="001427AF" w14:paraId="7B7FDE4A" w14:textId="77777777" w:rsidTr="00F23DB3">
        <w:trPr>
          <w:trHeight w:val="103"/>
          <w:tblHeader/>
        </w:trPr>
        <w:tc>
          <w:tcPr>
            <w:tcW w:w="4157" w:type="dxa"/>
            <w:tcBorders>
              <w:top w:val="single" w:sz="12" w:space="0" w:color="auto"/>
              <w:bottom w:val="single" w:sz="12" w:space="0" w:color="auto"/>
              <w:right w:val="single" w:sz="12" w:space="0" w:color="auto"/>
            </w:tcBorders>
            <w:shd w:val="clear" w:color="auto" w:fill="ACB9CA" w:themeFill="text2" w:themeFillTint="66"/>
            <w:vAlign w:val="center"/>
          </w:tcPr>
          <w:p w14:paraId="53862047" w14:textId="77777777" w:rsidR="00545F7A" w:rsidRPr="001427AF" w:rsidRDefault="00545F7A" w:rsidP="00710723">
            <w:pPr>
              <w:spacing w:line="240" w:lineRule="auto"/>
              <w:contextualSpacing/>
              <w:rPr>
                <w:rFonts w:ascii="Arial" w:hAnsi="Arial" w:cs="Arial"/>
                <w:b/>
                <w:sz w:val="20"/>
              </w:rPr>
            </w:pPr>
            <w:r w:rsidRPr="001427AF">
              <w:rPr>
                <w:rFonts w:ascii="Arial" w:hAnsi="Arial" w:cs="Arial"/>
                <w:b/>
                <w:sz w:val="20"/>
              </w:rPr>
              <w:t>Measure</w:t>
            </w:r>
          </w:p>
        </w:tc>
        <w:tc>
          <w:tcPr>
            <w:tcW w:w="2470" w:type="dxa"/>
            <w:tcBorders>
              <w:top w:val="single" w:sz="12" w:space="0" w:color="auto"/>
              <w:left w:val="single" w:sz="12" w:space="0" w:color="auto"/>
              <w:bottom w:val="single" w:sz="12" w:space="0" w:color="auto"/>
            </w:tcBorders>
            <w:shd w:val="clear" w:color="auto" w:fill="ACB9CA" w:themeFill="text2" w:themeFillTint="66"/>
            <w:vAlign w:val="center"/>
          </w:tcPr>
          <w:p w14:paraId="5B9134B5" w14:textId="77777777" w:rsidR="00545F7A" w:rsidRPr="001427AF" w:rsidRDefault="00545F7A" w:rsidP="00763725">
            <w:pPr>
              <w:spacing w:line="240" w:lineRule="auto"/>
              <w:contextualSpacing/>
              <w:jc w:val="center"/>
              <w:rPr>
                <w:rFonts w:ascii="Arial" w:hAnsi="Arial" w:cs="Arial"/>
                <w:b/>
                <w:sz w:val="20"/>
              </w:rPr>
            </w:pPr>
            <w:r w:rsidRPr="001427AF">
              <w:rPr>
                <w:rFonts w:ascii="Arial" w:hAnsi="Arial" w:cs="Arial"/>
                <w:b/>
                <w:sz w:val="20"/>
              </w:rPr>
              <w:t>Numerator</w:t>
            </w:r>
          </w:p>
        </w:tc>
        <w:tc>
          <w:tcPr>
            <w:tcW w:w="2687" w:type="dxa"/>
            <w:tcBorders>
              <w:top w:val="single" w:sz="12" w:space="0" w:color="auto"/>
              <w:bottom w:val="single" w:sz="12" w:space="0" w:color="auto"/>
            </w:tcBorders>
            <w:shd w:val="clear" w:color="auto" w:fill="ACB9CA" w:themeFill="text2" w:themeFillTint="66"/>
            <w:vAlign w:val="center"/>
          </w:tcPr>
          <w:p w14:paraId="6C9FF9B0" w14:textId="77777777" w:rsidR="00545F7A" w:rsidRPr="001427AF" w:rsidRDefault="00545F7A" w:rsidP="00763725">
            <w:pPr>
              <w:spacing w:line="240" w:lineRule="auto"/>
              <w:contextualSpacing/>
              <w:jc w:val="center"/>
              <w:rPr>
                <w:rFonts w:ascii="Arial" w:hAnsi="Arial" w:cs="Arial"/>
                <w:sz w:val="20"/>
              </w:rPr>
            </w:pPr>
            <w:r w:rsidRPr="001427AF">
              <w:rPr>
                <w:rFonts w:ascii="Arial" w:hAnsi="Arial" w:cs="Arial"/>
                <w:b/>
                <w:sz w:val="20"/>
              </w:rPr>
              <w:t>Denominator</w:t>
            </w:r>
          </w:p>
        </w:tc>
      </w:tr>
      <w:tr w:rsidR="00545F7A" w:rsidRPr="001427AF" w14:paraId="67123DD5" w14:textId="77777777" w:rsidTr="00F23DB3">
        <w:trPr>
          <w:trHeight w:val="121"/>
        </w:trPr>
        <w:tc>
          <w:tcPr>
            <w:tcW w:w="4157" w:type="dxa"/>
            <w:tcBorders>
              <w:top w:val="single" w:sz="12" w:space="0" w:color="auto"/>
              <w:right w:val="single" w:sz="12" w:space="0" w:color="auto"/>
            </w:tcBorders>
          </w:tcPr>
          <w:p w14:paraId="737FAB79" w14:textId="1517ED0D" w:rsidR="00545F7A" w:rsidRPr="001427AF" w:rsidRDefault="00545F7A" w:rsidP="00710723">
            <w:pPr>
              <w:spacing w:line="240" w:lineRule="auto"/>
              <w:contextualSpacing/>
              <w:rPr>
                <w:rFonts w:ascii="Arial" w:hAnsi="Arial" w:cs="Arial"/>
                <w:sz w:val="20"/>
              </w:rPr>
            </w:pPr>
            <w:r w:rsidRPr="001427AF">
              <w:rPr>
                <w:rFonts w:ascii="Arial" w:hAnsi="Arial" w:cs="Arial"/>
                <w:sz w:val="20"/>
              </w:rPr>
              <w:t>EOC Math</w:t>
            </w:r>
          </w:p>
        </w:tc>
        <w:tc>
          <w:tcPr>
            <w:tcW w:w="2470" w:type="dxa"/>
            <w:tcBorders>
              <w:top w:val="single" w:sz="12" w:space="0" w:color="auto"/>
              <w:left w:val="single" w:sz="12" w:space="0" w:color="auto"/>
            </w:tcBorders>
            <w:vAlign w:val="center"/>
          </w:tcPr>
          <w:p w14:paraId="03E2450F" w14:textId="34A8E5DC" w:rsidR="00545F7A" w:rsidRPr="001427AF" w:rsidRDefault="00545F7A" w:rsidP="00C01EB3">
            <w:pPr>
              <w:spacing w:line="240" w:lineRule="auto"/>
              <w:contextualSpacing/>
              <w:jc w:val="center"/>
              <w:rPr>
                <w:rFonts w:ascii="Arial" w:hAnsi="Arial" w:cs="Arial"/>
                <w:sz w:val="20"/>
              </w:rPr>
            </w:pPr>
            <w:r w:rsidRPr="001427AF">
              <w:rPr>
                <w:rFonts w:ascii="Arial" w:hAnsi="Arial" w:cs="Arial"/>
                <w:sz w:val="20"/>
              </w:rPr>
              <w:t>117</w:t>
            </w:r>
          </w:p>
        </w:tc>
        <w:tc>
          <w:tcPr>
            <w:tcW w:w="2687" w:type="dxa"/>
            <w:tcBorders>
              <w:top w:val="single" w:sz="12" w:space="0" w:color="auto"/>
            </w:tcBorders>
            <w:vAlign w:val="center"/>
          </w:tcPr>
          <w:p w14:paraId="1A800CEB" w14:textId="046775A7" w:rsidR="00545F7A" w:rsidRPr="001427AF" w:rsidRDefault="00545F7A" w:rsidP="00C01EB3">
            <w:pPr>
              <w:spacing w:line="240" w:lineRule="auto"/>
              <w:contextualSpacing/>
              <w:jc w:val="center"/>
              <w:rPr>
                <w:rFonts w:ascii="Arial" w:hAnsi="Arial" w:cs="Arial"/>
                <w:sz w:val="20"/>
              </w:rPr>
            </w:pPr>
            <w:r w:rsidRPr="001427AF">
              <w:rPr>
                <w:rFonts w:ascii="Arial" w:hAnsi="Arial" w:cs="Arial"/>
                <w:sz w:val="20"/>
              </w:rPr>
              <w:t>269</w:t>
            </w:r>
          </w:p>
        </w:tc>
      </w:tr>
      <w:tr w:rsidR="00545F7A" w:rsidRPr="001427AF" w14:paraId="227FB19F" w14:textId="77777777" w:rsidTr="00F23DB3">
        <w:trPr>
          <w:trHeight w:val="56"/>
        </w:trPr>
        <w:tc>
          <w:tcPr>
            <w:tcW w:w="4157" w:type="dxa"/>
            <w:tcBorders>
              <w:right w:val="single" w:sz="12" w:space="0" w:color="auto"/>
            </w:tcBorders>
          </w:tcPr>
          <w:p w14:paraId="41DB0F90" w14:textId="1031A87C" w:rsidR="00545F7A" w:rsidRPr="001427AF" w:rsidRDefault="00545F7A" w:rsidP="00710723">
            <w:pPr>
              <w:spacing w:line="240" w:lineRule="auto"/>
              <w:contextualSpacing/>
              <w:rPr>
                <w:rFonts w:ascii="Arial" w:hAnsi="Arial" w:cs="Arial"/>
                <w:sz w:val="20"/>
              </w:rPr>
            </w:pPr>
            <w:r w:rsidRPr="001427AF">
              <w:rPr>
                <w:rFonts w:ascii="Arial" w:hAnsi="Arial" w:cs="Arial"/>
                <w:sz w:val="20"/>
              </w:rPr>
              <w:t>EOC English II</w:t>
            </w:r>
          </w:p>
        </w:tc>
        <w:tc>
          <w:tcPr>
            <w:tcW w:w="2470" w:type="dxa"/>
            <w:tcBorders>
              <w:left w:val="single" w:sz="12" w:space="0" w:color="auto"/>
            </w:tcBorders>
            <w:vAlign w:val="center"/>
          </w:tcPr>
          <w:p w14:paraId="0BF0D278" w14:textId="0FD066DD" w:rsidR="00545F7A" w:rsidRPr="001427AF" w:rsidRDefault="00545F7A" w:rsidP="00C01EB3">
            <w:pPr>
              <w:spacing w:line="240" w:lineRule="auto"/>
              <w:contextualSpacing/>
              <w:jc w:val="center"/>
              <w:rPr>
                <w:rFonts w:ascii="Arial" w:hAnsi="Arial" w:cs="Arial"/>
                <w:sz w:val="20"/>
              </w:rPr>
            </w:pPr>
            <w:r w:rsidRPr="001427AF">
              <w:rPr>
                <w:rFonts w:ascii="Arial" w:hAnsi="Arial" w:cs="Arial"/>
                <w:sz w:val="20"/>
              </w:rPr>
              <w:t>135</w:t>
            </w:r>
          </w:p>
        </w:tc>
        <w:tc>
          <w:tcPr>
            <w:tcW w:w="2687" w:type="dxa"/>
            <w:vAlign w:val="center"/>
          </w:tcPr>
          <w:p w14:paraId="30C70030" w14:textId="0802368B" w:rsidR="00545F7A" w:rsidRPr="001427AF" w:rsidRDefault="00545F7A" w:rsidP="00C01EB3">
            <w:pPr>
              <w:spacing w:line="240" w:lineRule="auto"/>
              <w:contextualSpacing/>
              <w:jc w:val="center"/>
              <w:rPr>
                <w:rFonts w:ascii="Arial" w:hAnsi="Arial" w:cs="Arial"/>
                <w:sz w:val="20"/>
              </w:rPr>
            </w:pPr>
            <w:r w:rsidRPr="001427AF">
              <w:rPr>
                <w:rFonts w:ascii="Arial" w:hAnsi="Arial" w:cs="Arial"/>
                <w:sz w:val="20"/>
              </w:rPr>
              <w:t>274</w:t>
            </w:r>
          </w:p>
        </w:tc>
      </w:tr>
      <w:tr w:rsidR="00545F7A" w:rsidRPr="001427AF" w14:paraId="06F05595" w14:textId="77777777" w:rsidTr="00F23DB3">
        <w:trPr>
          <w:trHeight w:val="171"/>
        </w:trPr>
        <w:tc>
          <w:tcPr>
            <w:tcW w:w="4157" w:type="dxa"/>
            <w:tcBorders>
              <w:right w:val="single" w:sz="12" w:space="0" w:color="auto"/>
            </w:tcBorders>
          </w:tcPr>
          <w:p w14:paraId="17CDEC38" w14:textId="24D51E42" w:rsidR="00545F7A" w:rsidRPr="001427AF" w:rsidRDefault="00545F7A" w:rsidP="00710723">
            <w:pPr>
              <w:spacing w:line="240" w:lineRule="auto"/>
              <w:contextualSpacing/>
              <w:rPr>
                <w:rFonts w:ascii="Arial" w:hAnsi="Arial" w:cs="Arial"/>
                <w:sz w:val="20"/>
              </w:rPr>
            </w:pPr>
            <w:r w:rsidRPr="001427AF">
              <w:rPr>
                <w:rFonts w:ascii="Arial" w:hAnsi="Arial" w:cs="Arial"/>
                <w:sz w:val="20"/>
              </w:rPr>
              <w:t>Four-Year Cohort Graduation Rate</w:t>
            </w:r>
          </w:p>
        </w:tc>
        <w:tc>
          <w:tcPr>
            <w:tcW w:w="2470" w:type="dxa"/>
            <w:tcBorders>
              <w:left w:val="single" w:sz="12" w:space="0" w:color="auto"/>
            </w:tcBorders>
            <w:vAlign w:val="center"/>
          </w:tcPr>
          <w:p w14:paraId="51EBD072" w14:textId="5672BEA1" w:rsidR="00545F7A" w:rsidRPr="001427AF" w:rsidRDefault="00545F7A" w:rsidP="00C01EB3">
            <w:pPr>
              <w:spacing w:line="240" w:lineRule="auto"/>
              <w:contextualSpacing/>
              <w:jc w:val="center"/>
              <w:rPr>
                <w:rFonts w:ascii="Arial" w:hAnsi="Arial" w:cs="Arial"/>
                <w:sz w:val="20"/>
              </w:rPr>
            </w:pPr>
            <w:r w:rsidRPr="001427AF">
              <w:rPr>
                <w:rFonts w:ascii="Arial" w:hAnsi="Arial" w:cs="Arial"/>
                <w:sz w:val="20"/>
              </w:rPr>
              <w:t>284</w:t>
            </w:r>
          </w:p>
        </w:tc>
        <w:tc>
          <w:tcPr>
            <w:tcW w:w="2687" w:type="dxa"/>
            <w:vAlign w:val="center"/>
          </w:tcPr>
          <w:p w14:paraId="5EA896C7" w14:textId="6B1C73E9" w:rsidR="00545F7A" w:rsidRPr="001427AF" w:rsidRDefault="00545F7A" w:rsidP="00C01EB3">
            <w:pPr>
              <w:spacing w:line="240" w:lineRule="auto"/>
              <w:contextualSpacing/>
              <w:jc w:val="center"/>
              <w:rPr>
                <w:rFonts w:ascii="Arial" w:hAnsi="Arial" w:cs="Arial"/>
                <w:sz w:val="20"/>
              </w:rPr>
            </w:pPr>
            <w:r w:rsidRPr="001427AF">
              <w:rPr>
                <w:rFonts w:ascii="Arial" w:hAnsi="Arial" w:cs="Arial"/>
                <w:sz w:val="20"/>
              </w:rPr>
              <w:t>330</w:t>
            </w:r>
          </w:p>
        </w:tc>
      </w:tr>
      <w:tr w:rsidR="00545F7A" w:rsidRPr="001427AF" w14:paraId="37C1C698" w14:textId="77777777" w:rsidTr="00F23DB3">
        <w:trPr>
          <w:trHeight w:val="189"/>
        </w:trPr>
        <w:tc>
          <w:tcPr>
            <w:tcW w:w="4157" w:type="dxa"/>
            <w:tcBorders>
              <w:right w:val="single" w:sz="12" w:space="0" w:color="auto"/>
            </w:tcBorders>
          </w:tcPr>
          <w:p w14:paraId="4D0FDF8A" w14:textId="736E1225" w:rsidR="00545F7A" w:rsidRPr="001427AF" w:rsidRDefault="00545F7A" w:rsidP="00A4441E">
            <w:pPr>
              <w:spacing w:line="240" w:lineRule="auto"/>
              <w:contextualSpacing/>
              <w:rPr>
                <w:rFonts w:ascii="Arial" w:hAnsi="Arial" w:cs="Arial"/>
                <w:sz w:val="20"/>
              </w:rPr>
            </w:pPr>
            <w:r w:rsidRPr="001427AF">
              <w:rPr>
                <w:rFonts w:ascii="Arial" w:hAnsi="Arial" w:cs="Arial"/>
                <w:sz w:val="20"/>
              </w:rPr>
              <w:t>English Learner Progress</w:t>
            </w:r>
          </w:p>
        </w:tc>
        <w:tc>
          <w:tcPr>
            <w:tcW w:w="2470" w:type="dxa"/>
            <w:tcBorders>
              <w:left w:val="single" w:sz="12" w:space="0" w:color="auto"/>
            </w:tcBorders>
            <w:vAlign w:val="center"/>
          </w:tcPr>
          <w:p w14:paraId="74FF83A0" w14:textId="7EBFACE3" w:rsidR="00545F7A" w:rsidRPr="001427AF" w:rsidRDefault="00545F7A" w:rsidP="00A4441E">
            <w:pPr>
              <w:spacing w:line="240" w:lineRule="auto"/>
              <w:contextualSpacing/>
              <w:jc w:val="center"/>
              <w:rPr>
                <w:rFonts w:ascii="Arial" w:hAnsi="Arial" w:cs="Arial"/>
                <w:sz w:val="20"/>
              </w:rPr>
            </w:pPr>
            <w:r w:rsidRPr="001427AF">
              <w:rPr>
                <w:rFonts w:ascii="Arial" w:hAnsi="Arial" w:cs="Arial"/>
                <w:sz w:val="20"/>
              </w:rPr>
              <w:t>9</w:t>
            </w:r>
          </w:p>
        </w:tc>
        <w:tc>
          <w:tcPr>
            <w:tcW w:w="2687" w:type="dxa"/>
            <w:vAlign w:val="center"/>
          </w:tcPr>
          <w:p w14:paraId="096990CE" w14:textId="17704D3D" w:rsidR="00545F7A" w:rsidRPr="001427AF" w:rsidRDefault="00545F7A" w:rsidP="00A4441E">
            <w:pPr>
              <w:spacing w:line="240" w:lineRule="auto"/>
              <w:contextualSpacing/>
              <w:jc w:val="center"/>
              <w:rPr>
                <w:rFonts w:ascii="Arial" w:hAnsi="Arial" w:cs="Arial"/>
                <w:sz w:val="20"/>
              </w:rPr>
            </w:pPr>
            <w:r w:rsidRPr="001427AF">
              <w:rPr>
                <w:rFonts w:ascii="Arial" w:hAnsi="Arial" w:cs="Arial"/>
                <w:sz w:val="20"/>
              </w:rPr>
              <w:t>34</w:t>
            </w:r>
          </w:p>
        </w:tc>
      </w:tr>
      <w:tr w:rsidR="00545F7A" w:rsidRPr="001427AF" w14:paraId="1764AE24" w14:textId="77777777" w:rsidTr="00F23DB3">
        <w:trPr>
          <w:trHeight w:val="127"/>
        </w:trPr>
        <w:tc>
          <w:tcPr>
            <w:tcW w:w="4157" w:type="dxa"/>
            <w:tcBorders>
              <w:right w:val="single" w:sz="12" w:space="0" w:color="auto"/>
            </w:tcBorders>
          </w:tcPr>
          <w:p w14:paraId="4E3FD6E3" w14:textId="7A2D0C49" w:rsidR="00545F7A" w:rsidRPr="001427AF" w:rsidRDefault="00545F7A" w:rsidP="00A4441E">
            <w:pPr>
              <w:spacing w:line="240" w:lineRule="auto"/>
              <w:contextualSpacing/>
              <w:rPr>
                <w:rFonts w:ascii="Arial" w:hAnsi="Arial" w:cs="Arial"/>
                <w:sz w:val="20"/>
              </w:rPr>
            </w:pPr>
            <w:r w:rsidRPr="001427AF">
              <w:rPr>
                <w:rFonts w:ascii="Arial" w:hAnsi="Arial" w:cs="Arial"/>
                <w:sz w:val="20"/>
              </w:rPr>
              <w:t>EOC Biology</w:t>
            </w:r>
          </w:p>
        </w:tc>
        <w:tc>
          <w:tcPr>
            <w:tcW w:w="2470" w:type="dxa"/>
            <w:tcBorders>
              <w:left w:val="single" w:sz="12" w:space="0" w:color="auto"/>
            </w:tcBorders>
            <w:vAlign w:val="center"/>
          </w:tcPr>
          <w:p w14:paraId="0223A766" w14:textId="50B187A3" w:rsidR="00545F7A" w:rsidRPr="001427AF" w:rsidRDefault="00545F7A" w:rsidP="00A4441E">
            <w:pPr>
              <w:spacing w:line="240" w:lineRule="auto"/>
              <w:contextualSpacing/>
              <w:jc w:val="center"/>
              <w:rPr>
                <w:rFonts w:ascii="Arial" w:hAnsi="Arial" w:cs="Arial"/>
                <w:sz w:val="20"/>
              </w:rPr>
            </w:pPr>
            <w:r w:rsidRPr="001427AF">
              <w:rPr>
                <w:rFonts w:ascii="Arial" w:hAnsi="Arial" w:cs="Arial"/>
                <w:sz w:val="20"/>
              </w:rPr>
              <w:t>124</w:t>
            </w:r>
          </w:p>
        </w:tc>
        <w:tc>
          <w:tcPr>
            <w:tcW w:w="2687" w:type="dxa"/>
            <w:vAlign w:val="center"/>
          </w:tcPr>
          <w:p w14:paraId="2CD99ADE" w14:textId="7754BF9C" w:rsidR="00545F7A" w:rsidRPr="001427AF" w:rsidRDefault="00545F7A" w:rsidP="00A4441E">
            <w:pPr>
              <w:spacing w:line="240" w:lineRule="auto"/>
              <w:contextualSpacing/>
              <w:jc w:val="center"/>
              <w:rPr>
                <w:rFonts w:ascii="Arial" w:hAnsi="Arial" w:cs="Arial"/>
                <w:sz w:val="20"/>
              </w:rPr>
            </w:pPr>
            <w:r w:rsidRPr="001427AF">
              <w:rPr>
                <w:rFonts w:ascii="Arial" w:hAnsi="Arial" w:cs="Arial"/>
                <w:sz w:val="20"/>
              </w:rPr>
              <w:t>240</w:t>
            </w:r>
          </w:p>
        </w:tc>
      </w:tr>
      <w:tr w:rsidR="00545F7A" w:rsidRPr="001427AF" w14:paraId="3734D44A" w14:textId="77777777" w:rsidTr="00F23DB3">
        <w:trPr>
          <w:trHeight w:val="65"/>
        </w:trPr>
        <w:tc>
          <w:tcPr>
            <w:tcW w:w="4157" w:type="dxa"/>
            <w:tcBorders>
              <w:right w:val="single" w:sz="12" w:space="0" w:color="auto"/>
            </w:tcBorders>
          </w:tcPr>
          <w:p w14:paraId="42B24F88" w14:textId="377F7280" w:rsidR="00545F7A" w:rsidRPr="001427AF" w:rsidRDefault="00545F7A" w:rsidP="00A4441E">
            <w:pPr>
              <w:spacing w:line="240" w:lineRule="auto"/>
              <w:contextualSpacing/>
              <w:rPr>
                <w:rFonts w:ascii="Arial" w:hAnsi="Arial" w:cs="Arial"/>
                <w:sz w:val="20"/>
              </w:rPr>
            </w:pPr>
            <w:r w:rsidRPr="001427AF">
              <w:rPr>
                <w:rFonts w:ascii="Arial" w:hAnsi="Arial" w:cs="Arial"/>
                <w:sz w:val="20"/>
              </w:rPr>
              <w:t>The ACT/WorkKeys</w:t>
            </w:r>
          </w:p>
        </w:tc>
        <w:tc>
          <w:tcPr>
            <w:tcW w:w="2470" w:type="dxa"/>
            <w:tcBorders>
              <w:left w:val="single" w:sz="12" w:space="0" w:color="auto"/>
            </w:tcBorders>
            <w:vAlign w:val="center"/>
          </w:tcPr>
          <w:p w14:paraId="4DA1DA17" w14:textId="41119170" w:rsidR="00545F7A" w:rsidRPr="001427AF" w:rsidRDefault="00545F7A" w:rsidP="00A4441E">
            <w:pPr>
              <w:spacing w:line="240" w:lineRule="auto"/>
              <w:contextualSpacing/>
              <w:jc w:val="center"/>
              <w:rPr>
                <w:rFonts w:ascii="Arial" w:hAnsi="Arial" w:cs="Arial"/>
                <w:sz w:val="20"/>
              </w:rPr>
            </w:pPr>
            <w:r w:rsidRPr="001427AF">
              <w:rPr>
                <w:rFonts w:ascii="Arial" w:hAnsi="Arial" w:cs="Arial"/>
                <w:sz w:val="20"/>
              </w:rPr>
              <w:t>226</w:t>
            </w:r>
          </w:p>
        </w:tc>
        <w:tc>
          <w:tcPr>
            <w:tcW w:w="2687" w:type="dxa"/>
            <w:vAlign w:val="center"/>
          </w:tcPr>
          <w:p w14:paraId="55387B59" w14:textId="01E3EC59" w:rsidR="00545F7A" w:rsidRPr="001427AF" w:rsidRDefault="00545F7A" w:rsidP="00A4441E">
            <w:pPr>
              <w:spacing w:line="240" w:lineRule="auto"/>
              <w:contextualSpacing/>
              <w:jc w:val="center"/>
              <w:rPr>
                <w:rFonts w:ascii="Arial" w:hAnsi="Arial" w:cs="Arial"/>
                <w:sz w:val="20"/>
              </w:rPr>
            </w:pPr>
            <w:r w:rsidRPr="001427AF">
              <w:rPr>
                <w:rFonts w:ascii="Arial" w:hAnsi="Arial" w:cs="Arial"/>
                <w:sz w:val="20"/>
              </w:rPr>
              <w:t>508</w:t>
            </w:r>
          </w:p>
        </w:tc>
      </w:tr>
      <w:tr w:rsidR="00545F7A" w:rsidRPr="001427AF" w14:paraId="5D5392BA" w14:textId="77777777" w:rsidTr="00F23DB3">
        <w:trPr>
          <w:trHeight w:val="82"/>
        </w:trPr>
        <w:tc>
          <w:tcPr>
            <w:tcW w:w="4157" w:type="dxa"/>
            <w:tcBorders>
              <w:right w:val="single" w:sz="12" w:space="0" w:color="auto"/>
            </w:tcBorders>
          </w:tcPr>
          <w:p w14:paraId="260F5189" w14:textId="39791F90" w:rsidR="00545F7A" w:rsidRPr="001427AF" w:rsidRDefault="00545F7A" w:rsidP="00A4441E">
            <w:pPr>
              <w:spacing w:line="240" w:lineRule="auto"/>
              <w:rPr>
                <w:rFonts w:ascii="Arial" w:hAnsi="Arial" w:cs="Arial"/>
                <w:sz w:val="20"/>
              </w:rPr>
            </w:pPr>
            <w:r w:rsidRPr="001427AF">
              <w:rPr>
                <w:rFonts w:ascii="Arial" w:hAnsi="Arial" w:cs="Arial"/>
                <w:sz w:val="20"/>
              </w:rPr>
              <w:t>Math Course Rigor</w:t>
            </w:r>
          </w:p>
        </w:tc>
        <w:tc>
          <w:tcPr>
            <w:tcW w:w="2470" w:type="dxa"/>
            <w:tcBorders>
              <w:left w:val="single" w:sz="12" w:space="0" w:color="auto"/>
            </w:tcBorders>
            <w:vAlign w:val="center"/>
          </w:tcPr>
          <w:p w14:paraId="34B7B057" w14:textId="7E9832B0" w:rsidR="00545F7A" w:rsidRPr="001427AF" w:rsidRDefault="00545F7A" w:rsidP="00A4441E">
            <w:pPr>
              <w:spacing w:line="240" w:lineRule="auto"/>
              <w:jc w:val="center"/>
              <w:rPr>
                <w:rFonts w:ascii="Arial" w:hAnsi="Arial" w:cs="Arial"/>
                <w:sz w:val="20"/>
              </w:rPr>
            </w:pPr>
            <w:r w:rsidRPr="001427AF">
              <w:rPr>
                <w:rFonts w:ascii="Arial" w:hAnsi="Arial" w:cs="Arial"/>
                <w:sz w:val="20"/>
              </w:rPr>
              <w:t>261</w:t>
            </w:r>
          </w:p>
        </w:tc>
        <w:tc>
          <w:tcPr>
            <w:tcW w:w="2687" w:type="dxa"/>
            <w:vAlign w:val="center"/>
          </w:tcPr>
          <w:p w14:paraId="05F4BC98" w14:textId="6642A28C" w:rsidR="00545F7A" w:rsidRPr="001427AF" w:rsidRDefault="00545F7A" w:rsidP="00A4441E">
            <w:pPr>
              <w:spacing w:line="240" w:lineRule="auto"/>
              <w:jc w:val="center"/>
              <w:rPr>
                <w:rFonts w:ascii="Arial" w:hAnsi="Arial" w:cs="Arial"/>
                <w:sz w:val="20"/>
              </w:rPr>
            </w:pPr>
            <w:r w:rsidRPr="001427AF">
              <w:rPr>
                <w:rFonts w:ascii="Arial" w:hAnsi="Arial" w:cs="Arial"/>
                <w:sz w:val="20"/>
              </w:rPr>
              <w:t>273</w:t>
            </w:r>
          </w:p>
        </w:tc>
      </w:tr>
      <w:tr w:rsidR="00545F7A" w:rsidRPr="001427AF" w14:paraId="44044AD6" w14:textId="77777777" w:rsidTr="00F23DB3">
        <w:trPr>
          <w:trHeight w:val="374"/>
        </w:trPr>
        <w:tc>
          <w:tcPr>
            <w:tcW w:w="4157" w:type="dxa"/>
            <w:tcBorders>
              <w:bottom w:val="single" w:sz="12" w:space="0" w:color="auto"/>
              <w:right w:val="single" w:sz="12" w:space="0" w:color="auto"/>
            </w:tcBorders>
          </w:tcPr>
          <w:p w14:paraId="1FEC80D3" w14:textId="77777777" w:rsidR="00545F7A" w:rsidRPr="00F23DB3" w:rsidRDefault="00545F7A" w:rsidP="00A4441E">
            <w:pPr>
              <w:spacing w:line="240" w:lineRule="auto"/>
              <w:rPr>
                <w:rFonts w:ascii="Arial" w:hAnsi="Arial" w:cs="Arial"/>
                <w:b/>
                <w:bCs/>
                <w:sz w:val="20"/>
              </w:rPr>
            </w:pPr>
            <w:r w:rsidRPr="00F23DB3">
              <w:rPr>
                <w:rFonts w:ascii="Arial" w:hAnsi="Arial" w:cs="Arial"/>
                <w:b/>
                <w:bCs/>
                <w:sz w:val="20"/>
              </w:rPr>
              <w:t>Total Achievement</w:t>
            </w:r>
          </w:p>
        </w:tc>
        <w:tc>
          <w:tcPr>
            <w:tcW w:w="2470" w:type="dxa"/>
            <w:tcBorders>
              <w:left w:val="single" w:sz="12" w:space="0" w:color="auto"/>
              <w:bottom w:val="single" w:sz="12" w:space="0" w:color="auto"/>
            </w:tcBorders>
            <w:vAlign w:val="center"/>
          </w:tcPr>
          <w:p w14:paraId="18E3CC4D" w14:textId="4C77EC44" w:rsidR="00545F7A" w:rsidRPr="00F23DB3" w:rsidRDefault="00545F7A" w:rsidP="00A4441E">
            <w:pPr>
              <w:spacing w:line="240" w:lineRule="auto"/>
              <w:jc w:val="center"/>
              <w:rPr>
                <w:rFonts w:ascii="Arial" w:hAnsi="Arial" w:cs="Arial"/>
                <w:b/>
                <w:bCs/>
                <w:sz w:val="20"/>
              </w:rPr>
            </w:pPr>
            <w:r w:rsidRPr="00F23DB3">
              <w:rPr>
                <w:rFonts w:ascii="Arial" w:hAnsi="Arial" w:cs="Arial"/>
                <w:b/>
                <w:bCs/>
                <w:sz w:val="20"/>
              </w:rPr>
              <w:t>1,156</w:t>
            </w:r>
          </w:p>
          <w:p w14:paraId="4F16DCB1" w14:textId="60F0E6CD" w:rsidR="00545F7A" w:rsidRPr="00F23DB3" w:rsidRDefault="00545F7A" w:rsidP="00A4441E">
            <w:pPr>
              <w:spacing w:line="240" w:lineRule="auto"/>
              <w:jc w:val="center"/>
              <w:rPr>
                <w:rFonts w:ascii="Arial" w:hAnsi="Arial" w:cs="Arial"/>
                <w:b/>
                <w:bCs/>
                <w:sz w:val="20"/>
              </w:rPr>
            </w:pPr>
            <w:r w:rsidRPr="00F23DB3">
              <w:rPr>
                <w:rFonts w:ascii="Arial" w:hAnsi="Arial" w:cs="Arial"/>
                <w:b/>
                <w:bCs/>
                <w:sz w:val="20"/>
              </w:rPr>
              <w:t>(Sum of numerators)</w:t>
            </w:r>
          </w:p>
        </w:tc>
        <w:tc>
          <w:tcPr>
            <w:tcW w:w="2687" w:type="dxa"/>
            <w:tcBorders>
              <w:bottom w:val="single" w:sz="12" w:space="0" w:color="auto"/>
            </w:tcBorders>
            <w:vAlign w:val="center"/>
          </w:tcPr>
          <w:p w14:paraId="4521DA41" w14:textId="2FAFD3F5" w:rsidR="00545F7A" w:rsidRPr="00F23DB3" w:rsidRDefault="00545F7A" w:rsidP="00A4441E">
            <w:pPr>
              <w:spacing w:line="240" w:lineRule="auto"/>
              <w:jc w:val="center"/>
              <w:rPr>
                <w:rFonts w:ascii="Arial" w:hAnsi="Arial" w:cs="Arial"/>
                <w:b/>
                <w:bCs/>
                <w:sz w:val="20"/>
              </w:rPr>
            </w:pPr>
            <w:r w:rsidRPr="00F23DB3">
              <w:rPr>
                <w:rFonts w:ascii="Arial" w:hAnsi="Arial" w:cs="Arial"/>
                <w:b/>
                <w:bCs/>
                <w:sz w:val="20"/>
              </w:rPr>
              <w:t>1,928</w:t>
            </w:r>
          </w:p>
          <w:p w14:paraId="3B1D5B6D" w14:textId="0E46737E" w:rsidR="00545F7A" w:rsidRPr="00F23DB3" w:rsidRDefault="00545F7A" w:rsidP="00A4441E">
            <w:pPr>
              <w:spacing w:line="240" w:lineRule="auto"/>
              <w:jc w:val="center"/>
              <w:rPr>
                <w:rFonts w:ascii="Arial" w:hAnsi="Arial" w:cs="Arial"/>
                <w:b/>
                <w:bCs/>
                <w:sz w:val="20"/>
              </w:rPr>
            </w:pPr>
            <w:r w:rsidRPr="00F23DB3">
              <w:rPr>
                <w:rFonts w:ascii="Arial" w:hAnsi="Arial" w:cs="Arial"/>
                <w:b/>
                <w:bCs/>
                <w:sz w:val="20"/>
              </w:rPr>
              <w:t>(Sum of denominators)</w:t>
            </w:r>
          </w:p>
        </w:tc>
      </w:tr>
    </w:tbl>
    <w:p w14:paraId="7012CCFA" w14:textId="562E8045" w:rsidR="008C48DB" w:rsidRDefault="005F2F00" w:rsidP="00A4441E">
      <w:pPr>
        <w:spacing w:line="240" w:lineRule="auto"/>
        <w:rPr>
          <w:rFonts w:ascii="Arial" w:hAnsi="Arial" w:cs="Arial"/>
          <w:sz w:val="20"/>
        </w:rPr>
      </w:pPr>
      <w:r w:rsidRPr="001427AF">
        <w:rPr>
          <w:rFonts w:ascii="Arial" w:hAnsi="Arial" w:cs="Arial"/>
          <w:b/>
          <w:sz w:val="20"/>
        </w:rPr>
        <w:t>Score used in final calculation</w:t>
      </w:r>
      <w:r w:rsidR="00D07C6D">
        <w:rPr>
          <w:rFonts w:ascii="Arial" w:hAnsi="Arial" w:cs="Arial"/>
          <w:b/>
          <w:sz w:val="20"/>
        </w:rPr>
        <w:t xml:space="preserve"> </w:t>
      </w:r>
      <w:r w:rsidRPr="001427AF">
        <w:rPr>
          <w:rFonts w:ascii="Arial" w:hAnsi="Arial" w:cs="Arial"/>
          <w:sz w:val="20"/>
        </w:rPr>
        <w:t>1156/1928=60.0</w:t>
      </w:r>
    </w:p>
    <w:p w14:paraId="62376C08" w14:textId="77777777" w:rsidR="00D07C6D" w:rsidRDefault="00D07C6D" w:rsidP="00D07C6D">
      <w:pPr>
        <w:spacing w:before="40"/>
        <w:rPr>
          <w:rFonts w:ascii="Arial" w:hAnsi="Arial" w:cs="Arial"/>
        </w:rPr>
      </w:pPr>
    </w:p>
    <w:p w14:paraId="725C572F" w14:textId="13225183" w:rsidR="00512FC9" w:rsidRPr="004E0309" w:rsidRDefault="00512FC9" w:rsidP="008C48DB">
      <w:pPr>
        <w:pStyle w:val="NormalWeb"/>
        <w:spacing w:before="0" w:beforeAutospacing="0" w:after="0" w:afterAutospacing="0"/>
        <w:contextualSpacing/>
        <w:rPr>
          <w:rFonts w:ascii="Arial" w:hAnsi="Arial" w:cs="Arial"/>
          <w:color w:val="000000"/>
          <w:sz w:val="20"/>
          <w:szCs w:val="20"/>
        </w:rPr>
      </w:pPr>
      <w:r w:rsidRPr="004E0309">
        <w:rPr>
          <w:rFonts w:ascii="Arial" w:hAnsi="Arial" w:cs="Arial"/>
          <w:color w:val="000000"/>
          <w:sz w:val="20"/>
          <w:szCs w:val="20"/>
        </w:rPr>
        <w:t>TABLE 1.4.1. High school measure</w:t>
      </w:r>
      <w:r w:rsidR="006C30CF">
        <w:rPr>
          <w:rFonts w:ascii="Arial" w:hAnsi="Arial" w:cs="Arial"/>
          <w:color w:val="000000"/>
          <w:sz w:val="20"/>
          <w:szCs w:val="20"/>
        </w:rPr>
        <w:t xml:space="preserve"> (</w:t>
      </w:r>
      <w:r w:rsidR="00543696" w:rsidRPr="004E0309">
        <w:rPr>
          <w:rFonts w:ascii="Arial" w:hAnsi="Arial" w:cs="Arial"/>
          <w:color w:val="000000"/>
          <w:sz w:val="20"/>
          <w:szCs w:val="20"/>
        </w:rPr>
        <w:t>growth</w:t>
      </w:r>
      <w:r w:rsidR="006C30CF">
        <w:rPr>
          <w:rFonts w:ascii="Arial" w:hAnsi="Arial" w:cs="Arial"/>
          <w:color w:val="000000"/>
          <w:sz w:val="20"/>
          <w:szCs w:val="20"/>
        </w:rPr>
        <w:t>)</w:t>
      </w:r>
      <w:r w:rsidR="00321DCA">
        <w:rPr>
          <w:rFonts w:ascii="Arial" w:hAnsi="Arial" w:cs="Arial"/>
          <w:color w:val="000000"/>
          <w:sz w:val="20"/>
          <w:szCs w:val="20"/>
        </w:rPr>
        <w:t xml:space="preserve"> example</w:t>
      </w:r>
    </w:p>
    <w:tbl>
      <w:tblPr>
        <w:tblStyle w:val="GridTable1Light-Accent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15"/>
        <w:gridCol w:w="2636"/>
        <w:gridCol w:w="2273"/>
      </w:tblGrid>
      <w:tr w:rsidR="00545F7A" w:rsidRPr="00543696" w14:paraId="07161C89" w14:textId="77777777" w:rsidTr="00A4441E">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415" w:type="dxa"/>
            <w:shd w:val="clear" w:color="auto" w:fill="ACB9CA" w:themeFill="text2" w:themeFillTint="66"/>
          </w:tcPr>
          <w:p w14:paraId="0FD4BEF8" w14:textId="1085183C" w:rsidR="00545F7A" w:rsidRPr="004E0309" w:rsidRDefault="00545F7A" w:rsidP="00E4599D">
            <w:pPr>
              <w:pStyle w:val="NormalWeb"/>
              <w:spacing w:before="0" w:beforeAutospacing="0" w:after="0" w:afterAutospacing="0"/>
              <w:contextualSpacing/>
              <w:rPr>
                <w:rFonts w:ascii="Arial" w:hAnsi="Arial" w:cs="Arial"/>
                <w:color w:val="000000" w:themeColor="text1"/>
                <w:sz w:val="20"/>
                <w:szCs w:val="20"/>
              </w:rPr>
            </w:pPr>
            <w:r w:rsidRPr="004E0309">
              <w:rPr>
                <w:rFonts w:ascii="Arial" w:hAnsi="Arial" w:cs="Arial"/>
                <w:color w:val="000000" w:themeColor="text1"/>
                <w:sz w:val="20"/>
                <w:szCs w:val="20"/>
              </w:rPr>
              <w:t>Measure</w:t>
            </w:r>
          </w:p>
        </w:tc>
        <w:tc>
          <w:tcPr>
            <w:tcW w:w="2636" w:type="dxa"/>
            <w:shd w:val="clear" w:color="auto" w:fill="ACB9CA" w:themeFill="text2" w:themeFillTint="66"/>
          </w:tcPr>
          <w:p w14:paraId="6FAEE930" w14:textId="6CC6FF54" w:rsidR="00545F7A" w:rsidRPr="004E0309" w:rsidRDefault="00545F7A" w:rsidP="00D95EEA">
            <w:pPr>
              <w:pStyle w:val="NormalWeb"/>
              <w:spacing w:before="0" w:beforeAutospacing="0" w:after="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1427AF">
              <w:rPr>
                <w:rFonts w:ascii="Arial" w:hAnsi="Arial" w:cs="Arial"/>
                <w:sz w:val="20"/>
              </w:rPr>
              <w:t>Growth composite index</w:t>
            </w:r>
          </w:p>
        </w:tc>
        <w:tc>
          <w:tcPr>
            <w:tcW w:w="2273" w:type="dxa"/>
            <w:shd w:val="clear" w:color="auto" w:fill="ACB9CA" w:themeFill="text2" w:themeFillTint="66"/>
          </w:tcPr>
          <w:p w14:paraId="2434C003" w14:textId="24FAF2E6" w:rsidR="00545F7A" w:rsidRPr="004E0309" w:rsidRDefault="00545F7A" w:rsidP="00D95EEA">
            <w:pPr>
              <w:pStyle w:val="NormalWeb"/>
              <w:spacing w:before="0" w:beforeAutospacing="0" w:after="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1427AF">
              <w:rPr>
                <w:rFonts w:ascii="Arial" w:hAnsi="Arial" w:cs="Arial"/>
                <w:sz w:val="20"/>
              </w:rPr>
              <w:t>Growth score used in final calculations</w:t>
            </w:r>
          </w:p>
        </w:tc>
      </w:tr>
      <w:tr w:rsidR="00545F7A" w:rsidRPr="00543696" w14:paraId="01A5FA06" w14:textId="77777777" w:rsidTr="00A4441E">
        <w:trPr>
          <w:trHeight w:val="600"/>
        </w:trPr>
        <w:tc>
          <w:tcPr>
            <w:cnfStyle w:val="001000000000" w:firstRow="0" w:lastRow="0" w:firstColumn="1" w:lastColumn="0" w:oddVBand="0" w:evenVBand="0" w:oddHBand="0" w:evenHBand="0" w:firstRowFirstColumn="0" w:firstRowLastColumn="0" w:lastRowFirstColumn="0" w:lastRowLastColumn="0"/>
            <w:tcW w:w="4415" w:type="dxa"/>
          </w:tcPr>
          <w:p w14:paraId="5063D0F1" w14:textId="77777777" w:rsidR="00545F7A" w:rsidRPr="00543696" w:rsidRDefault="00545F7A" w:rsidP="00545F7A">
            <w:pPr>
              <w:spacing w:before="40"/>
              <w:rPr>
                <w:rFonts w:ascii="Arial" w:hAnsi="Arial" w:cs="Arial"/>
                <w:sz w:val="20"/>
              </w:rPr>
            </w:pPr>
            <w:r w:rsidRPr="00543696">
              <w:rPr>
                <w:rFonts w:ascii="Arial" w:hAnsi="Arial" w:cs="Arial"/>
                <w:sz w:val="20"/>
              </w:rPr>
              <w:t xml:space="preserve">School Accountability Growth Score </w:t>
            </w:r>
          </w:p>
          <w:p w14:paraId="76515975" w14:textId="20539C13" w:rsidR="00545F7A" w:rsidRPr="00EF0395" w:rsidRDefault="00545F7A" w:rsidP="00545F7A">
            <w:pPr>
              <w:pStyle w:val="NormalWeb"/>
              <w:spacing w:before="0" w:beforeAutospacing="0" w:after="0" w:afterAutospacing="0"/>
              <w:contextualSpacing/>
              <w:rPr>
                <w:rFonts w:ascii="Arial" w:hAnsi="Arial" w:cs="Arial"/>
                <w:color w:val="000000" w:themeColor="text1"/>
                <w:sz w:val="20"/>
                <w:szCs w:val="20"/>
              </w:rPr>
            </w:pPr>
            <w:r w:rsidRPr="001427AF">
              <w:rPr>
                <w:rFonts w:ascii="Arial" w:hAnsi="Arial" w:cs="Arial"/>
                <w:sz w:val="20"/>
              </w:rPr>
              <w:t>(Reading and Math Composite)</w:t>
            </w:r>
          </w:p>
        </w:tc>
        <w:tc>
          <w:tcPr>
            <w:tcW w:w="2636" w:type="dxa"/>
            <w:vAlign w:val="center"/>
          </w:tcPr>
          <w:p w14:paraId="29E1C55B" w14:textId="4297354E" w:rsidR="00545F7A" w:rsidRPr="00EF0395" w:rsidRDefault="00545F7A" w:rsidP="00D95EEA">
            <w:pPr>
              <w:pStyle w:val="NormalWeb"/>
              <w:spacing w:before="0" w:beforeAutospacing="0" w:after="0" w:afterAutospacing="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1427AF">
              <w:rPr>
                <w:rFonts w:ascii="Arial" w:hAnsi="Arial" w:cs="Arial"/>
                <w:sz w:val="20"/>
              </w:rPr>
              <w:t>-0.95</w:t>
            </w:r>
          </w:p>
        </w:tc>
        <w:tc>
          <w:tcPr>
            <w:tcW w:w="2273" w:type="dxa"/>
            <w:vAlign w:val="center"/>
          </w:tcPr>
          <w:p w14:paraId="555D049B" w14:textId="0AE5FCC0" w:rsidR="00545F7A" w:rsidRPr="00EF0395" w:rsidRDefault="00545F7A" w:rsidP="00D95EEA">
            <w:pPr>
              <w:pStyle w:val="NormalWeb"/>
              <w:spacing w:before="0" w:beforeAutospacing="0" w:after="0" w:afterAutospacing="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1427AF">
              <w:rPr>
                <w:rFonts w:ascii="Arial" w:hAnsi="Arial" w:cs="Arial"/>
                <w:sz w:val="20"/>
              </w:rPr>
              <w:t>75.2</w:t>
            </w:r>
          </w:p>
        </w:tc>
      </w:tr>
    </w:tbl>
    <w:p w14:paraId="3EA767A9" w14:textId="77777777" w:rsidR="00D0299D" w:rsidRDefault="00D0299D" w:rsidP="00E4599D">
      <w:pPr>
        <w:pStyle w:val="NormalWeb"/>
        <w:spacing w:before="0" w:beforeAutospacing="0" w:after="0" w:afterAutospacing="0"/>
        <w:contextualSpacing/>
        <w:rPr>
          <w:rFonts w:ascii="Arial" w:hAnsi="Arial" w:cs="Arial"/>
          <w:color w:val="000000" w:themeColor="text1"/>
        </w:rPr>
      </w:pPr>
    </w:p>
    <w:p w14:paraId="2F4EB764" w14:textId="2B168693" w:rsidR="00E4599D" w:rsidRPr="001427AF" w:rsidRDefault="00FD0933" w:rsidP="00E4599D">
      <w:pPr>
        <w:pStyle w:val="NormalWeb"/>
        <w:spacing w:before="0" w:beforeAutospacing="0" w:after="0" w:afterAutospacing="0"/>
        <w:contextualSpacing/>
        <w:rPr>
          <w:rFonts w:ascii="Arial" w:hAnsi="Arial" w:cs="Arial"/>
          <w:color w:val="000000"/>
        </w:rPr>
      </w:pPr>
      <w:r w:rsidRPr="001427AF">
        <w:rPr>
          <w:rFonts w:ascii="Arial" w:hAnsi="Arial" w:cs="Arial"/>
          <w:color w:val="000000" w:themeColor="text1"/>
        </w:rPr>
        <w:t>W</w:t>
      </w:r>
      <w:r w:rsidR="00E4599D" w:rsidRPr="001427AF">
        <w:rPr>
          <w:rFonts w:ascii="Arial" w:hAnsi="Arial" w:cs="Arial"/>
          <w:color w:val="000000" w:themeColor="text1"/>
        </w:rPr>
        <w:t xml:space="preserve">hen calculating the achievement score for each indicator, the </w:t>
      </w:r>
      <w:bookmarkStart w:id="100" w:name="_Int_LapudwC4"/>
      <w:r w:rsidR="00E4599D" w:rsidRPr="001427AF">
        <w:rPr>
          <w:rFonts w:ascii="Arial" w:hAnsi="Arial" w:cs="Arial"/>
          <w:color w:val="000000" w:themeColor="text1"/>
        </w:rPr>
        <w:t>percentage</w:t>
      </w:r>
      <w:bookmarkEnd w:id="100"/>
      <w:r w:rsidR="00E4599D" w:rsidRPr="001427AF">
        <w:rPr>
          <w:rFonts w:ascii="Arial" w:hAnsi="Arial" w:cs="Arial"/>
          <w:color w:val="000000" w:themeColor="text1"/>
        </w:rPr>
        <w:t xml:space="preserve"> of students who meet the standard is divided by the total number of students for that indicator. To get the total School Achievement Score, the total number of scores or benchmarks meeting the standard for all indicators is added and then divided by the total number of scores or benchmarks for all indicators. Schools spanning both </w:t>
      </w:r>
      <w:r w:rsidR="008E2026" w:rsidRPr="001427AF">
        <w:rPr>
          <w:rFonts w:ascii="Arial" w:hAnsi="Arial" w:cs="Arial"/>
          <w:color w:val="000000" w:themeColor="text1"/>
        </w:rPr>
        <w:t>K–8</w:t>
      </w:r>
      <w:r w:rsidR="00E4599D" w:rsidRPr="001427AF">
        <w:rPr>
          <w:rFonts w:ascii="Arial" w:hAnsi="Arial" w:cs="Arial"/>
          <w:color w:val="000000" w:themeColor="text1"/>
        </w:rPr>
        <w:t xml:space="preserve"> and high school</w:t>
      </w:r>
      <w:r w:rsidR="007E4B50" w:rsidRPr="001427AF">
        <w:rPr>
          <w:rFonts w:ascii="Arial" w:hAnsi="Arial" w:cs="Arial"/>
          <w:color w:val="000000" w:themeColor="text1"/>
        </w:rPr>
        <w:t>,</w:t>
      </w:r>
      <w:r w:rsidR="00E4599D" w:rsidRPr="001427AF">
        <w:rPr>
          <w:rFonts w:ascii="Arial" w:hAnsi="Arial" w:cs="Arial"/>
          <w:color w:val="000000" w:themeColor="text1"/>
        </w:rPr>
        <w:t xml:space="preserve"> will use the appropriate indicators accordingly. For example, </w:t>
      </w:r>
      <w:bookmarkStart w:id="101" w:name="_Int_YcmlYlO7"/>
      <w:r w:rsidR="00E4599D" w:rsidRPr="001427AF">
        <w:rPr>
          <w:rFonts w:ascii="Arial" w:hAnsi="Arial" w:cs="Arial"/>
          <w:color w:val="000000" w:themeColor="text1"/>
        </w:rPr>
        <w:t xml:space="preserve">a </w:t>
      </w:r>
      <w:bookmarkEnd w:id="101"/>
      <w:r w:rsidR="00727C58" w:rsidRPr="001427AF">
        <w:rPr>
          <w:rFonts w:ascii="Arial" w:hAnsi="Arial" w:cs="Arial"/>
          <w:color w:val="000000" w:themeColor="text1"/>
        </w:rPr>
        <w:t>K–12</w:t>
      </w:r>
      <w:r w:rsidR="00E4599D" w:rsidRPr="001427AF">
        <w:rPr>
          <w:rFonts w:ascii="Arial" w:hAnsi="Arial" w:cs="Arial"/>
          <w:color w:val="000000" w:themeColor="text1"/>
        </w:rPr>
        <w:t xml:space="preserve"> school will use all the indicators for </w:t>
      </w:r>
      <w:r w:rsidR="00727C58" w:rsidRPr="001427AF">
        <w:rPr>
          <w:rFonts w:ascii="Arial" w:hAnsi="Arial" w:cs="Arial"/>
          <w:color w:val="000000" w:themeColor="text1"/>
        </w:rPr>
        <w:t>K–8</w:t>
      </w:r>
      <w:r w:rsidR="00E4599D" w:rsidRPr="001427AF">
        <w:rPr>
          <w:rFonts w:ascii="Arial" w:hAnsi="Arial" w:cs="Arial"/>
          <w:color w:val="000000" w:themeColor="text1"/>
        </w:rPr>
        <w:t xml:space="preserve"> and high school. </w:t>
      </w:r>
    </w:p>
    <w:p w14:paraId="79DE3C2F" w14:textId="77777777" w:rsidR="00E4599D" w:rsidRPr="001427AF" w:rsidRDefault="00E4599D" w:rsidP="00E4599D">
      <w:pPr>
        <w:pStyle w:val="NormalWeb"/>
        <w:spacing w:before="0" w:beforeAutospacing="0" w:after="0" w:afterAutospacing="0"/>
        <w:contextualSpacing/>
        <w:rPr>
          <w:rFonts w:ascii="Arial" w:hAnsi="Arial" w:cs="Arial"/>
          <w:color w:val="000000"/>
        </w:rPr>
      </w:pPr>
    </w:p>
    <w:p w14:paraId="5DB7D481" w14:textId="3E3DADFE" w:rsidR="00E4599D" w:rsidRPr="001427AF" w:rsidRDefault="00E4599D" w:rsidP="00E4599D">
      <w:pPr>
        <w:pStyle w:val="NormalWeb"/>
        <w:spacing w:before="0" w:beforeAutospacing="0" w:after="0" w:afterAutospacing="0"/>
        <w:contextualSpacing/>
        <w:rPr>
          <w:rFonts w:ascii="Arial" w:hAnsi="Arial" w:cs="Arial"/>
          <w:color w:val="000000" w:themeColor="text1"/>
        </w:rPr>
      </w:pPr>
      <w:r w:rsidRPr="001427AF">
        <w:rPr>
          <w:rFonts w:ascii="Arial" w:hAnsi="Arial" w:cs="Arial"/>
          <w:color w:val="000000" w:themeColor="text1"/>
        </w:rPr>
        <w:t xml:space="preserve">This model allows for a proportional representation of the indicators with the assessments comprising most of the weight for the model. For example, the ELP indicator in relationship to the reading and mathematics assessment participants is less, giving more weight to the reading and mathematics assessments. If a school does not have the required number of students to report an indicator, the indicator’s weight will become part of the other academic indicators in the model. </w:t>
      </w:r>
    </w:p>
    <w:p w14:paraId="5F48B21A" w14:textId="2D913F9A" w:rsidR="00B106A2" w:rsidRPr="001427AF" w:rsidRDefault="00B106A2" w:rsidP="00E4599D">
      <w:pPr>
        <w:pStyle w:val="NormalWeb"/>
        <w:spacing w:before="0" w:beforeAutospacing="0" w:after="0" w:afterAutospacing="0"/>
        <w:contextualSpacing/>
        <w:rPr>
          <w:rFonts w:ascii="Arial" w:hAnsi="Arial" w:cs="Arial"/>
          <w:color w:val="000000" w:themeColor="text1"/>
        </w:rPr>
      </w:pPr>
    </w:p>
    <w:p w14:paraId="259273CF" w14:textId="30DE6AB9" w:rsidR="008C48DB" w:rsidRPr="001427AF" w:rsidRDefault="00BD2FAD" w:rsidP="001514C3">
      <w:pPr>
        <w:pStyle w:val="Heading2"/>
      </w:pPr>
      <w:bookmarkStart w:id="102" w:name="_Toc135812497"/>
      <w:bookmarkStart w:id="103" w:name="_Toc136418877"/>
      <w:bookmarkStart w:id="104" w:name="_Toc136419133"/>
      <w:bookmarkStart w:id="105" w:name="_Toc225404945"/>
      <w:r w:rsidRPr="001427AF">
        <w:t xml:space="preserve">Calculating a </w:t>
      </w:r>
      <w:r w:rsidR="008C48DB" w:rsidRPr="001427AF">
        <w:t>S</w:t>
      </w:r>
      <w:r w:rsidRPr="001427AF">
        <w:t xml:space="preserve">chool’s </w:t>
      </w:r>
      <w:r w:rsidR="00E71965" w:rsidRPr="001427AF">
        <w:t>G</w:t>
      </w:r>
      <w:r w:rsidRPr="001427AF">
        <w:t xml:space="preserve">rowth </w:t>
      </w:r>
      <w:r w:rsidR="00E71965" w:rsidRPr="001427AF">
        <w:t>S</w:t>
      </w:r>
      <w:r w:rsidRPr="001427AF">
        <w:t>core</w:t>
      </w:r>
      <w:bookmarkEnd w:id="102"/>
      <w:bookmarkEnd w:id="103"/>
      <w:bookmarkEnd w:id="104"/>
      <w:bookmarkEnd w:id="105"/>
      <w:r w:rsidRPr="001427AF">
        <w:t xml:space="preserve"> </w:t>
      </w:r>
    </w:p>
    <w:p w14:paraId="7B6FCC35" w14:textId="0D2A0034" w:rsidR="00F05B62" w:rsidRPr="001427AF" w:rsidRDefault="00F05B62" w:rsidP="00F05B62">
      <w:pPr>
        <w:pStyle w:val="Default"/>
        <w:contextualSpacing/>
        <w:rPr>
          <w:rFonts w:ascii="Arial" w:hAnsi="Arial" w:cs="Arial"/>
        </w:rPr>
      </w:pPr>
      <w:r w:rsidRPr="001427AF">
        <w:rPr>
          <w:rFonts w:ascii="Arial" w:hAnsi="Arial" w:cs="Arial"/>
        </w:rPr>
        <w:t xml:space="preserve">Growth for all schools is 20% of the model as required by </w:t>
      </w:r>
      <w:r w:rsidR="00FD0933" w:rsidRPr="001427AF">
        <w:rPr>
          <w:rFonts w:ascii="Arial" w:hAnsi="Arial" w:cs="Arial"/>
        </w:rPr>
        <w:t>G.S.</w:t>
      </w:r>
      <w:r w:rsidRPr="001427AF">
        <w:rPr>
          <w:rFonts w:ascii="Arial" w:hAnsi="Arial" w:cs="Arial"/>
        </w:rPr>
        <w:t xml:space="preserve"> </w:t>
      </w:r>
      <w:hyperlink r:id="rId17">
        <w:r w:rsidRPr="001427AF">
          <w:rPr>
            <w:rStyle w:val="Hyperlink"/>
            <w:rFonts w:ascii="Arial" w:hAnsi="Arial" w:cs="Arial"/>
          </w:rPr>
          <w:t>§115C-83.15</w:t>
        </w:r>
      </w:hyperlink>
      <w:r w:rsidRPr="001427AF">
        <w:rPr>
          <w:rFonts w:ascii="Arial" w:hAnsi="Arial" w:cs="Arial"/>
        </w:rPr>
        <w:t xml:space="preserve">. School Accountability Growth is generated using </w:t>
      </w:r>
      <w:bookmarkStart w:id="106" w:name="_Int_HVKzompj"/>
      <w:r w:rsidRPr="001427AF">
        <w:rPr>
          <w:rFonts w:ascii="Arial" w:hAnsi="Arial" w:cs="Arial"/>
        </w:rPr>
        <w:t>EVAAS</w:t>
      </w:r>
      <w:bookmarkEnd w:id="106"/>
      <w:r w:rsidRPr="001427AF">
        <w:rPr>
          <w:rFonts w:ascii="Arial" w:hAnsi="Arial" w:cs="Arial"/>
        </w:rPr>
        <w:t xml:space="preserve">. EVAAS is a value-added growth model that includes student performance on all applicable subject assessments for that school. The growth model calculations result in a composite index growth value which </w:t>
      </w:r>
      <w:r w:rsidRPr="001427AF">
        <w:rPr>
          <w:rFonts w:ascii="Arial" w:hAnsi="Arial" w:cs="Arial"/>
        </w:rPr>
        <w:lastRenderedPageBreak/>
        <w:t xml:space="preserve">determines a growth designation for the school of </w:t>
      </w:r>
      <w:proofErr w:type="gramStart"/>
      <w:r w:rsidRPr="001427AF">
        <w:rPr>
          <w:rFonts w:ascii="Arial" w:hAnsi="Arial" w:cs="Arial"/>
          <w:i/>
        </w:rPr>
        <w:t>exceeds</w:t>
      </w:r>
      <w:proofErr w:type="gramEnd"/>
      <w:r w:rsidRPr="001427AF">
        <w:rPr>
          <w:rFonts w:ascii="Arial" w:hAnsi="Arial" w:cs="Arial"/>
          <w:i/>
        </w:rPr>
        <w:t xml:space="preserve"> expected growth, </w:t>
      </w:r>
      <w:proofErr w:type="gramStart"/>
      <w:r w:rsidRPr="001427AF">
        <w:rPr>
          <w:rFonts w:ascii="Arial" w:hAnsi="Arial" w:cs="Arial"/>
          <w:i/>
        </w:rPr>
        <w:t>meets</w:t>
      </w:r>
      <w:proofErr w:type="gramEnd"/>
      <w:r w:rsidRPr="001427AF">
        <w:rPr>
          <w:rFonts w:ascii="Arial" w:hAnsi="Arial" w:cs="Arial"/>
          <w:i/>
        </w:rPr>
        <w:t xml:space="preserve"> expected growth</w:t>
      </w:r>
      <w:r w:rsidRPr="001427AF">
        <w:rPr>
          <w:rFonts w:ascii="Arial" w:hAnsi="Arial" w:cs="Arial"/>
        </w:rPr>
        <w:t>,</w:t>
      </w:r>
      <w:r w:rsidRPr="001427AF">
        <w:rPr>
          <w:rFonts w:ascii="Arial" w:hAnsi="Arial" w:cs="Arial"/>
          <w:i/>
        </w:rPr>
        <w:t xml:space="preserve"> </w:t>
      </w:r>
      <w:r w:rsidRPr="001427AF">
        <w:rPr>
          <w:rFonts w:ascii="Arial" w:hAnsi="Arial" w:cs="Arial"/>
        </w:rPr>
        <w:t>or</w:t>
      </w:r>
      <w:r w:rsidRPr="001427AF">
        <w:rPr>
          <w:rFonts w:ascii="Arial" w:hAnsi="Arial" w:cs="Arial"/>
          <w:i/>
        </w:rPr>
        <w:t xml:space="preserve"> does not meet expected growth</w:t>
      </w:r>
      <w:r w:rsidRPr="001427AF">
        <w:rPr>
          <w:rFonts w:ascii="Arial" w:hAnsi="Arial" w:cs="Arial"/>
        </w:rPr>
        <w:t>. For the purposes of the school performance grades, the growth composite index is converted to a 100-point scale, so it can be combined with the school achievement score to create the overall school performance grade score.</w:t>
      </w:r>
    </w:p>
    <w:p w14:paraId="1F5676CD" w14:textId="77777777" w:rsidR="003843EA" w:rsidRPr="001427AF" w:rsidRDefault="003843EA" w:rsidP="00F05B62">
      <w:pPr>
        <w:pStyle w:val="Default"/>
        <w:contextualSpacing/>
        <w:rPr>
          <w:rFonts w:ascii="Arial" w:hAnsi="Arial" w:cs="Arial"/>
        </w:rPr>
      </w:pPr>
    </w:p>
    <w:p w14:paraId="1F0735A2" w14:textId="5524A4A4" w:rsidR="00203804" w:rsidRPr="001427AF" w:rsidRDefault="00F05B62" w:rsidP="00F05B62">
      <w:pPr>
        <w:pStyle w:val="Default"/>
        <w:contextualSpacing/>
        <w:rPr>
          <w:rFonts w:ascii="Arial" w:hAnsi="Arial" w:cs="Arial"/>
        </w:rPr>
      </w:pPr>
      <w:r w:rsidRPr="001427AF">
        <w:rPr>
          <w:rFonts w:ascii="Arial" w:hAnsi="Arial" w:cs="Arial"/>
        </w:rPr>
        <w:t>The composite growth value spans a range from -10.0 to 10.0</w:t>
      </w:r>
      <w:r w:rsidR="0059769F" w:rsidRPr="001427AF">
        <w:rPr>
          <w:rFonts w:ascii="Arial" w:hAnsi="Arial" w:cs="Arial"/>
        </w:rPr>
        <w:t xml:space="preserve">. However, </w:t>
      </w:r>
      <w:r w:rsidRPr="001427AF">
        <w:rPr>
          <w:rFonts w:ascii="Arial" w:hAnsi="Arial" w:cs="Arial"/>
        </w:rPr>
        <w:t xml:space="preserve">it is possible to achieve values greater than 10.0 or </w:t>
      </w:r>
      <w:r w:rsidR="00FD0933" w:rsidRPr="001427AF">
        <w:rPr>
          <w:rFonts w:ascii="Arial" w:hAnsi="Arial" w:cs="Arial"/>
        </w:rPr>
        <w:t xml:space="preserve">less than </w:t>
      </w:r>
      <w:r w:rsidRPr="001427AF">
        <w:rPr>
          <w:rFonts w:ascii="Arial" w:hAnsi="Arial" w:cs="Arial"/>
        </w:rPr>
        <w:t xml:space="preserve">-10.0, but those are transformed to -10.0 and 10.0 for use in the accountability model. These composite growth values are transformed to the 100-point score which is rounded to the tenth. This score is used as 20% of the overall school/subgroup grade. North Carolina reports the growth values that correspond to EVAAS designations for all schools. The distribution of the growth designations (exceeds, met, and did not meet) allows for additional meaningful differentiation between schools and subgroups. </w:t>
      </w:r>
      <w:bookmarkStart w:id="107" w:name="_Toc102997712"/>
      <w:bookmarkStart w:id="108" w:name="_Toc102997818"/>
      <w:bookmarkStart w:id="109" w:name="_Toc102997924"/>
      <w:bookmarkStart w:id="110" w:name="_Toc99015537"/>
      <w:bookmarkStart w:id="111" w:name="_Toc99016889"/>
      <w:bookmarkStart w:id="112" w:name="_Toc99018261"/>
      <w:bookmarkStart w:id="113" w:name="_Toc99018452"/>
      <w:bookmarkStart w:id="114" w:name="_Toc99018643"/>
      <w:bookmarkStart w:id="115" w:name="_Toc99018834"/>
      <w:bookmarkStart w:id="116" w:name="_Toc99019025"/>
      <w:bookmarkStart w:id="117" w:name="_Toc99019694"/>
      <w:bookmarkStart w:id="118" w:name="_Toc99019880"/>
      <w:bookmarkStart w:id="119" w:name="_Toc99628481"/>
      <w:bookmarkStart w:id="120" w:name="_Toc99629203"/>
      <w:bookmarkStart w:id="121" w:name="_Toc99629404"/>
      <w:bookmarkStart w:id="122" w:name="_Toc99698002"/>
      <w:bookmarkStart w:id="123" w:name="_Toc100061583"/>
      <w:bookmarkStart w:id="124" w:name="_Toc100061874"/>
      <w:bookmarkStart w:id="125" w:name="_Toc100126126"/>
      <w:bookmarkStart w:id="126" w:name="_Toc100128045"/>
      <w:bookmarkStart w:id="127" w:name="_Toc100128717"/>
      <w:bookmarkStart w:id="128" w:name="_Toc100128921"/>
      <w:bookmarkStart w:id="129" w:name="_Toc100129125"/>
      <w:bookmarkStart w:id="130" w:name="_Toc100129415"/>
      <w:bookmarkStart w:id="131" w:name="_Toc100129784"/>
      <w:bookmarkStart w:id="132" w:name="_Toc100132292"/>
      <w:bookmarkStart w:id="133" w:name="_Toc100132515"/>
      <w:bookmarkStart w:id="134" w:name="_Toc100132719"/>
      <w:bookmarkStart w:id="135" w:name="_Toc100133257"/>
      <w:bookmarkStart w:id="136" w:name="_Toc100135961"/>
      <w:bookmarkStart w:id="137" w:name="_Toc100136165"/>
      <w:bookmarkStart w:id="138" w:name="_Toc100136520"/>
      <w:bookmarkStart w:id="139" w:name="_Toc100136724"/>
      <w:bookmarkStart w:id="140" w:name="_Toc100151418"/>
      <w:bookmarkStart w:id="141" w:name="_Toc100151622"/>
      <w:bookmarkStart w:id="142" w:name="_Toc100151826"/>
      <w:bookmarkStart w:id="143" w:name="_Toc100213961"/>
      <w:bookmarkStart w:id="144" w:name="_Toc100214322"/>
      <w:bookmarkStart w:id="145" w:name="_Toc100214526"/>
      <w:bookmarkStart w:id="146" w:name="_Toc100214724"/>
      <w:bookmarkStart w:id="147" w:name="_Toc100215375"/>
      <w:bookmarkStart w:id="148" w:name="_Toc102396856"/>
      <w:bookmarkStart w:id="149" w:name="_Toc102997713"/>
      <w:bookmarkStart w:id="150" w:name="_Toc102997819"/>
      <w:bookmarkStart w:id="151" w:name="_Toc102997925"/>
      <w:bookmarkStart w:id="152" w:name="_Toc106102844"/>
      <w:bookmarkStart w:id="153" w:name="_Toc106102949"/>
      <w:bookmarkStart w:id="154" w:name="_Toc111703616"/>
      <w:bookmarkStart w:id="155" w:name="_Toc111710308"/>
      <w:bookmarkStart w:id="156" w:name="_Toc111712078"/>
      <w:bookmarkStart w:id="157" w:name="_Toc111712166"/>
      <w:bookmarkStart w:id="158" w:name="_Toc111713297"/>
      <w:bookmarkStart w:id="159" w:name="_Toc111713588"/>
      <w:bookmarkStart w:id="160" w:name="_Toc111713722"/>
      <w:bookmarkStart w:id="161" w:name="_Toc111713809"/>
      <w:bookmarkStart w:id="162" w:name="_Toc111714350"/>
      <w:bookmarkStart w:id="163" w:name="_Toc111714502"/>
      <w:bookmarkStart w:id="164" w:name="_Toc112317369"/>
      <w:bookmarkStart w:id="165" w:name="_Toc112317488"/>
      <w:bookmarkStart w:id="166" w:name="_Toc112317581"/>
      <w:bookmarkStart w:id="167" w:name="_Toc112318704"/>
      <w:bookmarkStart w:id="168" w:name="_Toc112319948"/>
      <w:bookmarkStart w:id="169" w:name="_Toc99015542"/>
      <w:bookmarkStart w:id="170" w:name="_Toc99016894"/>
      <w:bookmarkStart w:id="171" w:name="_Toc99018266"/>
      <w:bookmarkStart w:id="172" w:name="_Toc99018457"/>
      <w:bookmarkStart w:id="173" w:name="_Toc99018648"/>
      <w:bookmarkStart w:id="174" w:name="_Toc99018839"/>
      <w:bookmarkStart w:id="175" w:name="_Toc99019030"/>
      <w:bookmarkStart w:id="176" w:name="_Toc99019699"/>
      <w:bookmarkStart w:id="177" w:name="_Toc99019885"/>
      <w:bookmarkStart w:id="178" w:name="_Toc99628486"/>
      <w:bookmarkStart w:id="179" w:name="_Toc99629208"/>
      <w:bookmarkStart w:id="180" w:name="_Toc99629409"/>
      <w:bookmarkStart w:id="181" w:name="_Toc99698007"/>
      <w:bookmarkStart w:id="182" w:name="_Toc100061588"/>
      <w:bookmarkStart w:id="183" w:name="_Toc100061879"/>
      <w:bookmarkStart w:id="184" w:name="_Toc100126131"/>
      <w:bookmarkStart w:id="185" w:name="_Toc100128050"/>
      <w:bookmarkStart w:id="186" w:name="_Toc100128722"/>
      <w:bookmarkStart w:id="187" w:name="_Toc100128926"/>
      <w:bookmarkStart w:id="188" w:name="_Toc100129130"/>
      <w:bookmarkStart w:id="189" w:name="_Toc100129420"/>
      <w:bookmarkStart w:id="190" w:name="_Toc100129789"/>
      <w:bookmarkStart w:id="191" w:name="_Toc100132297"/>
      <w:bookmarkStart w:id="192" w:name="_Toc100132520"/>
      <w:bookmarkStart w:id="193" w:name="_Toc100132724"/>
      <w:bookmarkStart w:id="194" w:name="_Toc100133262"/>
      <w:bookmarkStart w:id="195" w:name="_Toc100135966"/>
      <w:bookmarkStart w:id="196" w:name="_Toc100136170"/>
      <w:bookmarkStart w:id="197" w:name="_Toc100136525"/>
      <w:bookmarkStart w:id="198" w:name="_Toc100136729"/>
      <w:bookmarkStart w:id="199" w:name="_Toc100151423"/>
      <w:bookmarkStart w:id="200" w:name="_Toc100151627"/>
      <w:bookmarkStart w:id="201" w:name="_Toc100151831"/>
      <w:bookmarkStart w:id="202" w:name="_Toc100213966"/>
      <w:bookmarkStart w:id="203" w:name="_Toc100214327"/>
      <w:bookmarkStart w:id="204" w:name="_Toc100214531"/>
      <w:bookmarkStart w:id="205" w:name="_Toc100214729"/>
      <w:bookmarkStart w:id="206" w:name="_Toc100215380"/>
      <w:bookmarkStart w:id="207" w:name="_Toc102396861"/>
      <w:bookmarkStart w:id="208" w:name="_Toc102997718"/>
      <w:bookmarkStart w:id="209" w:name="_Toc102997824"/>
      <w:bookmarkStart w:id="210" w:name="_Toc102997930"/>
      <w:bookmarkStart w:id="211" w:name="_Toc106102849"/>
      <w:bookmarkStart w:id="212" w:name="_Toc106102954"/>
      <w:bookmarkStart w:id="213" w:name="_Toc111703621"/>
      <w:bookmarkStart w:id="214" w:name="_Toc111710313"/>
      <w:bookmarkStart w:id="215" w:name="_Toc111712083"/>
      <w:bookmarkStart w:id="216" w:name="_Toc111712171"/>
      <w:bookmarkStart w:id="217" w:name="_Toc111713302"/>
      <w:bookmarkStart w:id="218" w:name="_Toc111713593"/>
      <w:bookmarkStart w:id="219" w:name="_Toc111713727"/>
      <w:bookmarkStart w:id="220" w:name="_Toc111713814"/>
      <w:bookmarkStart w:id="221" w:name="_Toc111714355"/>
      <w:bookmarkStart w:id="222" w:name="_Toc111714507"/>
      <w:bookmarkStart w:id="223" w:name="_Toc112317374"/>
      <w:bookmarkStart w:id="224" w:name="_Toc112317493"/>
      <w:bookmarkStart w:id="225" w:name="_Toc112317586"/>
      <w:bookmarkStart w:id="226" w:name="_Toc112318709"/>
      <w:bookmarkStart w:id="227" w:name="_Toc112319953"/>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3FBA3488" w14:textId="77777777" w:rsidR="002A3ECD" w:rsidRPr="001427AF" w:rsidRDefault="002A3ECD" w:rsidP="002E5CBC">
      <w:pPr>
        <w:pStyle w:val="Default"/>
        <w:contextualSpacing/>
        <w:rPr>
          <w:rFonts w:ascii="Arial" w:hAnsi="Arial" w:cs="Arial"/>
        </w:rPr>
      </w:pPr>
      <w:bookmarkStart w:id="228" w:name="_Toc116913509"/>
      <w:bookmarkStart w:id="229" w:name="_Toc116913711"/>
      <w:bookmarkStart w:id="230" w:name="_Toc117160453"/>
      <w:bookmarkStart w:id="231" w:name="_Toc116913510"/>
      <w:bookmarkStart w:id="232" w:name="_Toc116913712"/>
      <w:bookmarkStart w:id="233" w:name="_Toc117160454"/>
      <w:bookmarkStart w:id="234" w:name="_Toc116913511"/>
      <w:bookmarkStart w:id="235" w:name="_Toc116913713"/>
      <w:bookmarkStart w:id="236" w:name="_Toc117160455"/>
      <w:bookmarkStart w:id="237" w:name="_Toc116913512"/>
      <w:bookmarkStart w:id="238" w:name="_Toc116913714"/>
      <w:bookmarkStart w:id="239" w:name="_Toc117160456"/>
      <w:bookmarkStart w:id="240" w:name="_Toc116913513"/>
      <w:bookmarkStart w:id="241" w:name="_Toc116913715"/>
      <w:bookmarkStart w:id="242" w:name="_Toc117160457"/>
      <w:bookmarkStart w:id="243" w:name="_Toc116913514"/>
      <w:bookmarkStart w:id="244" w:name="_Toc116913716"/>
      <w:bookmarkStart w:id="245" w:name="_Toc117160458"/>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04B27BD4" w14:textId="55207970" w:rsidR="00392BC4" w:rsidRPr="001427AF" w:rsidRDefault="00D31308" w:rsidP="001514C3">
      <w:pPr>
        <w:pStyle w:val="Heading2"/>
      </w:pPr>
      <w:bookmarkStart w:id="246" w:name="_Toc135812498"/>
      <w:bookmarkStart w:id="247" w:name="_Toc136418878"/>
      <w:bookmarkStart w:id="248" w:name="_Toc136419134"/>
      <w:bookmarkStart w:id="249" w:name="_Toc225404946"/>
      <w:r w:rsidRPr="001427AF">
        <w:t>Guidelines</w:t>
      </w:r>
      <w:r w:rsidR="00301869" w:rsidRPr="001427AF">
        <w:t xml:space="preserve"> </w:t>
      </w:r>
      <w:r w:rsidR="002D4450" w:rsidRPr="001427AF">
        <w:t>A</w:t>
      </w:r>
      <w:r w:rsidR="00301869" w:rsidRPr="001427AF">
        <w:t xml:space="preserve">pplied in </w:t>
      </w:r>
      <w:r w:rsidR="002D4450" w:rsidRPr="001427AF">
        <w:t>C</w:t>
      </w:r>
      <w:r w:rsidR="00301869" w:rsidRPr="001427AF">
        <w:t>alculation</w:t>
      </w:r>
      <w:r w:rsidR="009E47CA" w:rsidRPr="001427AF">
        <w:t xml:space="preserve"> of</w:t>
      </w:r>
      <w:r w:rsidR="00301869" w:rsidRPr="001427AF">
        <w:t xml:space="preserve"> </w:t>
      </w:r>
      <w:r w:rsidR="002D4450" w:rsidRPr="001427AF">
        <w:t>S</w:t>
      </w:r>
      <w:r w:rsidR="00392BC4" w:rsidRPr="001427AF">
        <w:t xml:space="preserve">chool </w:t>
      </w:r>
      <w:r w:rsidR="002D4450" w:rsidRPr="001427AF">
        <w:t>G</w:t>
      </w:r>
      <w:r w:rsidR="00392BC4" w:rsidRPr="001427AF">
        <w:t>rowth</w:t>
      </w:r>
      <w:bookmarkEnd w:id="246"/>
      <w:bookmarkEnd w:id="247"/>
      <w:bookmarkEnd w:id="248"/>
      <w:bookmarkEnd w:id="249"/>
      <w:r w:rsidR="00392BC4" w:rsidRPr="001427AF">
        <w:t xml:space="preserve"> </w:t>
      </w:r>
    </w:p>
    <w:p w14:paraId="0DBCE818" w14:textId="5E6C193E" w:rsidR="00A20D7F" w:rsidRPr="001427AF" w:rsidRDefault="00A20D7F" w:rsidP="00010604">
      <w:pPr>
        <w:pStyle w:val="Default"/>
        <w:numPr>
          <w:ilvl w:val="0"/>
          <w:numId w:val="3"/>
        </w:numPr>
        <w:ind w:left="360"/>
        <w:contextualSpacing/>
        <w:rPr>
          <w:rFonts w:ascii="Arial" w:hAnsi="Arial" w:cs="Arial"/>
        </w:rPr>
      </w:pPr>
      <w:r w:rsidRPr="001427AF">
        <w:rPr>
          <w:rFonts w:ascii="Arial" w:hAnsi="Arial" w:cs="Arial"/>
        </w:rPr>
        <w:t xml:space="preserve">Elementary and middle schools use </w:t>
      </w:r>
      <w:r w:rsidR="00FD0933" w:rsidRPr="001427AF">
        <w:rPr>
          <w:rFonts w:ascii="Arial" w:hAnsi="Arial" w:cs="Arial"/>
        </w:rPr>
        <w:t>r</w:t>
      </w:r>
      <w:r w:rsidRPr="001427AF">
        <w:rPr>
          <w:rFonts w:ascii="Arial" w:hAnsi="Arial" w:cs="Arial"/>
        </w:rPr>
        <w:t xml:space="preserve">eading EOG, </w:t>
      </w:r>
      <w:r w:rsidR="00FD0933" w:rsidRPr="001427AF">
        <w:rPr>
          <w:rFonts w:ascii="Arial" w:hAnsi="Arial" w:cs="Arial"/>
        </w:rPr>
        <w:t>m</w:t>
      </w:r>
      <w:r w:rsidRPr="001427AF">
        <w:rPr>
          <w:rFonts w:ascii="Arial" w:hAnsi="Arial" w:cs="Arial"/>
        </w:rPr>
        <w:t xml:space="preserve">athematics EOG/EOC, and </w:t>
      </w:r>
      <w:r w:rsidR="00FD0933" w:rsidRPr="001427AF">
        <w:rPr>
          <w:rFonts w:ascii="Arial" w:hAnsi="Arial" w:cs="Arial"/>
        </w:rPr>
        <w:t>s</w:t>
      </w:r>
      <w:r w:rsidRPr="001427AF">
        <w:rPr>
          <w:rFonts w:ascii="Arial" w:hAnsi="Arial" w:cs="Arial"/>
        </w:rPr>
        <w:t xml:space="preserve">cience EOG assessments for growth calculations. </w:t>
      </w:r>
    </w:p>
    <w:p w14:paraId="2320874F" w14:textId="4F9E2C53" w:rsidR="00A20D7F" w:rsidRPr="001427AF" w:rsidRDefault="00A20D7F" w:rsidP="00010604">
      <w:pPr>
        <w:pStyle w:val="Default"/>
        <w:numPr>
          <w:ilvl w:val="0"/>
          <w:numId w:val="3"/>
        </w:numPr>
        <w:ind w:left="360"/>
        <w:contextualSpacing/>
        <w:rPr>
          <w:rFonts w:ascii="Arial" w:hAnsi="Arial" w:cs="Arial"/>
        </w:rPr>
      </w:pPr>
      <w:r w:rsidRPr="001427AF">
        <w:rPr>
          <w:rFonts w:ascii="Arial" w:hAnsi="Arial" w:cs="Arial"/>
        </w:rPr>
        <w:t xml:space="preserve">High schools use </w:t>
      </w:r>
      <w:r w:rsidR="00FD0933" w:rsidRPr="001427AF">
        <w:rPr>
          <w:rFonts w:ascii="Arial" w:hAnsi="Arial" w:cs="Arial"/>
        </w:rPr>
        <w:t>r</w:t>
      </w:r>
      <w:r w:rsidRPr="001427AF">
        <w:rPr>
          <w:rFonts w:ascii="Arial" w:hAnsi="Arial" w:cs="Arial"/>
        </w:rPr>
        <w:t xml:space="preserve">eading and </w:t>
      </w:r>
      <w:r w:rsidR="00FD0933" w:rsidRPr="001427AF">
        <w:rPr>
          <w:rFonts w:ascii="Arial" w:hAnsi="Arial" w:cs="Arial"/>
        </w:rPr>
        <w:t>m</w:t>
      </w:r>
      <w:r w:rsidRPr="001427AF">
        <w:rPr>
          <w:rFonts w:ascii="Arial" w:hAnsi="Arial" w:cs="Arial"/>
        </w:rPr>
        <w:t xml:space="preserve">athematics EOC assessments for growth calculations. </w:t>
      </w:r>
    </w:p>
    <w:p w14:paraId="31F3AA15" w14:textId="7750C414" w:rsidR="00A20D7F" w:rsidRPr="001427AF" w:rsidRDefault="00A20D7F" w:rsidP="00010604">
      <w:pPr>
        <w:pStyle w:val="Default"/>
        <w:numPr>
          <w:ilvl w:val="0"/>
          <w:numId w:val="3"/>
        </w:numPr>
        <w:ind w:left="360"/>
        <w:contextualSpacing/>
        <w:rPr>
          <w:rFonts w:ascii="Arial" w:hAnsi="Arial" w:cs="Arial"/>
        </w:rPr>
      </w:pPr>
      <w:r w:rsidRPr="001427AF">
        <w:rPr>
          <w:rFonts w:ascii="Arial" w:hAnsi="Arial" w:cs="Arial"/>
        </w:rPr>
        <w:t xml:space="preserve">EOG and EOC </w:t>
      </w:r>
      <w:r w:rsidR="00FD0933" w:rsidRPr="001427AF">
        <w:rPr>
          <w:rFonts w:ascii="Arial" w:hAnsi="Arial" w:cs="Arial"/>
        </w:rPr>
        <w:t>m</w:t>
      </w:r>
      <w:r w:rsidRPr="001427AF">
        <w:rPr>
          <w:rFonts w:ascii="Arial" w:hAnsi="Arial" w:cs="Arial"/>
        </w:rPr>
        <w:t xml:space="preserve">athematics assessments taken in the current accountability year are used in school accountability growth calculations. Some assessments are included in growth that may not be included in other accountability measures like proficiency, participation, or long-term goal calculations. For example, students who take NC Math 1 in grade </w:t>
      </w:r>
      <w:r w:rsidR="00CC4150" w:rsidRPr="001427AF">
        <w:rPr>
          <w:rFonts w:ascii="Arial" w:hAnsi="Arial" w:cs="Arial"/>
        </w:rPr>
        <w:t>7</w:t>
      </w:r>
      <w:r w:rsidRPr="001427AF">
        <w:rPr>
          <w:rFonts w:ascii="Arial" w:hAnsi="Arial" w:cs="Arial"/>
        </w:rPr>
        <w:t xml:space="preserve"> will have their NC Math 1 EOC score used when the student is in grade </w:t>
      </w:r>
      <w:r w:rsidR="00A75708" w:rsidRPr="001427AF">
        <w:rPr>
          <w:rFonts w:ascii="Arial" w:hAnsi="Arial" w:cs="Arial"/>
        </w:rPr>
        <w:t>8</w:t>
      </w:r>
      <w:r w:rsidRPr="001427AF">
        <w:rPr>
          <w:rFonts w:ascii="Arial" w:hAnsi="Arial" w:cs="Arial"/>
        </w:rPr>
        <w:t xml:space="preserve"> for proficiency, participation, and long-term goals. This student’s NC Math 1 score will be included in the growth calculation for the year the student was in grade </w:t>
      </w:r>
      <w:r w:rsidR="00A70D70" w:rsidRPr="001427AF">
        <w:rPr>
          <w:rFonts w:ascii="Arial" w:hAnsi="Arial" w:cs="Arial"/>
        </w:rPr>
        <w:t>7</w:t>
      </w:r>
      <w:r w:rsidRPr="001427AF">
        <w:rPr>
          <w:rFonts w:ascii="Arial" w:hAnsi="Arial" w:cs="Arial"/>
        </w:rPr>
        <w:t xml:space="preserve">. </w:t>
      </w:r>
    </w:p>
    <w:p w14:paraId="6BD0ACEF" w14:textId="5B87A0D3" w:rsidR="00A20D7F" w:rsidRPr="001427AF" w:rsidRDefault="00A20D7F" w:rsidP="00010604">
      <w:pPr>
        <w:pStyle w:val="Default"/>
        <w:numPr>
          <w:ilvl w:val="0"/>
          <w:numId w:val="3"/>
        </w:numPr>
        <w:ind w:left="360"/>
        <w:contextualSpacing/>
        <w:rPr>
          <w:rFonts w:ascii="Arial" w:hAnsi="Arial" w:cs="Arial"/>
        </w:rPr>
      </w:pPr>
      <w:r w:rsidRPr="001427AF">
        <w:rPr>
          <w:rFonts w:ascii="Arial" w:hAnsi="Arial" w:cs="Arial"/>
        </w:rPr>
        <w:t xml:space="preserve">Only NC Math 3 EOC assessments of students on the accelerated pathway (i.e., took NC Math 1 prior to grade </w:t>
      </w:r>
      <w:r w:rsidR="00835960" w:rsidRPr="001427AF">
        <w:rPr>
          <w:rFonts w:ascii="Arial" w:hAnsi="Arial" w:cs="Arial"/>
        </w:rPr>
        <w:t>9</w:t>
      </w:r>
      <w:r w:rsidRPr="001427AF">
        <w:rPr>
          <w:rFonts w:ascii="Arial" w:hAnsi="Arial" w:cs="Arial"/>
        </w:rPr>
        <w:t xml:space="preserve">) are used in School Accountability Growth calculations. All NC Math 3 EOC assessments are used for educator growth calculations. </w:t>
      </w:r>
    </w:p>
    <w:p w14:paraId="3F874DB4" w14:textId="77777777" w:rsidR="00A20D7F" w:rsidRPr="001427AF" w:rsidRDefault="00A20D7F" w:rsidP="00010604">
      <w:pPr>
        <w:pStyle w:val="Default"/>
        <w:numPr>
          <w:ilvl w:val="0"/>
          <w:numId w:val="3"/>
        </w:numPr>
        <w:ind w:left="360"/>
        <w:contextualSpacing/>
        <w:rPr>
          <w:rFonts w:ascii="Arial" w:hAnsi="Arial" w:cs="Arial"/>
        </w:rPr>
      </w:pPr>
      <w:r w:rsidRPr="001427AF">
        <w:rPr>
          <w:rFonts w:ascii="Arial" w:hAnsi="Arial" w:cs="Arial"/>
        </w:rPr>
        <w:t xml:space="preserve">Subgroups receive a growth score for inclusion in the subgroup school performance grade. </w:t>
      </w:r>
    </w:p>
    <w:p w14:paraId="703FF004" w14:textId="77777777" w:rsidR="006A6C40" w:rsidRPr="001427AF" w:rsidRDefault="006A6C40" w:rsidP="006A6C40">
      <w:pPr>
        <w:pStyle w:val="Default"/>
        <w:numPr>
          <w:ilvl w:val="0"/>
          <w:numId w:val="3"/>
        </w:numPr>
        <w:ind w:left="360"/>
        <w:contextualSpacing/>
        <w:rPr>
          <w:rFonts w:ascii="Arial" w:hAnsi="Arial" w:cs="Arial"/>
        </w:rPr>
      </w:pPr>
      <w:r w:rsidRPr="001427AF">
        <w:rPr>
          <w:rFonts w:ascii="Arial" w:hAnsi="Arial" w:cs="Arial"/>
        </w:rPr>
        <w:t xml:space="preserve">A growth index is only used for accountability calculations if there are a total of thirty students included in the growth calculation for the school or subgroup. </w:t>
      </w:r>
    </w:p>
    <w:p w14:paraId="5FE7B4AD" w14:textId="77777777" w:rsidR="006A6C40" w:rsidRPr="001427AF" w:rsidRDefault="006A6C40" w:rsidP="006A6C40">
      <w:pPr>
        <w:pStyle w:val="Default"/>
        <w:numPr>
          <w:ilvl w:val="1"/>
          <w:numId w:val="3"/>
        </w:numPr>
        <w:contextualSpacing/>
        <w:rPr>
          <w:rFonts w:ascii="Arial" w:hAnsi="Arial" w:cs="Arial"/>
        </w:rPr>
      </w:pPr>
      <w:r w:rsidRPr="001427AF">
        <w:rPr>
          <w:rFonts w:ascii="Arial" w:hAnsi="Arial" w:cs="Arial"/>
        </w:rPr>
        <w:t xml:space="preserve">In addition, there must be enough students in each grade level and subject to calculate growth. </w:t>
      </w:r>
    </w:p>
    <w:p w14:paraId="570B27FD" w14:textId="1B3EE0E5" w:rsidR="006A6C40" w:rsidRPr="001427AF" w:rsidRDefault="006A6C40" w:rsidP="006A6C40">
      <w:pPr>
        <w:pStyle w:val="Default"/>
        <w:numPr>
          <w:ilvl w:val="2"/>
          <w:numId w:val="3"/>
        </w:numPr>
        <w:contextualSpacing/>
        <w:rPr>
          <w:rFonts w:ascii="Arial" w:hAnsi="Arial" w:cs="Arial"/>
        </w:rPr>
      </w:pPr>
      <w:r w:rsidRPr="001427AF">
        <w:rPr>
          <w:rFonts w:ascii="Arial" w:hAnsi="Arial" w:cs="Arial"/>
        </w:rPr>
        <w:t xml:space="preserve">For students </w:t>
      </w:r>
      <w:r w:rsidR="0095693B">
        <w:rPr>
          <w:rFonts w:ascii="Arial" w:hAnsi="Arial" w:cs="Arial"/>
        </w:rPr>
        <w:t xml:space="preserve">who </w:t>
      </w:r>
      <w:r w:rsidRPr="001427AF">
        <w:rPr>
          <w:rFonts w:ascii="Arial" w:hAnsi="Arial" w:cs="Arial"/>
        </w:rPr>
        <w:t xml:space="preserve">scored using the EVAAS Gain Model (grades 3–7 reading, 4–7 math) at least six students are needed in the grade/subject/year for SAS to calculate growth. </w:t>
      </w:r>
    </w:p>
    <w:p w14:paraId="6209F843" w14:textId="71DF519C" w:rsidR="006A6C40" w:rsidRPr="001427AF" w:rsidRDefault="006A6C40" w:rsidP="006A6C40">
      <w:pPr>
        <w:pStyle w:val="Default"/>
        <w:numPr>
          <w:ilvl w:val="2"/>
          <w:numId w:val="3"/>
        </w:numPr>
        <w:contextualSpacing/>
        <w:rPr>
          <w:rFonts w:ascii="Arial" w:hAnsi="Arial" w:cs="Arial"/>
        </w:rPr>
      </w:pPr>
      <w:r w:rsidRPr="001427AF">
        <w:rPr>
          <w:rFonts w:ascii="Arial" w:hAnsi="Arial" w:cs="Arial"/>
        </w:rPr>
        <w:t xml:space="preserve">For students </w:t>
      </w:r>
      <w:r w:rsidR="0095693B">
        <w:rPr>
          <w:rFonts w:ascii="Arial" w:hAnsi="Arial" w:cs="Arial"/>
        </w:rPr>
        <w:t xml:space="preserve">who </w:t>
      </w:r>
      <w:r w:rsidRPr="001427AF">
        <w:rPr>
          <w:rFonts w:ascii="Arial" w:hAnsi="Arial" w:cs="Arial"/>
        </w:rPr>
        <w:t>scored using the EVAAS Predictive Model (grade 8 reading and math, all EOC subjects, and 5 &amp; 8 science) at least ten students are needed in the grade/subject/year for SAS to calculate growth.</w:t>
      </w:r>
    </w:p>
    <w:p w14:paraId="6C058A7B" w14:textId="1E4BF82D" w:rsidR="009C77A7" w:rsidRPr="001427AF" w:rsidRDefault="00686FD6" w:rsidP="00CA5853">
      <w:pPr>
        <w:pStyle w:val="Default"/>
        <w:numPr>
          <w:ilvl w:val="0"/>
          <w:numId w:val="145"/>
        </w:numPr>
        <w:contextualSpacing/>
        <w:rPr>
          <w:rFonts w:ascii="Arial" w:hAnsi="Arial" w:cs="Arial"/>
        </w:rPr>
      </w:pPr>
      <w:r w:rsidRPr="00907EDC">
        <w:rPr>
          <w:rFonts w:ascii="Arial" w:hAnsi="Arial" w:cs="Arial"/>
        </w:rPr>
        <w:lastRenderedPageBreak/>
        <w:t xml:space="preserve">Students who score below Level 3 on an EOG, EOC, or NCEXTEND1 assessment in the current school year and obtain a higher score </w:t>
      </w:r>
      <w:r w:rsidR="00077901">
        <w:rPr>
          <w:rFonts w:ascii="Arial" w:hAnsi="Arial" w:cs="Arial"/>
        </w:rPr>
        <w:t xml:space="preserve">when </w:t>
      </w:r>
      <w:r w:rsidR="00F532FD" w:rsidRPr="0005115A">
        <w:rPr>
          <w:rFonts w:ascii="Arial" w:hAnsi="Arial" w:cs="Arial"/>
        </w:rPr>
        <w:t>retesting</w:t>
      </w:r>
      <w:r w:rsidRPr="00907EDC">
        <w:rPr>
          <w:rFonts w:ascii="Arial" w:hAnsi="Arial" w:cs="Arial"/>
        </w:rPr>
        <w:t xml:space="preserve"> prior to the end of the accountability year, will have </w:t>
      </w:r>
      <w:proofErr w:type="gramStart"/>
      <w:r w:rsidRPr="00907EDC">
        <w:rPr>
          <w:rFonts w:ascii="Arial" w:hAnsi="Arial" w:cs="Arial"/>
        </w:rPr>
        <w:t>the</w:t>
      </w:r>
      <w:proofErr w:type="gramEnd"/>
      <w:r w:rsidRPr="00907EDC">
        <w:rPr>
          <w:rFonts w:ascii="Arial" w:hAnsi="Arial" w:cs="Arial"/>
        </w:rPr>
        <w:t xml:space="preserve"> higher score replace the lower score in growth calculations</w:t>
      </w:r>
      <w:r w:rsidR="00284A8F">
        <w:rPr>
          <w:rFonts w:ascii="Arial" w:hAnsi="Arial" w:cs="Arial"/>
        </w:rPr>
        <w:t xml:space="preserve"> (see section 2.10 for more information)</w:t>
      </w:r>
      <w:r w:rsidRPr="00907EDC">
        <w:rPr>
          <w:rFonts w:ascii="Arial" w:hAnsi="Arial" w:cs="Arial"/>
        </w:rPr>
        <w:t xml:space="preserve">. </w:t>
      </w:r>
      <w:r w:rsidR="009C77A7" w:rsidRPr="001427AF">
        <w:rPr>
          <w:rFonts w:ascii="Arial" w:hAnsi="Arial" w:cs="Arial"/>
        </w:rPr>
        <w:t xml:space="preserve">Summer school (EOC) scores are not used for current year growth calculations. However, summer school scores can be used as historical scores to determine future growth calculations. </w:t>
      </w:r>
    </w:p>
    <w:p w14:paraId="2B9E8BDE" w14:textId="77777777" w:rsidR="009C77A7" w:rsidRPr="001427AF" w:rsidRDefault="009C77A7" w:rsidP="00CA5853">
      <w:pPr>
        <w:pStyle w:val="Default"/>
        <w:numPr>
          <w:ilvl w:val="0"/>
          <w:numId w:val="145"/>
        </w:numPr>
        <w:contextualSpacing/>
        <w:rPr>
          <w:rFonts w:ascii="Arial" w:hAnsi="Arial" w:cs="Arial"/>
          <w:color w:val="auto"/>
        </w:rPr>
      </w:pPr>
      <w:r w:rsidRPr="001427AF">
        <w:rPr>
          <w:rFonts w:ascii="Arial" w:hAnsi="Arial" w:cs="Arial"/>
        </w:rPr>
        <w:t xml:space="preserve">Students are excluded from the Gain or Predictive Model if in their first year in US schools or if the student does not meet partial enrollment. However, these scores are used for future growth calculations. </w:t>
      </w:r>
    </w:p>
    <w:p w14:paraId="36730690" w14:textId="410E940D" w:rsidR="00A20D7F" w:rsidRPr="001427AF" w:rsidRDefault="00A20D7F" w:rsidP="00CA5853">
      <w:pPr>
        <w:pStyle w:val="Default"/>
        <w:numPr>
          <w:ilvl w:val="0"/>
          <w:numId w:val="145"/>
        </w:numPr>
        <w:contextualSpacing/>
        <w:rPr>
          <w:rFonts w:ascii="Arial" w:hAnsi="Arial" w:cs="Arial"/>
        </w:rPr>
      </w:pPr>
      <w:r w:rsidRPr="001427AF">
        <w:rPr>
          <w:rFonts w:ascii="Arial" w:hAnsi="Arial" w:cs="Arial"/>
        </w:rPr>
        <w:t>If two valid scores are received in the same accountability year for a student enrolled in a course that requires an EOC (i.e., student took the assessment in both the fall and spring semesters</w:t>
      </w:r>
      <w:r w:rsidR="00EC4B30">
        <w:rPr>
          <w:rFonts w:ascii="Arial" w:hAnsi="Arial" w:cs="Arial"/>
        </w:rPr>
        <w:t xml:space="preserve">; student </w:t>
      </w:r>
      <w:r w:rsidR="006E3462">
        <w:rPr>
          <w:rFonts w:ascii="Arial" w:hAnsi="Arial" w:cs="Arial"/>
        </w:rPr>
        <w:t>repeated course for credit</w:t>
      </w:r>
      <w:r w:rsidRPr="001427AF">
        <w:rPr>
          <w:rFonts w:ascii="Arial" w:hAnsi="Arial" w:cs="Arial"/>
        </w:rPr>
        <w:t xml:space="preserve">), both scores are included in </w:t>
      </w:r>
      <w:r w:rsidR="00E746E4" w:rsidRPr="001427AF">
        <w:rPr>
          <w:rFonts w:ascii="Arial" w:hAnsi="Arial" w:cs="Arial"/>
        </w:rPr>
        <w:t>g</w:t>
      </w:r>
      <w:r w:rsidRPr="001427AF">
        <w:rPr>
          <w:rFonts w:ascii="Arial" w:hAnsi="Arial" w:cs="Arial"/>
        </w:rPr>
        <w:t xml:space="preserve">rowth calculations. </w:t>
      </w:r>
    </w:p>
    <w:p w14:paraId="75CF94BB" w14:textId="77777777" w:rsidR="00A20D7F" w:rsidRPr="001427AF" w:rsidRDefault="00A20D7F" w:rsidP="00CA5853">
      <w:pPr>
        <w:pStyle w:val="Default"/>
        <w:numPr>
          <w:ilvl w:val="0"/>
          <w:numId w:val="145"/>
        </w:numPr>
        <w:contextualSpacing/>
        <w:rPr>
          <w:rFonts w:ascii="Arial" w:hAnsi="Arial" w:cs="Arial"/>
        </w:rPr>
      </w:pPr>
      <w:r w:rsidRPr="001427AF">
        <w:rPr>
          <w:rFonts w:ascii="Arial" w:hAnsi="Arial" w:cs="Arial"/>
        </w:rPr>
        <w:t xml:space="preserve">If a school or subgroup achieves a composite growth index value below -2.0, the growth expectation was not met. </w:t>
      </w:r>
    </w:p>
    <w:p w14:paraId="3789C2A5" w14:textId="77777777" w:rsidR="00A20D7F" w:rsidRPr="001427AF" w:rsidRDefault="00A20D7F" w:rsidP="00CA5853">
      <w:pPr>
        <w:pStyle w:val="Default"/>
        <w:numPr>
          <w:ilvl w:val="0"/>
          <w:numId w:val="145"/>
        </w:numPr>
        <w:contextualSpacing/>
        <w:rPr>
          <w:rFonts w:ascii="Arial" w:hAnsi="Arial" w:cs="Arial"/>
        </w:rPr>
      </w:pPr>
      <w:r w:rsidRPr="001427AF">
        <w:rPr>
          <w:rFonts w:ascii="Arial" w:hAnsi="Arial" w:cs="Arial"/>
        </w:rPr>
        <w:t xml:space="preserve">If a school or subgroup achieves a composite growth index value of -2.0 to 1.99, the growth expectation was met. </w:t>
      </w:r>
    </w:p>
    <w:p w14:paraId="3AFCFF65" w14:textId="77777777" w:rsidR="00A20D7F" w:rsidRPr="001427AF" w:rsidRDefault="00A20D7F" w:rsidP="00CA5853">
      <w:pPr>
        <w:pStyle w:val="Default"/>
        <w:numPr>
          <w:ilvl w:val="0"/>
          <w:numId w:val="145"/>
        </w:numPr>
        <w:contextualSpacing/>
        <w:rPr>
          <w:rFonts w:ascii="Arial" w:hAnsi="Arial" w:cs="Arial"/>
        </w:rPr>
      </w:pPr>
      <w:r w:rsidRPr="001427AF">
        <w:rPr>
          <w:rFonts w:ascii="Arial" w:hAnsi="Arial" w:cs="Arial"/>
        </w:rPr>
        <w:t xml:space="preserve">If a school or subgroup achieves a composite growth index value equal to or above 2.0, the growth expectation was exceeded. </w:t>
      </w:r>
    </w:p>
    <w:p w14:paraId="3D83C620" w14:textId="77777777" w:rsidR="003D49A0" w:rsidRPr="001427AF" w:rsidRDefault="003D49A0" w:rsidP="003D49A0">
      <w:pPr>
        <w:pStyle w:val="Default"/>
        <w:contextualSpacing/>
        <w:rPr>
          <w:rFonts w:ascii="Arial" w:hAnsi="Arial" w:cs="Arial"/>
          <w:b/>
        </w:rPr>
      </w:pPr>
    </w:p>
    <w:p w14:paraId="65D8F031" w14:textId="2EC763E4" w:rsidR="00980BAF" w:rsidRPr="001427AF" w:rsidRDefault="00980BAF" w:rsidP="001514C3">
      <w:pPr>
        <w:pStyle w:val="Heading2"/>
      </w:pPr>
      <w:bookmarkStart w:id="250" w:name="_Toc135812500"/>
      <w:bookmarkStart w:id="251" w:name="_Toc136418881"/>
      <w:bookmarkStart w:id="252" w:name="_Toc136419137"/>
      <w:bookmarkStart w:id="253" w:name="_Toc225404947"/>
      <w:bookmarkStart w:id="254" w:name="_Toc135812499"/>
      <w:bookmarkStart w:id="255" w:name="_Toc136418879"/>
      <w:bookmarkStart w:id="256" w:name="_Toc136419135"/>
      <w:r w:rsidRPr="001427AF">
        <w:t xml:space="preserve">School Performance Grades for Reading and </w:t>
      </w:r>
      <w:bookmarkEnd w:id="250"/>
      <w:bookmarkEnd w:id="251"/>
      <w:bookmarkEnd w:id="252"/>
      <w:r w:rsidRPr="001427AF">
        <w:t>Math</w:t>
      </w:r>
      <w:r w:rsidR="00D74BDE" w:rsidRPr="001427AF">
        <w:t>ematics</w:t>
      </w:r>
      <w:bookmarkEnd w:id="253"/>
    </w:p>
    <w:p w14:paraId="4E836742" w14:textId="0E8E1D36" w:rsidR="00980BAF" w:rsidRPr="001427AF" w:rsidRDefault="00980BAF" w:rsidP="00980BAF">
      <w:pPr>
        <w:pStyle w:val="xmsonormal"/>
        <w:rPr>
          <w:rFonts w:ascii="Arial" w:eastAsia="Times New Roman" w:hAnsi="Arial" w:cs="Arial"/>
          <w:color w:val="000000" w:themeColor="text1"/>
          <w:sz w:val="24"/>
          <w:szCs w:val="24"/>
        </w:rPr>
      </w:pPr>
      <w:r w:rsidRPr="001427AF">
        <w:rPr>
          <w:rFonts w:ascii="Arial" w:eastAsia="Times New Roman" w:hAnsi="Arial" w:cs="Arial"/>
          <w:color w:val="000000" w:themeColor="text1"/>
          <w:sz w:val="24"/>
          <w:szCs w:val="24"/>
        </w:rPr>
        <w:t xml:space="preserve">SPG </w:t>
      </w:r>
      <w:r w:rsidR="00CA56A5" w:rsidRPr="001427AF">
        <w:rPr>
          <w:rFonts w:ascii="Arial" w:eastAsia="Times New Roman" w:hAnsi="Arial" w:cs="Arial"/>
          <w:color w:val="000000" w:themeColor="text1"/>
          <w:sz w:val="24"/>
          <w:szCs w:val="24"/>
        </w:rPr>
        <w:t>reading and</w:t>
      </w:r>
      <w:r w:rsidRPr="001427AF">
        <w:rPr>
          <w:rFonts w:ascii="Arial" w:eastAsia="Times New Roman" w:hAnsi="Arial" w:cs="Arial"/>
          <w:color w:val="000000" w:themeColor="text1"/>
          <w:sz w:val="24"/>
          <w:szCs w:val="24"/>
        </w:rPr>
        <w:t xml:space="preserve"> math</w:t>
      </w:r>
      <w:r w:rsidR="00D74BDE" w:rsidRPr="001427AF">
        <w:rPr>
          <w:rFonts w:ascii="Arial" w:eastAsia="Times New Roman" w:hAnsi="Arial" w:cs="Arial"/>
          <w:color w:val="000000" w:themeColor="text1"/>
          <w:sz w:val="24"/>
          <w:szCs w:val="24"/>
        </w:rPr>
        <w:t>ematics</w:t>
      </w:r>
      <w:r w:rsidRPr="001427AF">
        <w:rPr>
          <w:rFonts w:ascii="Arial" w:eastAsia="Times New Roman" w:hAnsi="Arial" w:cs="Arial"/>
          <w:color w:val="000000" w:themeColor="text1"/>
          <w:sz w:val="24"/>
          <w:szCs w:val="24"/>
        </w:rPr>
        <w:t xml:space="preserve"> grades are required to be reported for each school. These use only test scores from students in grades </w:t>
      </w:r>
      <w:r w:rsidR="00FE2681" w:rsidRPr="001427AF">
        <w:rPr>
          <w:rFonts w:ascii="Arial" w:eastAsia="Times New Roman" w:hAnsi="Arial" w:cs="Arial"/>
          <w:color w:val="000000" w:themeColor="text1"/>
          <w:sz w:val="24"/>
          <w:szCs w:val="24"/>
        </w:rPr>
        <w:t>3–8</w:t>
      </w:r>
      <w:r w:rsidRPr="001427AF">
        <w:rPr>
          <w:rFonts w:ascii="Arial" w:eastAsia="Times New Roman" w:hAnsi="Arial" w:cs="Arial"/>
          <w:color w:val="000000" w:themeColor="text1"/>
          <w:sz w:val="24"/>
          <w:szCs w:val="24"/>
        </w:rPr>
        <w:t xml:space="preserve">. This includes students who took NC Math 1 in grade </w:t>
      </w:r>
      <w:r w:rsidR="00B41135" w:rsidRPr="001427AF">
        <w:rPr>
          <w:rFonts w:ascii="Arial" w:eastAsia="Times New Roman" w:hAnsi="Arial" w:cs="Arial"/>
          <w:color w:val="000000" w:themeColor="text1"/>
          <w:sz w:val="24"/>
          <w:szCs w:val="24"/>
        </w:rPr>
        <w:t>8</w:t>
      </w:r>
      <w:r w:rsidRPr="001427AF">
        <w:rPr>
          <w:rFonts w:ascii="Arial" w:eastAsia="Times New Roman" w:hAnsi="Arial" w:cs="Arial"/>
          <w:color w:val="000000" w:themeColor="text1"/>
          <w:sz w:val="24"/>
          <w:szCs w:val="24"/>
        </w:rPr>
        <w:t xml:space="preserve"> or earlier. </w:t>
      </w:r>
      <w:r w:rsidR="00331400" w:rsidRPr="001427AF">
        <w:rPr>
          <w:rFonts w:ascii="Arial" w:eastAsia="Times New Roman" w:hAnsi="Arial" w:cs="Arial"/>
          <w:color w:val="000000" w:themeColor="text1"/>
          <w:sz w:val="24"/>
          <w:szCs w:val="24"/>
        </w:rPr>
        <w:t>Growth for mathematics</w:t>
      </w:r>
      <w:r w:rsidR="006C4E18" w:rsidRPr="001427AF">
        <w:rPr>
          <w:rFonts w:ascii="Arial" w:eastAsia="Times New Roman" w:hAnsi="Arial" w:cs="Arial"/>
          <w:color w:val="000000" w:themeColor="text1"/>
          <w:sz w:val="24"/>
          <w:szCs w:val="24"/>
        </w:rPr>
        <w:t xml:space="preserve"> includes only</w:t>
      </w:r>
      <w:r w:rsidR="00331400" w:rsidRPr="001427AF">
        <w:rPr>
          <w:rFonts w:ascii="Arial" w:eastAsia="Times New Roman" w:hAnsi="Arial" w:cs="Arial"/>
          <w:color w:val="000000" w:themeColor="text1"/>
          <w:sz w:val="24"/>
          <w:szCs w:val="24"/>
        </w:rPr>
        <w:t xml:space="preserve"> grades </w:t>
      </w:r>
      <w:r w:rsidR="00974578" w:rsidRPr="001427AF">
        <w:rPr>
          <w:rFonts w:ascii="Arial" w:eastAsia="Times New Roman" w:hAnsi="Arial" w:cs="Arial"/>
          <w:color w:val="000000" w:themeColor="text1"/>
          <w:sz w:val="24"/>
          <w:szCs w:val="24"/>
        </w:rPr>
        <w:t>4–8</w:t>
      </w:r>
      <w:r w:rsidR="00AE7B24" w:rsidRPr="001427AF">
        <w:rPr>
          <w:rFonts w:ascii="Arial" w:eastAsia="Times New Roman" w:hAnsi="Arial" w:cs="Arial"/>
          <w:color w:val="000000" w:themeColor="text1"/>
          <w:sz w:val="24"/>
          <w:szCs w:val="24"/>
        </w:rPr>
        <w:t xml:space="preserve">, including students who took NC Math 1 in grade </w:t>
      </w:r>
      <w:r w:rsidR="00D57C4C" w:rsidRPr="001427AF">
        <w:rPr>
          <w:rFonts w:ascii="Arial" w:eastAsia="Times New Roman" w:hAnsi="Arial" w:cs="Arial"/>
          <w:color w:val="000000" w:themeColor="text1"/>
          <w:sz w:val="24"/>
          <w:szCs w:val="24"/>
        </w:rPr>
        <w:t>8</w:t>
      </w:r>
      <w:r w:rsidR="00AE7B24" w:rsidRPr="001427AF">
        <w:rPr>
          <w:rFonts w:ascii="Arial" w:eastAsia="Times New Roman" w:hAnsi="Arial" w:cs="Arial"/>
          <w:color w:val="000000" w:themeColor="text1"/>
          <w:sz w:val="24"/>
          <w:szCs w:val="24"/>
        </w:rPr>
        <w:t xml:space="preserve"> or earlier.</w:t>
      </w:r>
      <w:r w:rsidR="002357EE" w:rsidRPr="001427AF">
        <w:rPr>
          <w:rFonts w:ascii="Arial" w:eastAsia="Times New Roman" w:hAnsi="Arial" w:cs="Arial"/>
          <w:color w:val="000000" w:themeColor="text1"/>
          <w:sz w:val="24"/>
          <w:szCs w:val="24"/>
        </w:rPr>
        <w:t xml:space="preserve"> </w:t>
      </w:r>
    </w:p>
    <w:p w14:paraId="7B5061A1" w14:textId="77777777" w:rsidR="00980BAF" w:rsidRPr="001427AF" w:rsidRDefault="00980BAF" w:rsidP="00980BAF">
      <w:pPr>
        <w:pStyle w:val="xmsonormal"/>
        <w:rPr>
          <w:rFonts w:ascii="Arial" w:eastAsia="Times New Roman" w:hAnsi="Arial" w:cs="Arial"/>
          <w:color w:val="000000" w:themeColor="text1"/>
          <w:sz w:val="24"/>
          <w:szCs w:val="24"/>
        </w:rPr>
      </w:pPr>
    </w:p>
    <w:p w14:paraId="3F35C601" w14:textId="08E5024C" w:rsidR="00010CBF" w:rsidRPr="001427AF" w:rsidRDefault="00010CBF" w:rsidP="001514C3">
      <w:pPr>
        <w:pStyle w:val="Heading2"/>
      </w:pPr>
      <w:bookmarkStart w:id="257" w:name="_Toc225404948"/>
      <w:r w:rsidRPr="001427AF">
        <w:t>School Performance Grades for K–12 Schools</w:t>
      </w:r>
      <w:bookmarkEnd w:id="254"/>
      <w:bookmarkEnd w:id="255"/>
      <w:bookmarkEnd w:id="256"/>
      <w:bookmarkEnd w:id="257"/>
    </w:p>
    <w:p w14:paraId="215FAB7D" w14:textId="77777777" w:rsidR="004900F0" w:rsidRPr="001427AF" w:rsidRDefault="004900F0" w:rsidP="004900F0">
      <w:pPr>
        <w:pStyle w:val="xmsonormal"/>
        <w:rPr>
          <w:rFonts w:ascii="Arial" w:eastAsia="Times New Roman" w:hAnsi="Arial" w:cs="Arial"/>
          <w:color w:val="000000" w:themeColor="text1"/>
          <w:sz w:val="24"/>
          <w:szCs w:val="24"/>
        </w:rPr>
      </w:pPr>
      <w:r w:rsidRPr="001427AF">
        <w:rPr>
          <w:rFonts w:ascii="Arial" w:eastAsia="Times New Roman" w:hAnsi="Arial" w:cs="Arial"/>
          <w:color w:val="000000" w:themeColor="text1"/>
          <w:sz w:val="24"/>
          <w:szCs w:val="24"/>
        </w:rPr>
        <w:t xml:space="preserve">The overall SPG for K–12 schools </w:t>
      </w:r>
      <w:proofErr w:type="gramStart"/>
      <w:r w:rsidRPr="001427AF">
        <w:rPr>
          <w:rFonts w:ascii="Arial" w:eastAsia="Times New Roman" w:hAnsi="Arial" w:cs="Arial"/>
          <w:color w:val="000000" w:themeColor="text1"/>
          <w:sz w:val="24"/>
          <w:szCs w:val="24"/>
        </w:rPr>
        <w:t>is</w:t>
      </w:r>
      <w:proofErr w:type="gramEnd"/>
      <w:r w:rsidRPr="001427AF">
        <w:rPr>
          <w:rFonts w:ascii="Arial" w:eastAsia="Times New Roman" w:hAnsi="Arial" w:cs="Arial"/>
          <w:color w:val="000000" w:themeColor="text1"/>
          <w:sz w:val="24"/>
          <w:szCs w:val="24"/>
        </w:rPr>
        <w:t xml:space="preserve"> calculated using all data available at the school using the same methods described in the above sections. The academic achievement indicator includes all EOG reading and mathematics as well as EOC English II and NC Math 1 or NC Math 3 (depending on the math pathway). The minimum-N is thirty students which is a combined student total for all subjects in the academic achievement indicator. </w:t>
      </w:r>
    </w:p>
    <w:p w14:paraId="6E42AD94" w14:textId="77777777" w:rsidR="004900F0" w:rsidRPr="001427AF" w:rsidRDefault="004900F0" w:rsidP="004900F0">
      <w:pPr>
        <w:pStyle w:val="xmsonormal"/>
        <w:rPr>
          <w:rFonts w:ascii="Arial" w:eastAsia="Times New Roman" w:hAnsi="Arial" w:cs="Arial"/>
          <w:color w:val="000000" w:themeColor="text1"/>
          <w:sz w:val="24"/>
          <w:szCs w:val="24"/>
        </w:rPr>
      </w:pPr>
    </w:p>
    <w:p w14:paraId="34776B1E" w14:textId="0F09F86F" w:rsidR="005D470A" w:rsidRPr="001427AF" w:rsidRDefault="004900F0" w:rsidP="004900F0">
      <w:pPr>
        <w:pStyle w:val="xmsonormal"/>
        <w:rPr>
          <w:rFonts w:ascii="Arial" w:eastAsia="Times New Roman" w:hAnsi="Arial" w:cs="Arial"/>
          <w:color w:val="000000" w:themeColor="text1"/>
          <w:sz w:val="24"/>
          <w:szCs w:val="24"/>
        </w:rPr>
      </w:pPr>
      <w:r w:rsidRPr="001427AF">
        <w:rPr>
          <w:rFonts w:ascii="Arial" w:eastAsia="Times New Roman" w:hAnsi="Arial" w:cs="Arial"/>
          <w:color w:val="000000" w:themeColor="text1"/>
          <w:sz w:val="24"/>
          <w:szCs w:val="24"/>
        </w:rPr>
        <w:t>The overall growth includes all EOG reading, mathematics, science, as well as EOC English II and NC Math 1 or NC Math 3. The reading and mathematics grades use only test scores from students in grades 3–8. This includes students who took NC Math 1 in grade 8 or earlier. Table 2.2.1 has an example of SPG calculations used for K–12 schools.</w:t>
      </w:r>
    </w:p>
    <w:p w14:paraId="013577EC" w14:textId="77777777" w:rsidR="004900F0" w:rsidRPr="001427AF" w:rsidRDefault="004900F0" w:rsidP="004900F0">
      <w:pPr>
        <w:pStyle w:val="xmsonormal"/>
        <w:rPr>
          <w:rFonts w:ascii="Arial" w:eastAsia="Times New Roman" w:hAnsi="Arial" w:cs="Arial"/>
          <w:color w:val="000000" w:themeColor="text1"/>
          <w:sz w:val="24"/>
          <w:szCs w:val="24"/>
        </w:rPr>
      </w:pPr>
    </w:p>
    <w:p w14:paraId="4BDA90F6" w14:textId="0AD72192" w:rsidR="003D49A0" w:rsidRPr="001427AF" w:rsidRDefault="003B6857" w:rsidP="001514C3">
      <w:pPr>
        <w:pStyle w:val="Heading2"/>
      </w:pPr>
      <w:bookmarkStart w:id="258" w:name="_Toc135812501"/>
      <w:bookmarkStart w:id="259" w:name="_Toc136418882"/>
      <w:bookmarkStart w:id="260" w:name="_Toc136419138"/>
      <w:bookmarkStart w:id="261" w:name="_Toc225404949"/>
      <w:r w:rsidRPr="001427AF">
        <w:t>Summary of Tests Used in Accountability</w:t>
      </w:r>
      <w:bookmarkEnd w:id="258"/>
      <w:bookmarkEnd w:id="259"/>
      <w:bookmarkEnd w:id="260"/>
      <w:bookmarkEnd w:id="261"/>
    </w:p>
    <w:p w14:paraId="470CE8D0" w14:textId="76E2ABAC" w:rsidR="00375B3E" w:rsidRPr="001427AF" w:rsidRDefault="00BD1766" w:rsidP="00DC4335">
      <w:pPr>
        <w:pStyle w:val="Default"/>
        <w:rPr>
          <w:rFonts w:ascii="Arial" w:hAnsi="Arial" w:cs="Arial"/>
        </w:rPr>
      </w:pPr>
      <w:r w:rsidRPr="001427AF">
        <w:rPr>
          <w:rFonts w:ascii="Arial" w:hAnsi="Arial" w:cs="Arial"/>
        </w:rPr>
        <w:t xml:space="preserve">For a </w:t>
      </w:r>
      <w:hyperlink r:id="rId18" w:history="1">
        <w:r w:rsidRPr="009E57A3">
          <w:rPr>
            <w:rStyle w:val="Hyperlink"/>
            <w:rFonts w:ascii="Arial" w:hAnsi="Arial" w:cs="Arial"/>
          </w:rPr>
          <w:t>list of tests</w:t>
        </w:r>
      </w:hyperlink>
      <w:r w:rsidRPr="001427AF">
        <w:rPr>
          <w:rFonts w:ascii="Arial" w:hAnsi="Arial" w:cs="Arial"/>
        </w:rPr>
        <w:t xml:space="preserve"> that are used in accountability calculations please </w:t>
      </w:r>
      <w:r w:rsidR="009E57A3">
        <w:rPr>
          <w:rFonts w:ascii="Arial" w:hAnsi="Arial" w:cs="Arial"/>
        </w:rPr>
        <w:t>use the attached link</w:t>
      </w:r>
      <w:r w:rsidRPr="001427AF">
        <w:rPr>
          <w:rFonts w:ascii="Arial" w:hAnsi="Arial" w:cs="Arial"/>
        </w:rPr>
        <w:t>.</w:t>
      </w:r>
    </w:p>
    <w:p w14:paraId="7C767156" w14:textId="77777777" w:rsidR="00DE647C" w:rsidRPr="001427AF" w:rsidRDefault="00DE647C" w:rsidP="00DC4335">
      <w:pPr>
        <w:pStyle w:val="Default"/>
        <w:rPr>
          <w:rFonts w:ascii="Arial" w:hAnsi="Arial" w:cs="Arial"/>
        </w:rPr>
        <w:sectPr w:rsidR="00DE647C" w:rsidRPr="001427AF" w:rsidSect="0000038D">
          <w:headerReference w:type="even" r:id="rId19"/>
          <w:headerReference w:type="default" r:id="rId20"/>
          <w:headerReference w:type="first" r:id="rId21"/>
          <w:footerReference w:type="first" r:id="rId22"/>
          <w:footnotePr>
            <w:pos w:val="beneathText"/>
          </w:footnotePr>
          <w:pgSz w:w="12240" w:h="15840"/>
          <w:pgMar w:top="1440" w:right="1440" w:bottom="1440" w:left="1440" w:header="720" w:footer="432" w:gutter="0"/>
          <w:pgNumType w:start="1"/>
          <w:cols w:space="720"/>
          <w:noEndnote/>
          <w:docGrid w:linePitch="326"/>
        </w:sectPr>
      </w:pPr>
    </w:p>
    <w:p w14:paraId="34F16C3E" w14:textId="3460A6E1" w:rsidR="00D3592A" w:rsidRPr="00F55537" w:rsidRDefault="002154D9" w:rsidP="00A70F13">
      <w:pPr>
        <w:pStyle w:val="Heading1"/>
        <w:rPr>
          <w:rStyle w:val="Emphasis"/>
          <w:caps w:val="0"/>
          <w:sz w:val="28"/>
        </w:rPr>
      </w:pPr>
      <w:bookmarkStart w:id="262" w:name="_Toc135812502"/>
      <w:bookmarkStart w:id="263" w:name="_Toc136418883"/>
      <w:bookmarkStart w:id="264" w:name="_Toc136419139"/>
      <w:bookmarkStart w:id="265" w:name="_Toc225404950"/>
      <w:r w:rsidRPr="00F55537">
        <w:rPr>
          <w:rStyle w:val="Emphasis"/>
          <w:caps w:val="0"/>
          <w:sz w:val="28"/>
        </w:rPr>
        <w:lastRenderedPageBreak/>
        <w:t>Calculation of School Performance Grades</w:t>
      </w:r>
      <w:bookmarkEnd w:id="262"/>
      <w:bookmarkEnd w:id="263"/>
      <w:bookmarkEnd w:id="264"/>
      <w:bookmarkEnd w:id="265"/>
      <w:r w:rsidR="0062218B" w:rsidRPr="00F55537">
        <w:rPr>
          <w:rStyle w:val="Emphasis"/>
          <w:caps w:val="0"/>
          <w:sz w:val="28"/>
        </w:rPr>
        <w:fldChar w:fldCharType="begin"/>
      </w:r>
      <w:r w:rsidR="0062218B" w:rsidRPr="00F55537">
        <w:instrText xml:space="preserve"> XE "</w:instrText>
      </w:r>
      <w:r w:rsidR="0062218B" w:rsidRPr="00F55537">
        <w:rPr>
          <w:rStyle w:val="Emphasis"/>
          <w:caps w:val="0"/>
          <w:sz w:val="28"/>
        </w:rPr>
        <w:instrText>Calculation of School Performance Grades</w:instrText>
      </w:r>
      <w:r w:rsidR="0062218B" w:rsidRPr="00F55537">
        <w:instrText xml:space="preserve">" </w:instrText>
      </w:r>
      <w:r w:rsidR="0062218B" w:rsidRPr="00F55537">
        <w:rPr>
          <w:rStyle w:val="Emphasis"/>
          <w:caps w:val="0"/>
          <w:sz w:val="28"/>
        </w:rPr>
        <w:fldChar w:fldCharType="end"/>
      </w:r>
    </w:p>
    <w:p w14:paraId="72CF82F6" w14:textId="77777777" w:rsidR="001A75F2" w:rsidRPr="001427AF" w:rsidRDefault="001A75F2" w:rsidP="00125190">
      <w:pPr>
        <w:rPr>
          <w:rFonts w:ascii="Arial" w:hAnsi="Arial" w:cs="Arial"/>
        </w:rPr>
      </w:pPr>
    </w:p>
    <w:p w14:paraId="49104591" w14:textId="65A16B35" w:rsidR="00E71965" w:rsidRPr="008337DF" w:rsidRDefault="00EF3551" w:rsidP="001514C3">
      <w:pPr>
        <w:pStyle w:val="Heading2"/>
      </w:pPr>
      <w:bookmarkStart w:id="266" w:name="_Toc135812503"/>
      <w:bookmarkStart w:id="267" w:name="_Toc136418884"/>
      <w:bookmarkStart w:id="268" w:name="_Toc136419140"/>
      <w:bookmarkStart w:id="269" w:name="_Toc225404951"/>
      <w:r w:rsidRPr="008337DF">
        <w:t xml:space="preserve">School </w:t>
      </w:r>
      <w:r w:rsidR="00E71965" w:rsidRPr="008337DF">
        <w:t>P</w:t>
      </w:r>
      <w:r w:rsidRPr="008337DF">
        <w:t xml:space="preserve">erformance </w:t>
      </w:r>
      <w:r w:rsidR="00E71965" w:rsidRPr="008337DF">
        <w:t>G</w:t>
      </w:r>
      <w:r w:rsidRPr="008337DF">
        <w:t xml:space="preserve">rades </w:t>
      </w:r>
      <w:r w:rsidR="00E71965" w:rsidRPr="008337DF">
        <w:t>O</w:t>
      </w:r>
      <w:r w:rsidRPr="008337DF">
        <w:t>verview</w:t>
      </w:r>
      <w:bookmarkEnd w:id="266"/>
      <w:bookmarkEnd w:id="267"/>
      <w:bookmarkEnd w:id="268"/>
      <w:bookmarkEnd w:id="269"/>
      <w:r w:rsidRPr="008337DF">
        <w:t xml:space="preserve"> </w:t>
      </w:r>
    </w:p>
    <w:p w14:paraId="3ED3248D" w14:textId="12C5BB78" w:rsidR="003E1393" w:rsidRPr="001427AF" w:rsidRDefault="009F1BFA" w:rsidP="009F1BFA">
      <w:pPr>
        <w:pStyle w:val="Default"/>
        <w:contextualSpacing/>
        <w:rPr>
          <w:rFonts w:ascii="Arial" w:hAnsi="Arial" w:cs="Arial"/>
        </w:rPr>
      </w:pPr>
      <w:r w:rsidRPr="001427AF">
        <w:rPr>
          <w:rFonts w:ascii="Arial" w:hAnsi="Arial" w:cs="Arial"/>
        </w:rPr>
        <w:t xml:space="preserve">School Performance Grades are based on each school’s achievement score (80%) and each school’s student academic growth score (20%). The total school performance score is converted to a 100-point scale and then used to determine a school performance grade of A, B, C, D, or F. The final grade is based on a 15-point scale: </w:t>
      </w:r>
    </w:p>
    <w:p w14:paraId="46B5A291" w14:textId="77777777" w:rsidR="006729D0" w:rsidRPr="001427AF" w:rsidRDefault="006729D0" w:rsidP="009F1BFA">
      <w:pPr>
        <w:pStyle w:val="Default"/>
        <w:contextualSpacing/>
        <w:rPr>
          <w:rFonts w:ascii="Arial" w:hAnsi="Arial" w:cs="Arial"/>
        </w:rPr>
      </w:pPr>
    </w:p>
    <w:p w14:paraId="15A3BEF6" w14:textId="0445B64B" w:rsidR="009F1BFA" w:rsidRPr="001427AF" w:rsidRDefault="009F1BFA" w:rsidP="00C96EB1">
      <w:pPr>
        <w:pStyle w:val="Default"/>
        <w:contextualSpacing/>
        <w:rPr>
          <w:rFonts w:ascii="Arial" w:hAnsi="Arial" w:cs="Arial"/>
        </w:rPr>
      </w:pPr>
      <w:r w:rsidRPr="001427AF">
        <w:rPr>
          <w:rFonts w:ascii="Arial" w:hAnsi="Arial" w:cs="Arial"/>
        </w:rPr>
        <w:t>A</w:t>
      </w:r>
      <w:r w:rsidR="003E1393" w:rsidRPr="001427AF">
        <w:rPr>
          <w:rFonts w:ascii="Arial" w:hAnsi="Arial" w:cs="Arial"/>
        </w:rPr>
        <w:t xml:space="preserve"> =</w:t>
      </w:r>
      <w:r w:rsidRPr="001427AF" w:rsidDel="003E1393">
        <w:rPr>
          <w:rFonts w:ascii="Arial" w:hAnsi="Arial" w:cs="Arial"/>
        </w:rPr>
        <w:t xml:space="preserve"> </w:t>
      </w:r>
      <w:r w:rsidRPr="001427AF">
        <w:rPr>
          <w:rFonts w:ascii="Arial" w:hAnsi="Arial" w:cs="Arial"/>
        </w:rPr>
        <w:t>85–100</w:t>
      </w:r>
      <w:r w:rsidRPr="001427AF" w:rsidDel="003E1393">
        <w:rPr>
          <w:rFonts w:ascii="Arial" w:hAnsi="Arial" w:cs="Arial"/>
        </w:rPr>
        <w:t xml:space="preserve"> </w:t>
      </w:r>
      <w:r w:rsidR="003E1393" w:rsidRPr="001427AF">
        <w:rPr>
          <w:rFonts w:ascii="Arial" w:hAnsi="Arial" w:cs="Arial"/>
        </w:rPr>
        <w:t xml:space="preserve">     </w:t>
      </w:r>
      <w:r w:rsidRPr="001427AF">
        <w:rPr>
          <w:rFonts w:ascii="Arial" w:hAnsi="Arial" w:cs="Arial"/>
        </w:rPr>
        <w:t>B</w:t>
      </w:r>
      <w:r w:rsidR="003E1393" w:rsidRPr="001427AF">
        <w:rPr>
          <w:rFonts w:ascii="Arial" w:hAnsi="Arial" w:cs="Arial"/>
        </w:rPr>
        <w:t xml:space="preserve"> = </w:t>
      </w:r>
      <w:r w:rsidRPr="001427AF">
        <w:rPr>
          <w:rFonts w:ascii="Arial" w:hAnsi="Arial" w:cs="Arial"/>
        </w:rPr>
        <w:t>70–84</w:t>
      </w:r>
      <w:r w:rsidRPr="001427AF" w:rsidDel="003E1393">
        <w:rPr>
          <w:rFonts w:ascii="Arial" w:hAnsi="Arial" w:cs="Arial"/>
        </w:rPr>
        <w:t xml:space="preserve"> </w:t>
      </w:r>
      <w:r w:rsidR="003E1393" w:rsidRPr="001427AF">
        <w:rPr>
          <w:rFonts w:ascii="Arial" w:hAnsi="Arial" w:cs="Arial"/>
        </w:rPr>
        <w:t xml:space="preserve">     </w:t>
      </w:r>
      <w:r w:rsidRPr="001427AF">
        <w:rPr>
          <w:rFonts w:ascii="Arial" w:hAnsi="Arial" w:cs="Arial"/>
        </w:rPr>
        <w:t>C</w:t>
      </w:r>
      <w:r w:rsidR="003E1393" w:rsidRPr="001427AF">
        <w:rPr>
          <w:rFonts w:ascii="Arial" w:hAnsi="Arial" w:cs="Arial"/>
        </w:rPr>
        <w:t xml:space="preserve"> =</w:t>
      </w:r>
      <w:r w:rsidRPr="001427AF">
        <w:rPr>
          <w:rFonts w:ascii="Arial" w:hAnsi="Arial" w:cs="Arial"/>
        </w:rPr>
        <w:t xml:space="preserve"> 55–69</w:t>
      </w:r>
      <w:r w:rsidR="003E1393" w:rsidRPr="001427AF">
        <w:rPr>
          <w:rFonts w:ascii="Arial" w:hAnsi="Arial" w:cs="Arial"/>
        </w:rPr>
        <w:t xml:space="preserve">      </w:t>
      </w:r>
      <w:r w:rsidRPr="001427AF">
        <w:rPr>
          <w:rFonts w:ascii="Arial" w:hAnsi="Arial" w:cs="Arial"/>
        </w:rPr>
        <w:t>D</w:t>
      </w:r>
      <w:r w:rsidR="003E1393" w:rsidRPr="001427AF">
        <w:rPr>
          <w:rFonts w:ascii="Arial" w:hAnsi="Arial" w:cs="Arial"/>
        </w:rPr>
        <w:t xml:space="preserve"> =</w:t>
      </w:r>
      <w:r w:rsidRPr="001427AF">
        <w:rPr>
          <w:rFonts w:ascii="Arial" w:hAnsi="Arial" w:cs="Arial"/>
        </w:rPr>
        <w:t xml:space="preserve"> 40–54</w:t>
      </w:r>
      <w:r w:rsidRPr="001427AF" w:rsidDel="003E1393">
        <w:rPr>
          <w:rFonts w:ascii="Arial" w:hAnsi="Arial" w:cs="Arial"/>
        </w:rPr>
        <w:t xml:space="preserve"> </w:t>
      </w:r>
      <w:r w:rsidR="003E1393" w:rsidRPr="001427AF">
        <w:rPr>
          <w:rFonts w:ascii="Arial" w:hAnsi="Arial" w:cs="Arial"/>
        </w:rPr>
        <w:t xml:space="preserve">     </w:t>
      </w:r>
      <w:r w:rsidRPr="001427AF">
        <w:rPr>
          <w:rFonts w:ascii="Arial" w:hAnsi="Arial" w:cs="Arial"/>
        </w:rPr>
        <w:t>F</w:t>
      </w:r>
      <w:r w:rsidR="003E1393" w:rsidRPr="001427AF">
        <w:rPr>
          <w:rFonts w:ascii="Arial" w:hAnsi="Arial" w:cs="Arial"/>
        </w:rPr>
        <w:t xml:space="preserve"> =</w:t>
      </w:r>
      <w:r w:rsidRPr="001427AF">
        <w:rPr>
          <w:rFonts w:ascii="Arial" w:hAnsi="Arial" w:cs="Arial"/>
        </w:rPr>
        <w:t xml:space="preserve"> less than 40 </w:t>
      </w:r>
    </w:p>
    <w:p w14:paraId="45E1A395" w14:textId="77777777" w:rsidR="009F1BFA" w:rsidRPr="001427AF" w:rsidRDefault="009F1BFA" w:rsidP="009F1BFA">
      <w:pPr>
        <w:pStyle w:val="Default"/>
        <w:contextualSpacing/>
        <w:rPr>
          <w:rFonts w:ascii="Arial" w:hAnsi="Arial" w:cs="Arial"/>
        </w:rPr>
      </w:pPr>
    </w:p>
    <w:p w14:paraId="7C4D6F28" w14:textId="74F2E727" w:rsidR="009F1BFA" w:rsidRPr="001427AF" w:rsidRDefault="009F1BFA" w:rsidP="009F1BFA">
      <w:pPr>
        <w:pStyle w:val="Default"/>
        <w:contextualSpacing/>
        <w:rPr>
          <w:rFonts w:ascii="Arial" w:hAnsi="Arial" w:cs="Arial"/>
        </w:rPr>
      </w:pPr>
      <w:r w:rsidRPr="001427AF">
        <w:rPr>
          <w:rFonts w:ascii="Arial" w:hAnsi="Arial" w:cs="Arial"/>
        </w:rPr>
        <w:t>Schools receive an overall letter grade and a letter grade for each student subgroup (</w:t>
      </w:r>
      <w:r w:rsidR="0059769F" w:rsidRPr="001427AF">
        <w:rPr>
          <w:rFonts w:ascii="Arial" w:hAnsi="Arial" w:cs="Arial"/>
        </w:rPr>
        <w:t xml:space="preserve">i.e., </w:t>
      </w:r>
      <w:r w:rsidRPr="001427AF">
        <w:rPr>
          <w:rFonts w:ascii="Arial" w:hAnsi="Arial" w:cs="Arial"/>
        </w:rPr>
        <w:t>Asian, American Indian, Black, Hispanic, Two or More Races, White, Economically Disadvantaged, Students with Disabilities, and E</w:t>
      </w:r>
      <w:r w:rsidR="00CC5371" w:rsidRPr="001427AF">
        <w:rPr>
          <w:rFonts w:ascii="Arial" w:hAnsi="Arial" w:cs="Arial"/>
        </w:rPr>
        <w:t>L</w:t>
      </w:r>
      <w:r w:rsidRPr="001427AF">
        <w:rPr>
          <w:rFonts w:ascii="Arial" w:hAnsi="Arial" w:cs="Arial"/>
        </w:rPr>
        <w:t>). The overall letter grade and subgroup performance is reported when the number of students in a particular group is at least thirty for one or more parts of the accountability model. Schools approved to use the state’s Alternative Schools Modified Accountability System will be assigned a letter grade only for the purposes of identifying Comprehensive Support and Improvement (CSI) schools and Targeted Support and Improvement (TSI) schools, as required by federal statute.</w:t>
      </w:r>
    </w:p>
    <w:p w14:paraId="41AE3E2D" w14:textId="77777777" w:rsidR="009F1BFA" w:rsidRPr="001427AF" w:rsidRDefault="009F1BFA" w:rsidP="009F1BFA">
      <w:pPr>
        <w:pStyle w:val="Default"/>
        <w:contextualSpacing/>
        <w:rPr>
          <w:rFonts w:ascii="Arial" w:hAnsi="Arial" w:cs="Arial"/>
        </w:rPr>
      </w:pPr>
    </w:p>
    <w:p w14:paraId="54942CDF" w14:textId="64DD456F" w:rsidR="009F1BFA" w:rsidRPr="001427AF" w:rsidRDefault="009F1BFA" w:rsidP="009F1BFA">
      <w:pPr>
        <w:pStyle w:val="Default"/>
        <w:contextualSpacing/>
        <w:rPr>
          <w:rFonts w:ascii="Arial" w:hAnsi="Arial" w:cs="Arial"/>
        </w:rPr>
      </w:pPr>
      <w:r w:rsidRPr="001427AF">
        <w:rPr>
          <w:rFonts w:ascii="Arial" w:hAnsi="Arial" w:cs="Arial"/>
        </w:rPr>
        <w:t xml:space="preserve">Schools with grade levels </w:t>
      </w:r>
      <w:r w:rsidR="00DC1413" w:rsidRPr="001427AF">
        <w:rPr>
          <w:rFonts w:ascii="Arial" w:hAnsi="Arial" w:cs="Arial"/>
        </w:rPr>
        <w:t>3–8</w:t>
      </w:r>
      <w:r w:rsidRPr="001427AF">
        <w:rPr>
          <w:rFonts w:ascii="Arial" w:hAnsi="Arial" w:cs="Arial"/>
        </w:rPr>
        <w:t xml:space="preserve"> will also be given a separate score and grade for reading and mathematics. This includes both achievement and growth measures for either reading or mathematics. To obtain the final score and grade, the reading and mathematics grades are calculated the same way as the SPGs.</w:t>
      </w:r>
    </w:p>
    <w:p w14:paraId="538A4FC3" w14:textId="77777777" w:rsidR="009F1BFA" w:rsidRPr="001427AF" w:rsidRDefault="009F1BFA" w:rsidP="009F1BFA">
      <w:pPr>
        <w:pStyle w:val="NormalWeb"/>
        <w:spacing w:before="0" w:beforeAutospacing="0" w:after="0" w:afterAutospacing="0"/>
        <w:contextualSpacing/>
        <w:rPr>
          <w:rFonts w:ascii="Arial" w:hAnsi="Arial" w:cs="Arial"/>
          <w:i/>
          <w:iCs/>
          <w:color w:val="000000"/>
        </w:rPr>
      </w:pPr>
    </w:p>
    <w:p w14:paraId="7C22C321" w14:textId="77777777" w:rsidR="009F1BFA" w:rsidRPr="001427AF" w:rsidRDefault="009F1BFA" w:rsidP="009F1BFA">
      <w:pPr>
        <w:pStyle w:val="NormalWeb"/>
        <w:spacing w:before="0" w:beforeAutospacing="0" w:after="0" w:afterAutospacing="0"/>
        <w:contextualSpacing/>
        <w:rPr>
          <w:rFonts w:ascii="Arial" w:hAnsi="Arial" w:cs="Arial"/>
          <w:color w:val="000000"/>
        </w:rPr>
      </w:pPr>
      <w:r w:rsidRPr="001427AF">
        <w:rPr>
          <w:rFonts w:ascii="Arial" w:hAnsi="Arial" w:cs="Arial"/>
          <w:color w:val="000000"/>
        </w:rPr>
        <w:t xml:space="preserve">Table 2.1 provides an example for calculating a school’s performance grade. </w:t>
      </w:r>
    </w:p>
    <w:p w14:paraId="43BDB628" w14:textId="77777777" w:rsidR="00CD0357" w:rsidRPr="001427AF" w:rsidRDefault="00CD0357" w:rsidP="00CD0357">
      <w:pPr>
        <w:pStyle w:val="NormalWeb"/>
        <w:spacing w:before="0" w:beforeAutospacing="0" w:after="0" w:afterAutospacing="0"/>
        <w:contextualSpacing/>
        <w:rPr>
          <w:rFonts w:ascii="Arial" w:hAnsi="Arial" w:cs="Arial"/>
          <w:color w:val="000000"/>
        </w:rPr>
      </w:pPr>
    </w:p>
    <w:p w14:paraId="6001E4B0" w14:textId="18F5E9B0" w:rsidR="00CD0357" w:rsidRPr="008B3B24" w:rsidRDefault="00CD0357" w:rsidP="00CD0357">
      <w:pPr>
        <w:pStyle w:val="TableHead"/>
        <w:spacing w:after="0" w:line="240" w:lineRule="auto"/>
        <w:ind w:left="0"/>
        <w:contextualSpacing/>
        <w:rPr>
          <w:rFonts w:ascii="Arial" w:hAnsi="Arial" w:cs="Arial"/>
          <w:i w:val="0"/>
          <w:color w:val="auto"/>
          <w:sz w:val="20"/>
        </w:rPr>
      </w:pPr>
      <w:r w:rsidRPr="008B3B24">
        <w:rPr>
          <w:rFonts w:ascii="Arial" w:hAnsi="Arial" w:cs="Arial"/>
          <w:i w:val="0"/>
          <w:color w:val="auto"/>
          <w:sz w:val="20"/>
        </w:rPr>
        <w:t>TABLE 2.1. Basic school performance grade calculation</w:t>
      </w:r>
      <w:r w:rsidR="00C8693D">
        <w:rPr>
          <w:rFonts w:ascii="Arial" w:hAnsi="Arial" w:cs="Arial"/>
          <w:i w:val="0"/>
          <w:color w:val="auto"/>
          <w:sz w:val="20"/>
        </w:rPr>
        <w:t xml:space="preserve"> example</w:t>
      </w:r>
    </w:p>
    <w:tbl>
      <w:tblPr>
        <w:tblW w:w="9270" w:type="dxa"/>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1E0" w:firstRow="1" w:lastRow="1" w:firstColumn="1" w:lastColumn="1" w:noHBand="0" w:noVBand="0"/>
        <w:tblDescription w:val="This table provides an example of using a schools school performance grade and determining the final letter grade for the school. "/>
      </w:tblPr>
      <w:tblGrid>
        <w:gridCol w:w="3177"/>
        <w:gridCol w:w="1977"/>
        <w:gridCol w:w="1977"/>
        <w:gridCol w:w="2139"/>
      </w:tblGrid>
      <w:tr w:rsidR="00CD0357" w:rsidRPr="001427AF" w14:paraId="0567210A" w14:textId="77777777" w:rsidTr="00EB046A">
        <w:trPr>
          <w:trHeight w:val="380"/>
          <w:jc w:val="center"/>
        </w:trPr>
        <w:tc>
          <w:tcPr>
            <w:tcW w:w="3177" w:type="dxa"/>
            <w:tcBorders>
              <w:top w:val="single" w:sz="12" w:space="0" w:color="auto"/>
              <w:left w:val="single" w:sz="12" w:space="0" w:color="auto"/>
              <w:bottom w:val="single" w:sz="12" w:space="0" w:color="auto"/>
              <w:right w:val="single" w:sz="12" w:space="0" w:color="auto"/>
            </w:tcBorders>
            <w:shd w:val="clear" w:color="auto" w:fill="ACB9CA" w:themeFill="text2" w:themeFillTint="66"/>
            <w:vAlign w:val="center"/>
          </w:tcPr>
          <w:p w14:paraId="43AF0AB4" w14:textId="35E51695" w:rsidR="00CD0357" w:rsidRPr="001427AF" w:rsidRDefault="00414870" w:rsidP="00414870">
            <w:pPr>
              <w:spacing w:line="240" w:lineRule="auto"/>
              <w:contextualSpacing/>
              <w:rPr>
                <w:rFonts w:ascii="Arial" w:hAnsi="Arial" w:cs="Arial"/>
                <w:b/>
                <w:color w:val="auto"/>
                <w:sz w:val="20"/>
              </w:rPr>
            </w:pPr>
            <w:r w:rsidRPr="00414870">
              <w:rPr>
                <w:rFonts w:ascii="Arial" w:hAnsi="Arial" w:cs="Arial"/>
                <w:b/>
                <w:sz w:val="20"/>
              </w:rPr>
              <w:t>Indicator</w:t>
            </w:r>
          </w:p>
        </w:tc>
        <w:tc>
          <w:tcPr>
            <w:tcW w:w="1977" w:type="dxa"/>
            <w:tcBorders>
              <w:top w:val="single" w:sz="12" w:space="0" w:color="auto"/>
              <w:left w:val="single" w:sz="12" w:space="0" w:color="auto"/>
              <w:bottom w:val="single" w:sz="12" w:space="0" w:color="auto"/>
            </w:tcBorders>
            <w:shd w:val="clear" w:color="auto" w:fill="ACB9CA" w:themeFill="text2" w:themeFillTint="66"/>
            <w:vAlign w:val="center"/>
          </w:tcPr>
          <w:p w14:paraId="2D3A8245" w14:textId="77777777" w:rsidR="00CD0357" w:rsidRPr="001427AF" w:rsidRDefault="00CD0357">
            <w:pPr>
              <w:spacing w:line="240" w:lineRule="auto"/>
              <w:contextualSpacing/>
              <w:jc w:val="center"/>
              <w:rPr>
                <w:rFonts w:ascii="Arial" w:hAnsi="Arial" w:cs="Arial"/>
                <w:b/>
                <w:sz w:val="20"/>
              </w:rPr>
            </w:pPr>
            <w:r w:rsidRPr="001427AF">
              <w:rPr>
                <w:rFonts w:ascii="Arial" w:hAnsi="Arial" w:cs="Arial"/>
                <w:b/>
                <w:sz w:val="20"/>
              </w:rPr>
              <w:t>Score</w:t>
            </w:r>
          </w:p>
        </w:tc>
        <w:tc>
          <w:tcPr>
            <w:tcW w:w="1977" w:type="dxa"/>
            <w:tcBorders>
              <w:top w:val="single" w:sz="12" w:space="0" w:color="auto"/>
              <w:bottom w:val="single" w:sz="12" w:space="0" w:color="auto"/>
            </w:tcBorders>
            <w:shd w:val="clear" w:color="auto" w:fill="ACB9CA" w:themeFill="text2" w:themeFillTint="66"/>
            <w:vAlign w:val="center"/>
          </w:tcPr>
          <w:p w14:paraId="38A4539A" w14:textId="77777777" w:rsidR="00CD0357" w:rsidRPr="001427AF" w:rsidRDefault="00CD0357">
            <w:pPr>
              <w:spacing w:line="240" w:lineRule="auto"/>
              <w:contextualSpacing/>
              <w:jc w:val="center"/>
              <w:rPr>
                <w:rFonts w:ascii="Arial" w:hAnsi="Arial" w:cs="Arial"/>
                <w:sz w:val="20"/>
              </w:rPr>
            </w:pPr>
            <w:r w:rsidRPr="001427AF">
              <w:rPr>
                <w:rFonts w:ascii="Arial" w:hAnsi="Arial" w:cs="Arial"/>
                <w:b/>
                <w:sz w:val="20"/>
              </w:rPr>
              <w:t>Multiply by</w:t>
            </w:r>
          </w:p>
        </w:tc>
        <w:tc>
          <w:tcPr>
            <w:tcW w:w="2139" w:type="dxa"/>
            <w:tcBorders>
              <w:top w:val="single" w:sz="12" w:space="0" w:color="auto"/>
              <w:bottom w:val="single" w:sz="12" w:space="0" w:color="auto"/>
            </w:tcBorders>
            <w:shd w:val="clear" w:color="auto" w:fill="ACB9CA" w:themeFill="text2" w:themeFillTint="66"/>
            <w:vAlign w:val="center"/>
          </w:tcPr>
          <w:p w14:paraId="1328202D" w14:textId="77777777" w:rsidR="00CD0357" w:rsidRPr="001427AF" w:rsidRDefault="00CD0357">
            <w:pPr>
              <w:spacing w:line="240" w:lineRule="auto"/>
              <w:contextualSpacing/>
              <w:jc w:val="center"/>
              <w:rPr>
                <w:rFonts w:ascii="Arial" w:hAnsi="Arial" w:cs="Arial"/>
                <w:b/>
                <w:sz w:val="20"/>
              </w:rPr>
            </w:pPr>
            <w:r w:rsidRPr="001427AF">
              <w:rPr>
                <w:rFonts w:ascii="Arial" w:hAnsi="Arial" w:cs="Arial"/>
                <w:b/>
                <w:sz w:val="20"/>
              </w:rPr>
              <w:t>Input for final grade</w:t>
            </w:r>
          </w:p>
        </w:tc>
      </w:tr>
      <w:tr w:rsidR="00CD0357" w:rsidRPr="001427AF" w14:paraId="285F775B" w14:textId="77777777" w:rsidTr="00EB046A">
        <w:trPr>
          <w:trHeight w:val="380"/>
          <w:jc w:val="center"/>
        </w:trPr>
        <w:tc>
          <w:tcPr>
            <w:tcW w:w="3177" w:type="dxa"/>
            <w:tcBorders>
              <w:top w:val="single" w:sz="12" w:space="0" w:color="auto"/>
              <w:left w:val="single" w:sz="12" w:space="0" w:color="auto"/>
              <w:bottom w:val="single" w:sz="4" w:space="0" w:color="auto"/>
              <w:right w:val="single" w:sz="12" w:space="0" w:color="auto"/>
            </w:tcBorders>
            <w:vAlign w:val="center"/>
          </w:tcPr>
          <w:p w14:paraId="606B2312" w14:textId="77777777" w:rsidR="00CD0357" w:rsidRPr="00207B08" w:rsidRDefault="00CD0357">
            <w:pPr>
              <w:spacing w:line="240" w:lineRule="auto"/>
              <w:contextualSpacing/>
              <w:rPr>
                <w:rFonts w:ascii="Arial" w:hAnsi="Arial" w:cs="Arial"/>
                <w:b/>
                <w:bCs/>
                <w:color w:val="auto"/>
                <w:sz w:val="20"/>
              </w:rPr>
            </w:pPr>
            <w:r w:rsidRPr="00207B08">
              <w:rPr>
                <w:rFonts w:ascii="Arial" w:hAnsi="Arial" w:cs="Arial"/>
                <w:b/>
                <w:bCs/>
                <w:color w:val="auto"/>
                <w:sz w:val="20"/>
              </w:rPr>
              <w:t>School Achievement</w:t>
            </w:r>
          </w:p>
        </w:tc>
        <w:tc>
          <w:tcPr>
            <w:tcW w:w="1977" w:type="dxa"/>
            <w:tcBorders>
              <w:top w:val="single" w:sz="12" w:space="0" w:color="auto"/>
              <w:left w:val="single" w:sz="12" w:space="0" w:color="auto"/>
            </w:tcBorders>
            <w:vAlign w:val="center"/>
          </w:tcPr>
          <w:p w14:paraId="092D4A5A" w14:textId="77777777" w:rsidR="00CD0357" w:rsidRPr="008B3B24" w:rsidRDefault="00CD0357">
            <w:pPr>
              <w:spacing w:line="240" w:lineRule="auto"/>
              <w:contextualSpacing/>
              <w:jc w:val="center"/>
              <w:rPr>
                <w:rFonts w:ascii="Arial" w:hAnsi="Arial" w:cs="Arial"/>
                <w:color w:val="auto"/>
                <w:sz w:val="20"/>
              </w:rPr>
            </w:pPr>
            <w:r w:rsidRPr="008B3B24">
              <w:rPr>
                <w:rFonts w:ascii="Arial" w:hAnsi="Arial" w:cs="Arial"/>
                <w:color w:val="auto"/>
                <w:sz w:val="20"/>
              </w:rPr>
              <w:t>64.4</w:t>
            </w:r>
          </w:p>
        </w:tc>
        <w:tc>
          <w:tcPr>
            <w:tcW w:w="1977" w:type="dxa"/>
            <w:tcBorders>
              <w:top w:val="single" w:sz="12" w:space="0" w:color="auto"/>
            </w:tcBorders>
            <w:vAlign w:val="center"/>
          </w:tcPr>
          <w:p w14:paraId="298A05E2" w14:textId="77777777" w:rsidR="00CD0357" w:rsidRPr="008B3B24" w:rsidRDefault="00CD0357">
            <w:pPr>
              <w:spacing w:line="240" w:lineRule="auto"/>
              <w:contextualSpacing/>
              <w:jc w:val="center"/>
              <w:rPr>
                <w:rFonts w:ascii="Arial" w:hAnsi="Arial" w:cs="Arial"/>
                <w:color w:val="auto"/>
                <w:sz w:val="20"/>
              </w:rPr>
            </w:pPr>
            <w:r w:rsidRPr="008B3B24">
              <w:rPr>
                <w:rFonts w:ascii="Arial" w:hAnsi="Arial" w:cs="Arial"/>
                <w:color w:val="auto"/>
                <w:sz w:val="20"/>
              </w:rPr>
              <w:t>.80</w:t>
            </w:r>
          </w:p>
        </w:tc>
        <w:tc>
          <w:tcPr>
            <w:tcW w:w="2139" w:type="dxa"/>
            <w:tcBorders>
              <w:top w:val="single" w:sz="12" w:space="0" w:color="auto"/>
            </w:tcBorders>
            <w:vAlign w:val="center"/>
          </w:tcPr>
          <w:p w14:paraId="2F1088DE" w14:textId="77777777" w:rsidR="00CD0357" w:rsidRPr="008B3B24" w:rsidRDefault="00CD0357">
            <w:pPr>
              <w:spacing w:line="240" w:lineRule="auto"/>
              <w:contextualSpacing/>
              <w:jc w:val="center"/>
              <w:rPr>
                <w:rFonts w:ascii="Arial" w:hAnsi="Arial" w:cs="Arial"/>
                <w:color w:val="auto"/>
                <w:sz w:val="20"/>
              </w:rPr>
            </w:pPr>
            <w:r w:rsidRPr="008B3B24">
              <w:rPr>
                <w:rFonts w:ascii="Arial" w:hAnsi="Arial" w:cs="Arial"/>
                <w:color w:val="auto"/>
                <w:sz w:val="20"/>
              </w:rPr>
              <w:t>51.5</w:t>
            </w:r>
          </w:p>
        </w:tc>
      </w:tr>
      <w:tr w:rsidR="00CD0357" w:rsidRPr="001427AF" w14:paraId="581AE184" w14:textId="77777777" w:rsidTr="00414870">
        <w:trPr>
          <w:trHeight w:val="380"/>
          <w:jc w:val="center"/>
        </w:trPr>
        <w:tc>
          <w:tcPr>
            <w:tcW w:w="3177" w:type="dxa"/>
            <w:tcBorders>
              <w:top w:val="single" w:sz="4" w:space="0" w:color="auto"/>
              <w:right w:val="single" w:sz="12" w:space="0" w:color="auto"/>
            </w:tcBorders>
            <w:vAlign w:val="center"/>
          </w:tcPr>
          <w:p w14:paraId="71729534" w14:textId="77777777" w:rsidR="00CD0357" w:rsidRPr="00207B08" w:rsidRDefault="00CD0357">
            <w:pPr>
              <w:spacing w:line="240" w:lineRule="auto"/>
              <w:contextualSpacing/>
              <w:rPr>
                <w:rFonts w:ascii="Arial" w:hAnsi="Arial" w:cs="Arial"/>
                <w:b/>
                <w:bCs/>
                <w:color w:val="auto"/>
                <w:sz w:val="20"/>
              </w:rPr>
            </w:pPr>
            <w:r w:rsidRPr="00207B08">
              <w:rPr>
                <w:rFonts w:ascii="Arial" w:hAnsi="Arial" w:cs="Arial"/>
                <w:b/>
                <w:bCs/>
                <w:color w:val="auto"/>
                <w:sz w:val="20"/>
              </w:rPr>
              <w:t>Growth</w:t>
            </w:r>
          </w:p>
        </w:tc>
        <w:tc>
          <w:tcPr>
            <w:tcW w:w="1977" w:type="dxa"/>
            <w:tcBorders>
              <w:left w:val="single" w:sz="12" w:space="0" w:color="auto"/>
            </w:tcBorders>
            <w:vAlign w:val="center"/>
          </w:tcPr>
          <w:p w14:paraId="53D2E01B" w14:textId="77777777" w:rsidR="00CD0357" w:rsidRPr="008B3B24" w:rsidRDefault="00CD0357">
            <w:pPr>
              <w:spacing w:line="240" w:lineRule="auto"/>
              <w:contextualSpacing/>
              <w:jc w:val="center"/>
              <w:rPr>
                <w:rFonts w:ascii="Arial" w:hAnsi="Arial" w:cs="Arial"/>
                <w:color w:val="auto"/>
                <w:sz w:val="20"/>
              </w:rPr>
            </w:pPr>
            <w:r w:rsidRPr="008B3B24">
              <w:rPr>
                <w:rFonts w:ascii="Arial" w:hAnsi="Arial" w:cs="Arial"/>
                <w:color w:val="auto"/>
                <w:sz w:val="20"/>
              </w:rPr>
              <w:t>100.0</w:t>
            </w:r>
          </w:p>
        </w:tc>
        <w:tc>
          <w:tcPr>
            <w:tcW w:w="1977" w:type="dxa"/>
            <w:vAlign w:val="center"/>
          </w:tcPr>
          <w:p w14:paraId="5BEC3B28" w14:textId="77777777" w:rsidR="00CD0357" w:rsidRPr="008B3B24" w:rsidRDefault="00CD0357">
            <w:pPr>
              <w:spacing w:line="240" w:lineRule="auto"/>
              <w:contextualSpacing/>
              <w:jc w:val="center"/>
              <w:rPr>
                <w:rFonts w:ascii="Arial" w:hAnsi="Arial" w:cs="Arial"/>
                <w:color w:val="auto"/>
                <w:sz w:val="20"/>
              </w:rPr>
            </w:pPr>
            <w:r w:rsidRPr="008B3B24">
              <w:rPr>
                <w:rFonts w:ascii="Arial" w:hAnsi="Arial" w:cs="Arial"/>
                <w:color w:val="auto"/>
                <w:sz w:val="20"/>
              </w:rPr>
              <w:t>.20</w:t>
            </w:r>
          </w:p>
        </w:tc>
        <w:tc>
          <w:tcPr>
            <w:tcW w:w="2139" w:type="dxa"/>
            <w:vAlign w:val="center"/>
          </w:tcPr>
          <w:p w14:paraId="10A65516" w14:textId="77777777" w:rsidR="00CD0357" w:rsidRPr="008B3B24" w:rsidRDefault="00CD0357">
            <w:pPr>
              <w:spacing w:line="240" w:lineRule="auto"/>
              <w:contextualSpacing/>
              <w:jc w:val="center"/>
              <w:rPr>
                <w:rFonts w:ascii="Arial" w:hAnsi="Arial" w:cs="Arial"/>
                <w:color w:val="auto"/>
                <w:sz w:val="20"/>
              </w:rPr>
            </w:pPr>
            <w:r w:rsidRPr="008B3B24">
              <w:rPr>
                <w:rFonts w:ascii="Arial" w:hAnsi="Arial" w:cs="Arial"/>
                <w:color w:val="auto"/>
                <w:sz w:val="20"/>
              </w:rPr>
              <w:t>20.0</w:t>
            </w:r>
          </w:p>
        </w:tc>
      </w:tr>
    </w:tbl>
    <w:p w14:paraId="09998B22" w14:textId="32EC03FE" w:rsidR="00071FB8" w:rsidRDefault="00E47451" w:rsidP="00E47451">
      <w:pPr>
        <w:spacing w:line="240" w:lineRule="auto"/>
        <w:contextualSpacing/>
        <w:rPr>
          <w:rFonts w:ascii="Arial" w:hAnsi="Arial" w:cs="Arial"/>
          <w:b/>
          <w:bCs/>
          <w:color w:val="auto"/>
          <w:sz w:val="20"/>
        </w:rPr>
      </w:pPr>
      <w:r w:rsidRPr="00207B08">
        <w:rPr>
          <w:rFonts w:ascii="Arial" w:hAnsi="Arial" w:cs="Arial"/>
          <w:b/>
          <w:bCs/>
          <w:color w:val="auto"/>
          <w:sz w:val="20"/>
        </w:rPr>
        <w:t>Final Score = 72</w:t>
      </w:r>
      <w:r w:rsidR="00DB67EF">
        <w:rPr>
          <w:rFonts w:ascii="ZWAdobeF" w:hAnsi="ZWAdobeF" w:cs="ZWAdobeF"/>
          <w:bCs/>
          <w:color w:val="auto"/>
          <w:sz w:val="2"/>
          <w:szCs w:val="2"/>
        </w:rPr>
        <w:t>1F</w:t>
      </w:r>
      <w:r>
        <w:rPr>
          <w:rStyle w:val="FootnoteReference"/>
          <w:rFonts w:ascii="Arial" w:hAnsi="Arial" w:cs="Arial"/>
          <w:b/>
          <w:bCs/>
          <w:color w:val="auto"/>
          <w:sz w:val="20"/>
        </w:rPr>
        <w:footnoteReference w:id="3"/>
      </w:r>
      <w:r>
        <w:rPr>
          <w:rFonts w:ascii="Arial" w:hAnsi="Arial" w:cs="Arial"/>
          <w:b/>
          <w:bCs/>
          <w:color w:val="auto"/>
          <w:sz w:val="20"/>
        </w:rPr>
        <w:t xml:space="preserve"> - </w:t>
      </w:r>
      <w:bookmarkStart w:id="270" w:name="FinalGrade"/>
      <w:bookmarkEnd w:id="270"/>
      <w:r w:rsidRPr="00207B08">
        <w:rPr>
          <w:rFonts w:ascii="Arial" w:hAnsi="Arial" w:cs="Arial"/>
          <w:b/>
          <w:bCs/>
          <w:color w:val="auto"/>
          <w:sz w:val="20"/>
        </w:rPr>
        <w:t>Final Grade = B</w:t>
      </w:r>
    </w:p>
    <w:p w14:paraId="1CF2C430" w14:textId="77777777" w:rsidR="00E47451" w:rsidRDefault="00E47451" w:rsidP="00E47451">
      <w:pPr>
        <w:spacing w:line="240" w:lineRule="auto"/>
        <w:contextualSpacing/>
        <w:rPr>
          <w:rFonts w:ascii="Arial" w:hAnsi="Arial" w:cs="Arial"/>
          <w:sz w:val="20"/>
          <w:vertAlign w:val="superscript"/>
        </w:rPr>
      </w:pPr>
    </w:p>
    <w:p w14:paraId="01735DB7" w14:textId="1E9950CD" w:rsidR="00E71965" w:rsidRPr="001427AF" w:rsidRDefault="00D3592A" w:rsidP="001514C3">
      <w:pPr>
        <w:pStyle w:val="Heading2"/>
      </w:pPr>
      <w:bookmarkStart w:id="271" w:name="_Toc135812504"/>
      <w:bookmarkStart w:id="272" w:name="_Toc136418885"/>
      <w:bookmarkStart w:id="273" w:name="_Toc136419141"/>
      <w:bookmarkStart w:id="274" w:name="_Toc225404952"/>
      <w:r w:rsidRPr="001427AF">
        <w:t xml:space="preserve">Calculations </w:t>
      </w:r>
      <w:r w:rsidR="004725F0" w:rsidRPr="001427AF">
        <w:t>of</w:t>
      </w:r>
      <w:r w:rsidRPr="001427AF">
        <w:t xml:space="preserve"> </w:t>
      </w:r>
      <w:r w:rsidR="00E71965" w:rsidRPr="001427AF">
        <w:t>S</w:t>
      </w:r>
      <w:r w:rsidRPr="001427AF">
        <w:t xml:space="preserve">chool </w:t>
      </w:r>
      <w:r w:rsidR="00E71965" w:rsidRPr="001427AF">
        <w:t>P</w:t>
      </w:r>
      <w:r w:rsidRPr="001427AF">
        <w:t xml:space="preserve">erformance </w:t>
      </w:r>
      <w:r w:rsidR="00E71965" w:rsidRPr="001427AF">
        <w:t>G</w:t>
      </w:r>
      <w:r w:rsidRPr="001427AF">
        <w:t>rades</w:t>
      </w:r>
      <w:bookmarkEnd w:id="271"/>
      <w:bookmarkEnd w:id="272"/>
      <w:bookmarkEnd w:id="273"/>
      <w:bookmarkEnd w:id="274"/>
      <w:r w:rsidR="00E71965" w:rsidRPr="001427AF">
        <w:t xml:space="preserve"> </w:t>
      </w:r>
    </w:p>
    <w:p w14:paraId="7916B588" w14:textId="77777777" w:rsidR="00FB6CAC" w:rsidRPr="001427AF" w:rsidRDefault="00FB6CAC" w:rsidP="00FB6CAC">
      <w:pPr>
        <w:pStyle w:val="Default"/>
        <w:contextualSpacing/>
        <w:rPr>
          <w:rStyle w:val="eop"/>
          <w:rFonts w:ascii="Arial" w:hAnsi="Arial" w:cs="Arial"/>
        </w:rPr>
      </w:pPr>
      <w:r w:rsidRPr="001427AF">
        <w:rPr>
          <w:rFonts w:ascii="Arial" w:hAnsi="Arial" w:cs="Arial"/>
        </w:rPr>
        <w:t>For each indicator, the denominator must meet the minimum number of thirty students, after all business guidelines are applied, to be included in the SPG or subgroup grade calculation. Students must meet partial enrollment for each accountability indicator, except Cohort Graduation Rate, to be included in the SPGs. If a school does not have enough data for a SPG and they are not able to, or opted out of returning data to another school, the school's SPG will be calculated using three years of data.</w:t>
      </w:r>
    </w:p>
    <w:p w14:paraId="518BBF2D" w14:textId="77777777" w:rsidR="00D45881" w:rsidRPr="001427AF" w:rsidRDefault="00D45881" w:rsidP="00D45881">
      <w:pPr>
        <w:pStyle w:val="Default"/>
        <w:contextualSpacing/>
        <w:rPr>
          <w:rFonts w:ascii="Arial" w:hAnsi="Arial" w:cs="Arial"/>
        </w:rPr>
      </w:pPr>
    </w:p>
    <w:p w14:paraId="7932029A" w14:textId="77777777" w:rsidR="00D45881" w:rsidRPr="001427AF" w:rsidRDefault="00D45881" w:rsidP="00D45881">
      <w:pPr>
        <w:pStyle w:val="Default"/>
        <w:contextualSpacing/>
        <w:rPr>
          <w:rFonts w:ascii="Arial" w:hAnsi="Arial" w:cs="Arial"/>
        </w:rPr>
      </w:pPr>
      <w:r w:rsidRPr="001427AF">
        <w:rPr>
          <w:rFonts w:ascii="Arial" w:hAnsi="Arial" w:cs="Arial"/>
        </w:rPr>
        <w:lastRenderedPageBreak/>
        <w:t xml:space="preserve">All non-growth indicators account for 80% of the SPG. The indicators’ denominators are added together to create the composite denominator. The corresponding numerators are added together to make the composite numerator. The numerator is divided by the denominator and multiplied by one hundred to get a total achievement score rounded to the tenth. This score is multiplied by 0.8 (80%). This result is added to the converted 100-point growth score after it is multiplied by 0.2 (20%) to achieve a final SPG or subgroup grade. </w:t>
      </w:r>
    </w:p>
    <w:p w14:paraId="0E9AC54F" w14:textId="77777777" w:rsidR="00D45881" w:rsidRPr="001427AF" w:rsidRDefault="00D45881" w:rsidP="00D45881">
      <w:pPr>
        <w:pStyle w:val="Default"/>
        <w:contextualSpacing/>
        <w:rPr>
          <w:rFonts w:ascii="Arial" w:hAnsi="Arial" w:cs="Arial"/>
        </w:rPr>
      </w:pPr>
      <w:r w:rsidRPr="001427AF">
        <w:rPr>
          <w:rFonts w:ascii="Arial" w:hAnsi="Arial" w:cs="Arial"/>
        </w:rPr>
        <w:t xml:space="preserve"> </w:t>
      </w:r>
    </w:p>
    <w:p w14:paraId="629028CF" w14:textId="76C76617" w:rsidR="00D45881" w:rsidRPr="001427AF" w:rsidRDefault="002E2DF8" w:rsidP="00D45881">
      <w:pPr>
        <w:pStyle w:val="Default"/>
        <w:contextualSpacing/>
        <w:rPr>
          <w:rFonts w:ascii="Arial" w:hAnsi="Arial" w:cs="Arial"/>
        </w:rPr>
      </w:pPr>
      <w:r w:rsidRPr="001A5C7A">
        <w:rPr>
          <w:rFonts w:ascii="Arial" w:hAnsi="Arial" w:cs="Arial"/>
        </w:rPr>
        <w:t>T</w:t>
      </w:r>
      <w:r w:rsidR="00D45881" w:rsidRPr="001A5C7A">
        <w:rPr>
          <w:rFonts w:ascii="Arial" w:hAnsi="Arial" w:cs="Arial"/>
        </w:rPr>
        <w:t xml:space="preserve">able </w:t>
      </w:r>
      <w:r w:rsidRPr="001A5C7A">
        <w:rPr>
          <w:rFonts w:ascii="Arial" w:hAnsi="Arial" w:cs="Arial"/>
        </w:rPr>
        <w:t>2.2</w:t>
      </w:r>
      <w:r w:rsidR="001A5C7A">
        <w:rPr>
          <w:rFonts w:ascii="Arial" w:hAnsi="Arial" w:cs="Arial"/>
        </w:rPr>
        <w:t xml:space="preserve"> and 2.</w:t>
      </w:r>
      <w:r w:rsidR="00927F3A">
        <w:rPr>
          <w:rFonts w:ascii="Arial" w:hAnsi="Arial" w:cs="Arial"/>
        </w:rPr>
        <w:t>2.1</w:t>
      </w:r>
      <w:r w:rsidR="00D45881" w:rsidRPr="001A5C7A">
        <w:rPr>
          <w:rFonts w:ascii="Arial" w:hAnsi="Arial" w:cs="Arial"/>
        </w:rPr>
        <w:t xml:space="preserve"> provides an example of a high school calculation, assuming all indicators had at least thirty students in the denominator after all business guidelines are applied</w:t>
      </w:r>
      <w:r w:rsidR="00F502AC" w:rsidRPr="001A5C7A">
        <w:rPr>
          <w:rFonts w:ascii="Arial" w:hAnsi="Arial" w:cs="Arial"/>
        </w:rPr>
        <w:t>.</w:t>
      </w:r>
      <w:r w:rsidR="00D45881" w:rsidRPr="001A5C7A">
        <w:rPr>
          <w:rFonts w:ascii="Arial" w:hAnsi="Arial" w:cs="Arial"/>
        </w:rPr>
        <w:t xml:space="preserve"> </w:t>
      </w:r>
      <w:r w:rsidR="002A45BF" w:rsidRPr="001A5C7A">
        <w:rPr>
          <w:rFonts w:ascii="Arial" w:hAnsi="Arial" w:cs="Arial"/>
        </w:rPr>
        <w:t>Table 2.</w:t>
      </w:r>
      <w:r w:rsidR="000B1C37" w:rsidRPr="001A5C7A">
        <w:rPr>
          <w:rFonts w:ascii="Arial" w:hAnsi="Arial" w:cs="Arial"/>
        </w:rPr>
        <w:t>2.</w:t>
      </w:r>
      <w:r w:rsidR="001A5C7A" w:rsidRPr="00927F3A">
        <w:rPr>
          <w:rFonts w:ascii="Arial" w:hAnsi="Arial" w:cs="Arial"/>
        </w:rPr>
        <w:t>2</w:t>
      </w:r>
      <w:r w:rsidR="000B1C37" w:rsidRPr="001A5C7A">
        <w:rPr>
          <w:rFonts w:ascii="Arial" w:hAnsi="Arial" w:cs="Arial"/>
        </w:rPr>
        <w:t xml:space="preserve"> </w:t>
      </w:r>
      <w:r w:rsidR="001A5C7A">
        <w:rPr>
          <w:rFonts w:ascii="Arial" w:hAnsi="Arial" w:cs="Arial"/>
        </w:rPr>
        <w:t>and 2.2.</w:t>
      </w:r>
      <w:r w:rsidR="00927F3A">
        <w:rPr>
          <w:rFonts w:ascii="Arial" w:hAnsi="Arial" w:cs="Arial"/>
        </w:rPr>
        <w:t>3</w:t>
      </w:r>
      <w:r w:rsidR="00D8554E">
        <w:rPr>
          <w:rFonts w:ascii="Arial" w:hAnsi="Arial" w:cs="Arial"/>
        </w:rPr>
        <w:t xml:space="preserve"> </w:t>
      </w:r>
      <w:r w:rsidR="000B1C37" w:rsidRPr="001A5C7A">
        <w:rPr>
          <w:rFonts w:ascii="Arial" w:hAnsi="Arial" w:cs="Arial"/>
        </w:rPr>
        <w:t>provides an example of a K</w:t>
      </w:r>
      <w:r w:rsidR="003C7EBC" w:rsidRPr="001A5C7A">
        <w:rPr>
          <w:rFonts w:ascii="Arial" w:hAnsi="Arial" w:cs="Arial"/>
        </w:rPr>
        <w:softHyphen/>
      </w:r>
      <w:r w:rsidR="00802AE9" w:rsidRPr="001A5C7A">
        <w:rPr>
          <w:rFonts w:ascii="Arial" w:hAnsi="Arial" w:cs="Arial"/>
        </w:rPr>
        <w:t>–</w:t>
      </w:r>
      <w:r w:rsidR="000B1C37" w:rsidRPr="001A5C7A">
        <w:rPr>
          <w:rFonts w:ascii="Arial" w:hAnsi="Arial" w:cs="Arial"/>
        </w:rPr>
        <w:t>12 school calculation.</w:t>
      </w:r>
    </w:p>
    <w:p w14:paraId="4F7A877B" w14:textId="77777777" w:rsidR="00D45881" w:rsidRPr="001427AF" w:rsidRDefault="00D45881" w:rsidP="00D45881">
      <w:pPr>
        <w:pStyle w:val="Default"/>
        <w:contextualSpacing/>
        <w:rPr>
          <w:rFonts w:ascii="Arial" w:hAnsi="Arial" w:cs="Arial"/>
          <w:b/>
          <w:iCs/>
        </w:rPr>
      </w:pPr>
      <w:r w:rsidRPr="001427AF">
        <w:rPr>
          <w:rFonts w:ascii="Arial" w:hAnsi="Arial" w:cs="Arial"/>
        </w:rPr>
        <w:t xml:space="preserve"> </w:t>
      </w:r>
    </w:p>
    <w:p w14:paraId="2AAC644F" w14:textId="326A6ABB" w:rsidR="00D45881" w:rsidRPr="001427AF" w:rsidRDefault="00D45881" w:rsidP="00D45881">
      <w:pPr>
        <w:pStyle w:val="TableHead"/>
        <w:spacing w:after="0" w:line="240" w:lineRule="auto"/>
        <w:ind w:left="0"/>
        <w:contextualSpacing/>
        <w:rPr>
          <w:rFonts w:ascii="Arial" w:hAnsi="Arial" w:cs="Arial"/>
          <w:i w:val="0"/>
          <w:sz w:val="20"/>
        </w:rPr>
      </w:pPr>
      <w:r w:rsidRPr="001427AF">
        <w:rPr>
          <w:rFonts w:ascii="Arial" w:hAnsi="Arial" w:cs="Arial"/>
          <w:i w:val="0"/>
          <w:sz w:val="20"/>
        </w:rPr>
        <w:t>TABLE 2.2. Sample high school calculation</w:t>
      </w:r>
      <w:r w:rsidR="00165009">
        <w:rPr>
          <w:rFonts w:ascii="Arial" w:hAnsi="Arial" w:cs="Arial"/>
          <w:i w:val="0"/>
          <w:sz w:val="20"/>
        </w:rPr>
        <w:t xml:space="preserve"> (proficiency)</w:t>
      </w:r>
    </w:p>
    <w:tbl>
      <w:tblPr>
        <w:tblW w:w="9645" w:type="dxa"/>
        <w:tblInd w:w="-15"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1E0" w:firstRow="1" w:lastRow="1" w:firstColumn="1" w:lastColumn="1" w:noHBand="0" w:noVBand="0"/>
        <w:tblDescription w:val="This table provides an example calculation of a high schools, school performance grade. This table is different from table 1.4 because in the school performance grade calculation the reading and math subjects are combined in the academic achievement assessments measure. The footnote explains how minimum n is implemented for this measure. "/>
      </w:tblPr>
      <w:tblGrid>
        <w:gridCol w:w="3978"/>
        <w:gridCol w:w="2569"/>
        <w:gridCol w:w="3098"/>
      </w:tblGrid>
      <w:tr w:rsidR="001B6299" w:rsidRPr="001427AF" w14:paraId="150F7B75" w14:textId="77777777" w:rsidTr="00C57157">
        <w:trPr>
          <w:trHeight w:val="407"/>
        </w:trPr>
        <w:tc>
          <w:tcPr>
            <w:tcW w:w="3978" w:type="dxa"/>
            <w:tcBorders>
              <w:top w:val="single" w:sz="12" w:space="0" w:color="auto"/>
              <w:bottom w:val="single" w:sz="12" w:space="0" w:color="auto"/>
              <w:right w:val="single" w:sz="12" w:space="0" w:color="auto"/>
            </w:tcBorders>
            <w:shd w:val="clear" w:color="auto" w:fill="ACB9CA" w:themeFill="text2" w:themeFillTint="66"/>
            <w:vAlign w:val="center"/>
          </w:tcPr>
          <w:p w14:paraId="0720825A" w14:textId="77777777" w:rsidR="001B6299" w:rsidRPr="001427AF" w:rsidRDefault="001B6299">
            <w:pPr>
              <w:spacing w:line="240" w:lineRule="auto"/>
              <w:contextualSpacing/>
              <w:rPr>
                <w:rFonts w:ascii="Arial" w:hAnsi="Arial" w:cs="Arial"/>
                <w:b/>
                <w:sz w:val="20"/>
              </w:rPr>
            </w:pPr>
            <w:r w:rsidRPr="001427AF">
              <w:rPr>
                <w:rFonts w:ascii="Arial" w:hAnsi="Arial" w:cs="Arial"/>
                <w:b/>
                <w:sz w:val="20"/>
              </w:rPr>
              <w:t>Measure</w:t>
            </w:r>
          </w:p>
        </w:tc>
        <w:tc>
          <w:tcPr>
            <w:tcW w:w="2569" w:type="dxa"/>
            <w:tcBorders>
              <w:top w:val="single" w:sz="12" w:space="0" w:color="auto"/>
              <w:left w:val="single" w:sz="12" w:space="0" w:color="auto"/>
              <w:bottom w:val="single" w:sz="12" w:space="0" w:color="auto"/>
            </w:tcBorders>
            <w:shd w:val="clear" w:color="auto" w:fill="ACB9CA" w:themeFill="text2" w:themeFillTint="66"/>
            <w:vAlign w:val="center"/>
          </w:tcPr>
          <w:p w14:paraId="053574E4" w14:textId="77777777" w:rsidR="001B6299" w:rsidRPr="001427AF" w:rsidRDefault="001B6299">
            <w:pPr>
              <w:spacing w:line="240" w:lineRule="auto"/>
              <w:contextualSpacing/>
              <w:jc w:val="center"/>
              <w:rPr>
                <w:rFonts w:ascii="Arial" w:hAnsi="Arial" w:cs="Arial"/>
                <w:b/>
                <w:sz w:val="20"/>
              </w:rPr>
            </w:pPr>
            <w:r w:rsidRPr="001427AF">
              <w:rPr>
                <w:rFonts w:ascii="Arial" w:hAnsi="Arial" w:cs="Arial"/>
                <w:b/>
                <w:sz w:val="20"/>
              </w:rPr>
              <w:t>Numerator</w:t>
            </w:r>
          </w:p>
        </w:tc>
        <w:tc>
          <w:tcPr>
            <w:tcW w:w="3098" w:type="dxa"/>
            <w:tcBorders>
              <w:top w:val="single" w:sz="12" w:space="0" w:color="auto"/>
              <w:bottom w:val="single" w:sz="12" w:space="0" w:color="auto"/>
            </w:tcBorders>
            <w:shd w:val="clear" w:color="auto" w:fill="ACB9CA" w:themeFill="text2" w:themeFillTint="66"/>
            <w:vAlign w:val="center"/>
          </w:tcPr>
          <w:p w14:paraId="6ED1F929" w14:textId="77777777" w:rsidR="001B6299" w:rsidRPr="001427AF" w:rsidRDefault="001B6299">
            <w:pPr>
              <w:spacing w:line="240" w:lineRule="auto"/>
              <w:contextualSpacing/>
              <w:jc w:val="center"/>
              <w:rPr>
                <w:rFonts w:ascii="Arial" w:hAnsi="Arial" w:cs="Arial"/>
                <w:sz w:val="20"/>
              </w:rPr>
            </w:pPr>
            <w:r w:rsidRPr="001427AF">
              <w:rPr>
                <w:rFonts w:ascii="Arial" w:hAnsi="Arial" w:cs="Arial"/>
                <w:b/>
                <w:sz w:val="20"/>
              </w:rPr>
              <w:t>Denominator</w:t>
            </w:r>
          </w:p>
        </w:tc>
      </w:tr>
      <w:tr w:rsidR="001B6299" w:rsidRPr="001427AF" w14:paraId="74E88424" w14:textId="77777777" w:rsidTr="00C57157">
        <w:trPr>
          <w:trHeight w:val="407"/>
        </w:trPr>
        <w:tc>
          <w:tcPr>
            <w:tcW w:w="3978" w:type="dxa"/>
            <w:tcBorders>
              <w:top w:val="single" w:sz="12" w:space="0" w:color="auto"/>
              <w:right w:val="single" w:sz="12" w:space="0" w:color="auto"/>
            </w:tcBorders>
            <w:vAlign w:val="center"/>
          </w:tcPr>
          <w:p w14:paraId="0DFFFE64" w14:textId="77777777" w:rsidR="001B6299" w:rsidRPr="001427AF" w:rsidRDefault="001B6299">
            <w:pPr>
              <w:spacing w:line="240" w:lineRule="auto"/>
              <w:contextualSpacing/>
              <w:rPr>
                <w:rFonts w:ascii="Arial" w:hAnsi="Arial" w:cs="Arial"/>
                <w:sz w:val="20"/>
              </w:rPr>
            </w:pPr>
            <w:r w:rsidRPr="001427AF">
              <w:rPr>
                <w:rFonts w:ascii="Arial" w:hAnsi="Arial" w:cs="Arial"/>
                <w:sz w:val="20"/>
              </w:rPr>
              <w:t>Academic Achievement Assessments (AAA)</w:t>
            </w:r>
          </w:p>
          <w:p w14:paraId="30CEEF5C" w14:textId="2361ED7C" w:rsidR="001B6299" w:rsidRPr="001427AF" w:rsidRDefault="001B6299">
            <w:pPr>
              <w:spacing w:line="240" w:lineRule="auto"/>
              <w:contextualSpacing/>
              <w:rPr>
                <w:rFonts w:ascii="Arial" w:hAnsi="Arial" w:cs="Arial"/>
                <w:sz w:val="20"/>
              </w:rPr>
            </w:pPr>
            <w:r w:rsidRPr="001427AF">
              <w:rPr>
                <w:rFonts w:ascii="Arial" w:hAnsi="Arial" w:cs="Arial"/>
                <w:sz w:val="20"/>
              </w:rPr>
              <w:t>(Combines reading and math)</w:t>
            </w:r>
            <w:r w:rsidR="00DB67EF">
              <w:rPr>
                <w:rFonts w:ascii="ZWAdobeF" w:hAnsi="ZWAdobeF" w:cs="ZWAdobeF"/>
                <w:color w:val="auto"/>
                <w:sz w:val="2"/>
                <w:szCs w:val="2"/>
              </w:rPr>
              <w:t>2F</w:t>
            </w:r>
            <w:r w:rsidR="00C253D2">
              <w:rPr>
                <w:rStyle w:val="FootnoteReference"/>
                <w:rFonts w:ascii="Arial" w:hAnsi="Arial" w:cs="Arial"/>
                <w:sz w:val="20"/>
              </w:rPr>
              <w:footnoteReference w:id="4"/>
            </w:r>
            <w:bookmarkStart w:id="275" w:name="table2hs"/>
            <w:bookmarkEnd w:id="275"/>
          </w:p>
        </w:tc>
        <w:tc>
          <w:tcPr>
            <w:tcW w:w="2569" w:type="dxa"/>
            <w:tcBorders>
              <w:top w:val="single" w:sz="12" w:space="0" w:color="auto"/>
              <w:left w:val="single" w:sz="12" w:space="0" w:color="auto"/>
            </w:tcBorders>
            <w:vAlign w:val="center"/>
          </w:tcPr>
          <w:p w14:paraId="0DC17CA2"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117 (NC Math 1 or NC Math 3) + 135 (English II)</w:t>
            </w:r>
          </w:p>
        </w:tc>
        <w:tc>
          <w:tcPr>
            <w:tcW w:w="3098" w:type="dxa"/>
            <w:tcBorders>
              <w:top w:val="single" w:sz="12" w:space="0" w:color="auto"/>
            </w:tcBorders>
            <w:vAlign w:val="center"/>
          </w:tcPr>
          <w:p w14:paraId="52D70F05"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269 (NC Math 1 or NC Math 3) + 274 (English II)</w:t>
            </w:r>
          </w:p>
        </w:tc>
      </w:tr>
      <w:tr w:rsidR="001B6299" w:rsidRPr="001427AF" w14:paraId="21A1F961" w14:textId="77777777" w:rsidTr="00C57157">
        <w:trPr>
          <w:trHeight w:val="407"/>
        </w:trPr>
        <w:tc>
          <w:tcPr>
            <w:tcW w:w="3978" w:type="dxa"/>
            <w:tcBorders>
              <w:right w:val="single" w:sz="12" w:space="0" w:color="auto"/>
            </w:tcBorders>
            <w:vAlign w:val="center"/>
          </w:tcPr>
          <w:p w14:paraId="172252C4" w14:textId="77777777" w:rsidR="001B6299" w:rsidRPr="001427AF" w:rsidRDefault="001B6299">
            <w:pPr>
              <w:spacing w:line="240" w:lineRule="auto"/>
              <w:contextualSpacing/>
              <w:rPr>
                <w:rFonts w:ascii="Arial" w:hAnsi="Arial" w:cs="Arial"/>
                <w:sz w:val="20"/>
              </w:rPr>
            </w:pPr>
            <w:r w:rsidRPr="001427AF">
              <w:rPr>
                <w:rFonts w:ascii="Arial" w:hAnsi="Arial" w:cs="Arial"/>
                <w:sz w:val="20"/>
              </w:rPr>
              <w:t>Four-Year Cohort Graduation Rate</w:t>
            </w:r>
          </w:p>
        </w:tc>
        <w:tc>
          <w:tcPr>
            <w:tcW w:w="2569" w:type="dxa"/>
            <w:tcBorders>
              <w:left w:val="single" w:sz="12" w:space="0" w:color="auto"/>
            </w:tcBorders>
            <w:vAlign w:val="center"/>
          </w:tcPr>
          <w:p w14:paraId="1ACDDC15"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284</w:t>
            </w:r>
          </w:p>
        </w:tc>
        <w:tc>
          <w:tcPr>
            <w:tcW w:w="3098" w:type="dxa"/>
            <w:vAlign w:val="center"/>
          </w:tcPr>
          <w:p w14:paraId="6680D1EA"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330</w:t>
            </w:r>
          </w:p>
        </w:tc>
      </w:tr>
      <w:tr w:rsidR="001B6299" w:rsidRPr="001427AF" w14:paraId="034C2F7A" w14:textId="77777777" w:rsidTr="00C57157">
        <w:trPr>
          <w:trHeight w:val="407"/>
        </w:trPr>
        <w:tc>
          <w:tcPr>
            <w:tcW w:w="3978" w:type="dxa"/>
            <w:tcBorders>
              <w:right w:val="single" w:sz="12" w:space="0" w:color="auto"/>
            </w:tcBorders>
            <w:vAlign w:val="center"/>
          </w:tcPr>
          <w:p w14:paraId="5DE8BFCD" w14:textId="77777777" w:rsidR="001B6299" w:rsidRPr="001427AF" w:rsidRDefault="001B6299">
            <w:pPr>
              <w:spacing w:line="240" w:lineRule="auto"/>
              <w:contextualSpacing/>
              <w:rPr>
                <w:rFonts w:ascii="Arial" w:hAnsi="Arial" w:cs="Arial"/>
                <w:sz w:val="20"/>
              </w:rPr>
            </w:pPr>
            <w:r w:rsidRPr="001427AF">
              <w:rPr>
                <w:rFonts w:ascii="Arial" w:hAnsi="Arial" w:cs="Arial"/>
                <w:sz w:val="20"/>
              </w:rPr>
              <w:t>English Learner Progress</w:t>
            </w:r>
          </w:p>
        </w:tc>
        <w:tc>
          <w:tcPr>
            <w:tcW w:w="2569" w:type="dxa"/>
            <w:tcBorders>
              <w:left w:val="single" w:sz="12" w:space="0" w:color="auto"/>
            </w:tcBorders>
            <w:vAlign w:val="center"/>
          </w:tcPr>
          <w:p w14:paraId="4512F2D7"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9</w:t>
            </w:r>
          </w:p>
        </w:tc>
        <w:tc>
          <w:tcPr>
            <w:tcW w:w="3098" w:type="dxa"/>
            <w:vAlign w:val="center"/>
          </w:tcPr>
          <w:p w14:paraId="02FAF402"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34</w:t>
            </w:r>
          </w:p>
        </w:tc>
      </w:tr>
      <w:tr w:rsidR="001B6299" w:rsidRPr="001427AF" w14:paraId="6421EEDD" w14:textId="77777777" w:rsidTr="00C57157">
        <w:trPr>
          <w:trHeight w:val="407"/>
        </w:trPr>
        <w:tc>
          <w:tcPr>
            <w:tcW w:w="3978" w:type="dxa"/>
            <w:tcBorders>
              <w:right w:val="single" w:sz="12" w:space="0" w:color="auto"/>
            </w:tcBorders>
            <w:vAlign w:val="center"/>
          </w:tcPr>
          <w:p w14:paraId="1CC618D7" w14:textId="77777777" w:rsidR="001B6299" w:rsidRPr="001427AF" w:rsidRDefault="001B6299">
            <w:pPr>
              <w:spacing w:line="240" w:lineRule="auto"/>
              <w:contextualSpacing/>
              <w:rPr>
                <w:rFonts w:ascii="Arial" w:hAnsi="Arial" w:cs="Arial"/>
                <w:sz w:val="20"/>
              </w:rPr>
            </w:pPr>
            <w:r w:rsidRPr="001427AF">
              <w:rPr>
                <w:rFonts w:ascii="Arial" w:hAnsi="Arial" w:cs="Arial"/>
                <w:sz w:val="20"/>
              </w:rPr>
              <w:t>EOC Biology</w:t>
            </w:r>
          </w:p>
        </w:tc>
        <w:tc>
          <w:tcPr>
            <w:tcW w:w="2569" w:type="dxa"/>
            <w:tcBorders>
              <w:left w:val="single" w:sz="12" w:space="0" w:color="auto"/>
            </w:tcBorders>
            <w:vAlign w:val="center"/>
          </w:tcPr>
          <w:p w14:paraId="76B3A873"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124</w:t>
            </w:r>
          </w:p>
        </w:tc>
        <w:tc>
          <w:tcPr>
            <w:tcW w:w="3098" w:type="dxa"/>
            <w:vAlign w:val="center"/>
          </w:tcPr>
          <w:p w14:paraId="65524B65"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240</w:t>
            </w:r>
          </w:p>
        </w:tc>
      </w:tr>
      <w:tr w:rsidR="001B6299" w:rsidRPr="001427AF" w14:paraId="3A6395B1" w14:textId="77777777" w:rsidTr="00C57157">
        <w:trPr>
          <w:trHeight w:val="407"/>
        </w:trPr>
        <w:tc>
          <w:tcPr>
            <w:tcW w:w="3978" w:type="dxa"/>
            <w:tcBorders>
              <w:right w:val="single" w:sz="12" w:space="0" w:color="auto"/>
            </w:tcBorders>
            <w:vAlign w:val="center"/>
          </w:tcPr>
          <w:p w14:paraId="04D57F5D" w14:textId="77777777" w:rsidR="001B6299" w:rsidRPr="001427AF" w:rsidRDefault="001B6299">
            <w:pPr>
              <w:spacing w:line="240" w:lineRule="auto"/>
              <w:contextualSpacing/>
              <w:rPr>
                <w:rFonts w:ascii="Arial" w:hAnsi="Arial" w:cs="Arial"/>
                <w:sz w:val="20"/>
              </w:rPr>
            </w:pPr>
            <w:r w:rsidRPr="001427AF">
              <w:rPr>
                <w:rFonts w:ascii="Arial" w:hAnsi="Arial" w:cs="Arial"/>
                <w:sz w:val="20"/>
              </w:rPr>
              <w:t xml:space="preserve">The ACT/WorkKeys </w:t>
            </w:r>
          </w:p>
        </w:tc>
        <w:tc>
          <w:tcPr>
            <w:tcW w:w="2569" w:type="dxa"/>
            <w:tcBorders>
              <w:left w:val="single" w:sz="12" w:space="0" w:color="auto"/>
            </w:tcBorders>
            <w:vAlign w:val="center"/>
          </w:tcPr>
          <w:p w14:paraId="0D83B58E"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197</w:t>
            </w:r>
          </w:p>
        </w:tc>
        <w:tc>
          <w:tcPr>
            <w:tcW w:w="3098" w:type="dxa"/>
            <w:vAlign w:val="center"/>
          </w:tcPr>
          <w:p w14:paraId="10D8C6DB"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238</w:t>
            </w:r>
          </w:p>
        </w:tc>
      </w:tr>
      <w:tr w:rsidR="001B6299" w:rsidRPr="001427AF" w14:paraId="6E91CFA5" w14:textId="77777777" w:rsidTr="00C57157">
        <w:trPr>
          <w:trHeight w:val="407"/>
        </w:trPr>
        <w:tc>
          <w:tcPr>
            <w:tcW w:w="3978" w:type="dxa"/>
            <w:tcBorders>
              <w:bottom w:val="single" w:sz="12" w:space="0" w:color="auto"/>
              <w:right w:val="single" w:sz="12" w:space="0" w:color="auto"/>
            </w:tcBorders>
            <w:vAlign w:val="center"/>
          </w:tcPr>
          <w:p w14:paraId="1972851D" w14:textId="77777777" w:rsidR="001B6299" w:rsidRPr="001427AF" w:rsidRDefault="001B6299">
            <w:pPr>
              <w:spacing w:line="240" w:lineRule="auto"/>
              <w:contextualSpacing/>
              <w:rPr>
                <w:rFonts w:ascii="Arial" w:hAnsi="Arial" w:cs="Arial"/>
                <w:sz w:val="20"/>
              </w:rPr>
            </w:pPr>
            <w:r w:rsidRPr="001427AF">
              <w:rPr>
                <w:rFonts w:ascii="Arial" w:hAnsi="Arial" w:cs="Arial"/>
                <w:sz w:val="20"/>
              </w:rPr>
              <w:t>Math Course Rigor</w:t>
            </w:r>
          </w:p>
        </w:tc>
        <w:tc>
          <w:tcPr>
            <w:tcW w:w="2569" w:type="dxa"/>
            <w:tcBorders>
              <w:left w:val="single" w:sz="12" w:space="0" w:color="auto"/>
              <w:bottom w:val="single" w:sz="12" w:space="0" w:color="auto"/>
            </w:tcBorders>
            <w:vAlign w:val="center"/>
          </w:tcPr>
          <w:p w14:paraId="59696CE5"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261</w:t>
            </w:r>
          </w:p>
        </w:tc>
        <w:tc>
          <w:tcPr>
            <w:tcW w:w="3098" w:type="dxa"/>
            <w:tcBorders>
              <w:bottom w:val="single" w:sz="12" w:space="0" w:color="auto"/>
            </w:tcBorders>
            <w:vAlign w:val="center"/>
          </w:tcPr>
          <w:p w14:paraId="3C837258" w14:textId="77777777" w:rsidR="001B6299" w:rsidRPr="001427AF" w:rsidRDefault="001B6299">
            <w:pPr>
              <w:spacing w:line="240" w:lineRule="auto"/>
              <w:contextualSpacing/>
              <w:jc w:val="center"/>
              <w:rPr>
                <w:rFonts w:ascii="Arial" w:hAnsi="Arial" w:cs="Arial"/>
                <w:sz w:val="20"/>
              </w:rPr>
            </w:pPr>
            <w:r w:rsidRPr="001427AF">
              <w:rPr>
                <w:rFonts w:ascii="Arial" w:hAnsi="Arial" w:cs="Arial"/>
                <w:sz w:val="20"/>
              </w:rPr>
              <w:t>273</w:t>
            </w:r>
          </w:p>
        </w:tc>
      </w:tr>
      <w:tr w:rsidR="001B6299" w:rsidRPr="001427AF" w14:paraId="33C569D9" w14:textId="77777777" w:rsidTr="00C57157">
        <w:trPr>
          <w:trHeight w:val="407"/>
        </w:trPr>
        <w:tc>
          <w:tcPr>
            <w:tcW w:w="3978" w:type="dxa"/>
            <w:tcBorders>
              <w:top w:val="single" w:sz="12" w:space="0" w:color="auto"/>
              <w:right w:val="single" w:sz="12" w:space="0" w:color="auto"/>
            </w:tcBorders>
            <w:vAlign w:val="center"/>
          </w:tcPr>
          <w:p w14:paraId="6AD7CD5F" w14:textId="50ADFFE8" w:rsidR="001B6299" w:rsidRPr="00C57157" w:rsidRDefault="001B6299">
            <w:pPr>
              <w:spacing w:line="240" w:lineRule="auto"/>
              <w:contextualSpacing/>
              <w:rPr>
                <w:rFonts w:ascii="Arial" w:hAnsi="Arial" w:cs="Arial"/>
                <w:b/>
                <w:bCs/>
                <w:sz w:val="20"/>
              </w:rPr>
            </w:pPr>
            <w:r w:rsidRPr="00C57157">
              <w:rPr>
                <w:rFonts w:ascii="Arial" w:hAnsi="Arial" w:cs="Arial"/>
                <w:b/>
                <w:bCs/>
                <w:sz w:val="20"/>
              </w:rPr>
              <w:t>Total</w:t>
            </w:r>
          </w:p>
        </w:tc>
        <w:tc>
          <w:tcPr>
            <w:tcW w:w="2569" w:type="dxa"/>
            <w:tcBorders>
              <w:top w:val="single" w:sz="12" w:space="0" w:color="auto"/>
              <w:left w:val="single" w:sz="12" w:space="0" w:color="auto"/>
            </w:tcBorders>
            <w:vAlign w:val="center"/>
          </w:tcPr>
          <w:p w14:paraId="73EEAD05" w14:textId="04EF7F7F" w:rsidR="001B6299" w:rsidRPr="00C57157" w:rsidRDefault="001B6299">
            <w:pPr>
              <w:spacing w:line="240" w:lineRule="auto"/>
              <w:contextualSpacing/>
              <w:jc w:val="center"/>
              <w:rPr>
                <w:rFonts w:ascii="Arial" w:hAnsi="Arial" w:cs="Arial"/>
                <w:b/>
                <w:bCs/>
                <w:sz w:val="20"/>
              </w:rPr>
            </w:pPr>
            <w:r w:rsidRPr="00C57157">
              <w:rPr>
                <w:rFonts w:ascii="Arial" w:hAnsi="Arial" w:cs="Arial"/>
                <w:b/>
                <w:bCs/>
                <w:sz w:val="20"/>
              </w:rPr>
              <w:t>1,127</w:t>
            </w:r>
          </w:p>
          <w:p w14:paraId="26708E3B" w14:textId="77777777" w:rsidR="001B6299" w:rsidRPr="00C57157" w:rsidRDefault="001B6299">
            <w:pPr>
              <w:spacing w:line="240" w:lineRule="auto"/>
              <w:contextualSpacing/>
              <w:jc w:val="center"/>
              <w:rPr>
                <w:rFonts w:ascii="Arial" w:hAnsi="Arial" w:cs="Arial"/>
                <w:b/>
                <w:bCs/>
                <w:sz w:val="20"/>
              </w:rPr>
            </w:pPr>
            <w:r w:rsidRPr="00C57157">
              <w:rPr>
                <w:rFonts w:ascii="Arial" w:hAnsi="Arial" w:cs="Arial"/>
                <w:b/>
                <w:bCs/>
                <w:sz w:val="20"/>
              </w:rPr>
              <w:t>(Sum of numerators)</w:t>
            </w:r>
          </w:p>
        </w:tc>
        <w:tc>
          <w:tcPr>
            <w:tcW w:w="3098" w:type="dxa"/>
            <w:tcBorders>
              <w:top w:val="single" w:sz="12" w:space="0" w:color="auto"/>
            </w:tcBorders>
            <w:vAlign w:val="center"/>
          </w:tcPr>
          <w:p w14:paraId="470D3930" w14:textId="72FAEA4C" w:rsidR="001B6299" w:rsidRPr="00C57157" w:rsidRDefault="001B6299">
            <w:pPr>
              <w:spacing w:line="240" w:lineRule="auto"/>
              <w:contextualSpacing/>
              <w:jc w:val="center"/>
              <w:rPr>
                <w:rFonts w:ascii="Arial" w:hAnsi="Arial" w:cs="Arial"/>
                <w:b/>
                <w:bCs/>
                <w:sz w:val="20"/>
              </w:rPr>
            </w:pPr>
            <w:r w:rsidRPr="00C57157">
              <w:rPr>
                <w:rFonts w:ascii="Arial" w:hAnsi="Arial" w:cs="Arial"/>
                <w:b/>
                <w:bCs/>
                <w:sz w:val="20"/>
              </w:rPr>
              <w:t>1,658</w:t>
            </w:r>
          </w:p>
          <w:p w14:paraId="6157B26A" w14:textId="77777777" w:rsidR="001B6299" w:rsidRPr="00C57157" w:rsidRDefault="001B6299">
            <w:pPr>
              <w:spacing w:line="240" w:lineRule="auto"/>
              <w:contextualSpacing/>
              <w:jc w:val="center"/>
              <w:rPr>
                <w:rFonts w:ascii="Arial" w:hAnsi="Arial" w:cs="Arial"/>
                <w:b/>
                <w:bCs/>
                <w:sz w:val="20"/>
              </w:rPr>
            </w:pPr>
            <w:r w:rsidRPr="00C57157">
              <w:rPr>
                <w:rFonts w:ascii="Arial" w:hAnsi="Arial" w:cs="Arial"/>
                <w:b/>
                <w:bCs/>
                <w:sz w:val="20"/>
              </w:rPr>
              <w:t>(</w:t>
            </w:r>
            <w:bookmarkStart w:id="276" w:name="_Int_sIptlVdy"/>
            <w:r w:rsidRPr="00C57157">
              <w:rPr>
                <w:rFonts w:ascii="Arial" w:hAnsi="Arial" w:cs="Arial"/>
                <w:b/>
                <w:bCs/>
                <w:sz w:val="20"/>
              </w:rPr>
              <w:t>Sum</w:t>
            </w:r>
            <w:bookmarkEnd w:id="276"/>
            <w:r w:rsidRPr="00C57157">
              <w:rPr>
                <w:rFonts w:ascii="Arial" w:hAnsi="Arial" w:cs="Arial"/>
                <w:b/>
                <w:bCs/>
                <w:sz w:val="20"/>
              </w:rPr>
              <w:t xml:space="preserve"> of denominators)</w:t>
            </w:r>
          </w:p>
        </w:tc>
      </w:tr>
    </w:tbl>
    <w:p w14:paraId="3FFF0615" w14:textId="7FEB96EB" w:rsidR="00D45881" w:rsidRDefault="006F445F" w:rsidP="006F445F">
      <w:pPr>
        <w:spacing w:line="240" w:lineRule="auto"/>
        <w:contextualSpacing/>
        <w:rPr>
          <w:rFonts w:ascii="Arial" w:hAnsi="Arial" w:cs="Arial"/>
          <w:sz w:val="20"/>
        </w:rPr>
      </w:pPr>
      <w:r w:rsidRPr="001427AF">
        <w:rPr>
          <w:rFonts w:ascii="Arial" w:hAnsi="Arial" w:cs="Arial"/>
          <w:b/>
          <w:sz w:val="20"/>
        </w:rPr>
        <w:t>Achievement score used in final calculations</w:t>
      </w:r>
      <w:r>
        <w:rPr>
          <w:rFonts w:ascii="Arial" w:hAnsi="Arial" w:cs="Arial"/>
          <w:b/>
          <w:sz w:val="20"/>
        </w:rPr>
        <w:t xml:space="preserve"> - </w:t>
      </w:r>
      <w:r w:rsidRPr="001427AF">
        <w:rPr>
          <w:rFonts w:ascii="Arial" w:hAnsi="Arial" w:cs="Arial"/>
          <w:sz w:val="20"/>
        </w:rPr>
        <w:t>1127/1658 = 68.0</w:t>
      </w:r>
    </w:p>
    <w:p w14:paraId="4F90F5D5" w14:textId="77777777" w:rsidR="006F445F" w:rsidRDefault="006F445F" w:rsidP="006F445F">
      <w:pPr>
        <w:pStyle w:val="Default"/>
        <w:contextualSpacing/>
        <w:rPr>
          <w:rFonts w:ascii="Arial" w:hAnsi="Arial" w:cs="Arial"/>
        </w:rPr>
      </w:pPr>
    </w:p>
    <w:p w14:paraId="1DB2CE61" w14:textId="208BF086" w:rsidR="009263C9" w:rsidRDefault="00165009" w:rsidP="00CD065A">
      <w:pPr>
        <w:pStyle w:val="TableHead"/>
        <w:spacing w:after="0" w:line="240" w:lineRule="auto"/>
        <w:ind w:left="0"/>
        <w:contextualSpacing/>
        <w:rPr>
          <w:rFonts w:ascii="Arial" w:hAnsi="Arial" w:cs="Arial"/>
        </w:rPr>
      </w:pPr>
      <w:r w:rsidRPr="001427AF">
        <w:rPr>
          <w:rFonts w:ascii="Arial" w:hAnsi="Arial" w:cs="Arial"/>
          <w:i w:val="0"/>
          <w:sz w:val="20"/>
        </w:rPr>
        <w:t>TABLE 2.2.</w:t>
      </w:r>
      <w:r>
        <w:rPr>
          <w:rFonts w:ascii="Arial" w:hAnsi="Arial" w:cs="Arial"/>
          <w:i w:val="0"/>
          <w:sz w:val="20"/>
        </w:rPr>
        <w:t xml:space="preserve">1. </w:t>
      </w:r>
      <w:r w:rsidRPr="001427AF">
        <w:rPr>
          <w:rFonts w:ascii="Arial" w:hAnsi="Arial" w:cs="Arial"/>
          <w:i w:val="0"/>
          <w:sz w:val="20"/>
        </w:rPr>
        <w:t>Sample high school calculation</w:t>
      </w:r>
      <w:r>
        <w:rPr>
          <w:rFonts w:ascii="Arial" w:hAnsi="Arial" w:cs="Arial"/>
          <w:i w:val="0"/>
          <w:sz w:val="20"/>
        </w:rPr>
        <w:t xml:space="preserve"> (growth)</w:t>
      </w:r>
    </w:p>
    <w:tbl>
      <w:tblPr>
        <w:tblStyle w:val="TableGrid"/>
        <w:tblW w:w="96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48"/>
        <w:gridCol w:w="3045"/>
        <w:gridCol w:w="3521"/>
      </w:tblGrid>
      <w:tr w:rsidR="001F5C7F" w14:paraId="134D2DC5" w14:textId="77777777" w:rsidTr="00C57157">
        <w:trPr>
          <w:trHeight w:val="491"/>
        </w:trPr>
        <w:tc>
          <w:tcPr>
            <w:tcW w:w="3048" w:type="dxa"/>
            <w:shd w:val="clear" w:color="auto" w:fill="ACB9CA" w:themeFill="text2" w:themeFillTint="66"/>
            <w:vAlign w:val="center"/>
          </w:tcPr>
          <w:p w14:paraId="706DB797" w14:textId="546B93C3" w:rsidR="001F5C7F" w:rsidRPr="00CD065A" w:rsidRDefault="001F5C7F" w:rsidP="00D45881">
            <w:pPr>
              <w:pStyle w:val="Default"/>
              <w:contextualSpacing/>
              <w:rPr>
                <w:rFonts w:ascii="Arial" w:hAnsi="Arial" w:cs="Arial"/>
                <w:b/>
                <w:bCs/>
              </w:rPr>
            </w:pPr>
            <w:r w:rsidRPr="00CD065A">
              <w:rPr>
                <w:rFonts w:ascii="Arial" w:hAnsi="Arial" w:cs="Arial"/>
                <w:b/>
                <w:bCs/>
              </w:rPr>
              <w:t>Measure</w:t>
            </w:r>
          </w:p>
        </w:tc>
        <w:tc>
          <w:tcPr>
            <w:tcW w:w="3045" w:type="dxa"/>
            <w:shd w:val="clear" w:color="auto" w:fill="ACB9CA" w:themeFill="text2" w:themeFillTint="66"/>
            <w:vAlign w:val="center"/>
          </w:tcPr>
          <w:p w14:paraId="3C2905E1" w14:textId="0780089B" w:rsidR="001F5C7F" w:rsidRPr="00CD065A" w:rsidRDefault="001F5C7F" w:rsidP="00C57157">
            <w:pPr>
              <w:pStyle w:val="Default"/>
              <w:contextualSpacing/>
              <w:jc w:val="center"/>
              <w:rPr>
                <w:rFonts w:ascii="Arial" w:hAnsi="Arial" w:cs="Arial"/>
                <w:b/>
                <w:bCs/>
              </w:rPr>
            </w:pPr>
            <w:r w:rsidRPr="00CD065A">
              <w:rPr>
                <w:rFonts w:ascii="Arial" w:hAnsi="Arial" w:cs="Arial"/>
                <w:b/>
                <w:bCs/>
                <w:sz w:val="20"/>
              </w:rPr>
              <w:t>Composite Index</w:t>
            </w:r>
          </w:p>
        </w:tc>
        <w:tc>
          <w:tcPr>
            <w:tcW w:w="3521" w:type="dxa"/>
            <w:shd w:val="clear" w:color="auto" w:fill="ACB9CA" w:themeFill="text2" w:themeFillTint="66"/>
            <w:vAlign w:val="center"/>
          </w:tcPr>
          <w:p w14:paraId="0CD3637B" w14:textId="35BFC2C2" w:rsidR="001F5C7F" w:rsidRPr="00CD065A" w:rsidRDefault="001F5C7F" w:rsidP="00C57157">
            <w:pPr>
              <w:pStyle w:val="Default"/>
              <w:contextualSpacing/>
              <w:jc w:val="center"/>
              <w:rPr>
                <w:rFonts w:ascii="Arial" w:hAnsi="Arial" w:cs="Arial"/>
                <w:b/>
                <w:bCs/>
              </w:rPr>
            </w:pPr>
            <w:r w:rsidRPr="00CD065A">
              <w:rPr>
                <w:rFonts w:ascii="Arial" w:hAnsi="Arial" w:cs="Arial"/>
                <w:b/>
                <w:bCs/>
                <w:sz w:val="20"/>
              </w:rPr>
              <w:t>Growth score used in final calculations</w:t>
            </w:r>
          </w:p>
        </w:tc>
      </w:tr>
      <w:tr w:rsidR="001F5C7F" w14:paraId="2574CA71" w14:textId="77777777" w:rsidTr="00C57157">
        <w:trPr>
          <w:trHeight w:val="654"/>
        </w:trPr>
        <w:tc>
          <w:tcPr>
            <w:tcW w:w="3048" w:type="dxa"/>
          </w:tcPr>
          <w:p w14:paraId="12E18AED" w14:textId="61CD7AA4" w:rsidR="001F5C7F" w:rsidRPr="00CD065A" w:rsidRDefault="001F5C7F" w:rsidP="00D45881">
            <w:pPr>
              <w:pStyle w:val="Default"/>
              <w:contextualSpacing/>
              <w:rPr>
                <w:rFonts w:ascii="Arial" w:hAnsi="Arial" w:cs="Arial"/>
                <w:b/>
                <w:bCs/>
              </w:rPr>
            </w:pPr>
            <w:r w:rsidRPr="00CD065A">
              <w:rPr>
                <w:rFonts w:ascii="Arial" w:hAnsi="Arial" w:cs="Arial"/>
                <w:b/>
                <w:bCs/>
                <w:sz w:val="20"/>
              </w:rPr>
              <w:t>Accountability Growth Score (Reading and math composite)</w:t>
            </w:r>
          </w:p>
        </w:tc>
        <w:tc>
          <w:tcPr>
            <w:tcW w:w="3045" w:type="dxa"/>
            <w:vAlign w:val="center"/>
          </w:tcPr>
          <w:p w14:paraId="719B6DF4" w14:textId="7DDE42B5" w:rsidR="001F5C7F" w:rsidRDefault="001F5C7F" w:rsidP="00CD065A">
            <w:pPr>
              <w:pStyle w:val="Default"/>
              <w:contextualSpacing/>
              <w:jc w:val="center"/>
              <w:rPr>
                <w:rFonts w:ascii="Arial" w:hAnsi="Arial" w:cs="Arial"/>
              </w:rPr>
            </w:pPr>
            <w:r w:rsidRPr="001427AF">
              <w:rPr>
                <w:rFonts w:ascii="Arial" w:hAnsi="Arial" w:cs="Arial"/>
                <w:sz w:val="20"/>
              </w:rPr>
              <w:t>-0.95</w:t>
            </w:r>
          </w:p>
        </w:tc>
        <w:tc>
          <w:tcPr>
            <w:tcW w:w="3521" w:type="dxa"/>
            <w:vAlign w:val="center"/>
          </w:tcPr>
          <w:p w14:paraId="72D60AE5" w14:textId="347DA14C" w:rsidR="001F5C7F" w:rsidRDefault="001F5C7F" w:rsidP="00CD065A">
            <w:pPr>
              <w:pStyle w:val="Default"/>
              <w:contextualSpacing/>
              <w:jc w:val="center"/>
              <w:rPr>
                <w:rFonts w:ascii="Arial" w:hAnsi="Arial" w:cs="Arial"/>
              </w:rPr>
            </w:pPr>
            <w:r w:rsidRPr="001427AF">
              <w:rPr>
                <w:rFonts w:ascii="Arial" w:hAnsi="Arial" w:cs="Arial"/>
                <w:sz w:val="20"/>
              </w:rPr>
              <w:t>75.2</w:t>
            </w:r>
          </w:p>
        </w:tc>
      </w:tr>
    </w:tbl>
    <w:p w14:paraId="76E20F94" w14:textId="77777777" w:rsidR="009263C9" w:rsidRDefault="009263C9" w:rsidP="00D45881">
      <w:pPr>
        <w:pStyle w:val="Default"/>
        <w:contextualSpacing/>
        <w:rPr>
          <w:rFonts w:ascii="Arial" w:hAnsi="Arial" w:cs="Arial"/>
        </w:rPr>
      </w:pPr>
    </w:p>
    <w:p w14:paraId="1113BA98" w14:textId="7FF9A641" w:rsidR="009263C9" w:rsidRDefault="00651CA1" w:rsidP="002B5614">
      <w:pPr>
        <w:spacing w:line="240" w:lineRule="auto"/>
        <w:ind w:left="43"/>
        <w:rPr>
          <w:rFonts w:ascii="Arial" w:hAnsi="Arial" w:cs="Arial"/>
          <w:szCs w:val="24"/>
        </w:rPr>
      </w:pPr>
      <w:r w:rsidRPr="00651CA1">
        <w:rPr>
          <w:rFonts w:ascii="Arial" w:hAnsi="Arial" w:cs="Arial"/>
          <w:szCs w:val="24"/>
        </w:rPr>
        <w:t>The calculation used to get the final SPG grade</w:t>
      </w:r>
      <w:r w:rsidR="00C64C30">
        <w:rPr>
          <w:rFonts w:ascii="Arial" w:hAnsi="Arial" w:cs="Arial"/>
          <w:szCs w:val="24"/>
        </w:rPr>
        <w:t xml:space="preserve"> for the examples provided in tables 2.2 and 2.2.1</w:t>
      </w:r>
      <w:r w:rsidRPr="00651CA1">
        <w:rPr>
          <w:rFonts w:ascii="Arial" w:hAnsi="Arial" w:cs="Arial"/>
          <w:szCs w:val="24"/>
        </w:rPr>
        <w:t xml:space="preserve"> is </w:t>
      </w:r>
      <w:r w:rsidR="001B6299" w:rsidRPr="002B5614">
        <w:rPr>
          <w:rFonts w:ascii="Arial" w:hAnsi="Arial" w:cs="Arial"/>
          <w:szCs w:val="24"/>
        </w:rPr>
        <w:t>68.0(.8) + 75.2(.2) = 54.4 + 15.04 = 69.44</w:t>
      </w:r>
    </w:p>
    <w:p w14:paraId="7C1C4C21" w14:textId="77777777" w:rsidR="00C57157" w:rsidRDefault="00C57157" w:rsidP="002B5614">
      <w:pPr>
        <w:spacing w:line="240" w:lineRule="auto"/>
        <w:ind w:left="43"/>
        <w:rPr>
          <w:rFonts w:ascii="Arial" w:hAnsi="Arial" w:cs="Arial"/>
          <w:szCs w:val="24"/>
        </w:rPr>
      </w:pPr>
    </w:p>
    <w:p w14:paraId="25967704" w14:textId="77777777" w:rsidR="00C57157" w:rsidRDefault="00C57157" w:rsidP="002B5614">
      <w:pPr>
        <w:spacing w:line="240" w:lineRule="auto"/>
        <w:ind w:left="43"/>
        <w:rPr>
          <w:rFonts w:ascii="Arial" w:hAnsi="Arial" w:cs="Arial"/>
          <w:szCs w:val="24"/>
        </w:rPr>
      </w:pPr>
    </w:p>
    <w:p w14:paraId="4AC161D5" w14:textId="77777777" w:rsidR="00C57157" w:rsidRDefault="00C57157" w:rsidP="002B5614">
      <w:pPr>
        <w:spacing w:line="240" w:lineRule="auto"/>
        <w:ind w:left="43"/>
        <w:rPr>
          <w:rFonts w:ascii="Arial" w:hAnsi="Arial" w:cs="Arial"/>
        </w:rPr>
      </w:pPr>
    </w:p>
    <w:p w14:paraId="5D918D9B" w14:textId="52588E41" w:rsidR="000B1C37" w:rsidRPr="001427AF" w:rsidRDefault="000B1C37" w:rsidP="000B1C37">
      <w:pPr>
        <w:pStyle w:val="TableHead"/>
        <w:spacing w:after="0" w:line="240" w:lineRule="auto"/>
        <w:ind w:left="0"/>
        <w:contextualSpacing/>
        <w:rPr>
          <w:rFonts w:ascii="Arial" w:hAnsi="Arial" w:cs="Arial"/>
          <w:i w:val="0"/>
          <w:sz w:val="20"/>
        </w:rPr>
      </w:pPr>
      <w:r w:rsidRPr="001427AF">
        <w:rPr>
          <w:rFonts w:ascii="Arial" w:hAnsi="Arial" w:cs="Arial"/>
          <w:i w:val="0"/>
          <w:sz w:val="20"/>
        </w:rPr>
        <w:lastRenderedPageBreak/>
        <w:t>TABLE 2.2.</w:t>
      </w:r>
      <w:r w:rsidR="009659DF">
        <w:rPr>
          <w:rFonts w:ascii="Arial" w:hAnsi="Arial" w:cs="Arial"/>
          <w:i w:val="0"/>
          <w:sz w:val="20"/>
        </w:rPr>
        <w:t>2</w:t>
      </w:r>
      <w:r w:rsidR="008B1DF0" w:rsidRPr="001427AF">
        <w:rPr>
          <w:rFonts w:ascii="Arial" w:hAnsi="Arial" w:cs="Arial"/>
          <w:i w:val="0"/>
          <w:sz w:val="20"/>
        </w:rPr>
        <w:t>.</w:t>
      </w:r>
      <w:r w:rsidRPr="001427AF">
        <w:rPr>
          <w:rFonts w:ascii="Arial" w:hAnsi="Arial" w:cs="Arial"/>
          <w:i w:val="0"/>
          <w:sz w:val="20"/>
        </w:rPr>
        <w:t xml:space="preserve"> Sample </w:t>
      </w:r>
      <w:r w:rsidR="008B1DF0" w:rsidRPr="001427AF">
        <w:rPr>
          <w:rFonts w:ascii="Arial" w:hAnsi="Arial" w:cs="Arial"/>
          <w:i w:val="0"/>
          <w:sz w:val="20"/>
        </w:rPr>
        <w:t>K</w:t>
      </w:r>
      <w:r w:rsidR="00802AE9" w:rsidRPr="001427AF">
        <w:rPr>
          <w:rFonts w:ascii="Arial" w:hAnsi="Arial" w:cs="Arial"/>
          <w:i w:val="0"/>
          <w:sz w:val="20"/>
        </w:rPr>
        <w:t>–</w:t>
      </w:r>
      <w:r w:rsidR="008B1DF0" w:rsidRPr="001427AF">
        <w:rPr>
          <w:rFonts w:ascii="Arial" w:hAnsi="Arial" w:cs="Arial"/>
          <w:i w:val="0"/>
          <w:sz w:val="20"/>
        </w:rPr>
        <w:t>12</w:t>
      </w:r>
      <w:r w:rsidRPr="001427AF">
        <w:rPr>
          <w:rFonts w:ascii="Arial" w:hAnsi="Arial" w:cs="Arial"/>
          <w:i w:val="0"/>
          <w:sz w:val="20"/>
        </w:rPr>
        <w:t xml:space="preserve"> school calculation</w:t>
      </w:r>
      <w:r w:rsidR="004769A6">
        <w:rPr>
          <w:rFonts w:ascii="Arial" w:hAnsi="Arial" w:cs="Arial"/>
          <w:i w:val="0"/>
          <w:sz w:val="20"/>
        </w:rPr>
        <w:t xml:space="preserve"> (proficiency)</w:t>
      </w:r>
    </w:p>
    <w:tbl>
      <w:tblPr>
        <w:tblW w:w="9284" w:type="dxa"/>
        <w:tblInd w:w="-15"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1E0" w:firstRow="1" w:lastRow="1" w:firstColumn="1" w:lastColumn="1" w:noHBand="0" w:noVBand="0"/>
        <w:tblDescription w:val="This table provides an example calculation of a kindergarten through grade 12 school's school performance grade. In this table is shows the reading and math subjects are combined in the academic achievement assessments measure. The footnote explains how minimum n is implemented for this measure. "/>
      </w:tblPr>
      <w:tblGrid>
        <w:gridCol w:w="3632"/>
        <w:gridCol w:w="2591"/>
        <w:gridCol w:w="3061"/>
      </w:tblGrid>
      <w:tr w:rsidR="00675B28" w:rsidRPr="001427AF" w14:paraId="2590E441" w14:textId="77777777" w:rsidTr="008818AE">
        <w:trPr>
          <w:trHeight w:val="379"/>
          <w:tblHeader/>
        </w:trPr>
        <w:tc>
          <w:tcPr>
            <w:tcW w:w="3632" w:type="dxa"/>
            <w:tcBorders>
              <w:top w:val="single" w:sz="12" w:space="0" w:color="auto"/>
              <w:bottom w:val="single" w:sz="12" w:space="0" w:color="auto"/>
              <w:right w:val="single" w:sz="12" w:space="0" w:color="auto"/>
            </w:tcBorders>
            <w:shd w:val="clear" w:color="auto" w:fill="ACB9CA" w:themeFill="text2" w:themeFillTint="66"/>
            <w:vAlign w:val="center"/>
          </w:tcPr>
          <w:p w14:paraId="61932E44" w14:textId="77777777" w:rsidR="00675B28" w:rsidRPr="001427AF" w:rsidRDefault="00675B28">
            <w:pPr>
              <w:spacing w:line="240" w:lineRule="auto"/>
              <w:contextualSpacing/>
              <w:rPr>
                <w:rFonts w:ascii="Arial" w:hAnsi="Arial" w:cs="Arial"/>
                <w:b/>
                <w:sz w:val="20"/>
              </w:rPr>
            </w:pPr>
            <w:r w:rsidRPr="001427AF">
              <w:rPr>
                <w:rFonts w:ascii="Arial" w:hAnsi="Arial" w:cs="Arial"/>
                <w:b/>
                <w:sz w:val="20"/>
              </w:rPr>
              <w:t>Measure</w:t>
            </w:r>
          </w:p>
        </w:tc>
        <w:tc>
          <w:tcPr>
            <w:tcW w:w="2591" w:type="dxa"/>
            <w:tcBorders>
              <w:top w:val="single" w:sz="12" w:space="0" w:color="auto"/>
              <w:left w:val="single" w:sz="12" w:space="0" w:color="auto"/>
              <w:bottom w:val="single" w:sz="12" w:space="0" w:color="auto"/>
            </w:tcBorders>
            <w:shd w:val="clear" w:color="auto" w:fill="ACB9CA" w:themeFill="text2" w:themeFillTint="66"/>
            <w:vAlign w:val="center"/>
          </w:tcPr>
          <w:p w14:paraId="6662DD50" w14:textId="77777777" w:rsidR="00675B28" w:rsidRPr="001427AF" w:rsidRDefault="00675B28">
            <w:pPr>
              <w:spacing w:line="240" w:lineRule="auto"/>
              <w:contextualSpacing/>
              <w:jc w:val="center"/>
              <w:rPr>
                <w:rFonts w:ascii="Arial" w:hAnsi="Arial" w:cs="Arial"/>
                <w:b/>
                <w:sz w:val="20"/>
              </w:rPr>
            </w:pPr>
            <w:r w:rsidRPr="001427AF">
              <w:rPr>
                <w:rFonts w:ascii="Arial" w:hAnsi="Arial" w:cs="Arial"/>
                <w:b/>
                <w:sz w:val="20"/>
              </w:rPr>
              <w:t>Numerator</w:t>
            </w:r>
          </w:p>
        </w:tc>
        <w:tc>
          <w:tcPr>
            <w:tcW w:w="3061" w:type="dxa"/>
            <w:tcBorders>
              <w:top w:val="single" w:sz="12" w:space="0" w:color="auto"/>
              <w:bottom w:val="single" w:sz="12" w:space="0" w:color="auto"/>
            </w:tcBorders>
            <w:shd w:val="clear" w:color="auto" w:fill="ACB9CA" w:themeFill="text2" w:themeFillTint="66"/>
            <w:vAlign w:val="center"/>
          </w:tcPr>
          <w:p w14:paraId="79D13481" w14:textId="77777777" w:rsidR="00675B28" w:rsidRPr="001427AF" w:rsidRDefault="00675B28">
            <w:pPr>
              <w:spacing w:line="240" w:lineRule="auto"/>
              <w:contextualSpacing/>
              <w:jc w:val="center"/>
              <w:rPr>
                <w:rFonts w:ascii="Arial" w:hAnsi="Arial" w:cs="Arial"/>
                <w:sz w:val="20"/>
              </w:rPr>
            </w:pPr>
            <w:r w:rsidRPr="001427AF">
              <w:rPr>
                <w:rFonts w:ascii="Arial" w:hAnsi="Arial" w:cs="Arial"/>
                <w:b/>
                <w:sz w:val="20"/>
              </w:rPr>
              <w:t>Denominator</w:t>
            </w:r>
          </w:p>
        </w:tc>
      </w:tr>
      <w:tr w:rsidR="00675B28" w:rsidRPr="001427AF" w14:paraId="34A95743" w14:textId="77777777" w:rsidTr="008818AE">
        <w:trPr>
          <w:trHeight w:val="1050"/>
        </w:trPr>
        <w:tc>
          <w:tcPr>
            <w:tcW w:w="3632" w:type="dxa"/>
            <w:tcBorders>
              <w:top w:val="single" w:sz="12" w:space="0" w:color="auto"/>
              <w:right w:val="single" w:sz="12" w:space="0" w:color="auto"/>
            </w:tcBorders>
            <w:vAlign w:val="center"/>
          </w:tcPr>
          <w:p w14:paraId="42915ABE" w14:textId="77777777" w:rsidR="00675B28" w:rsidRPr="001427AF" w:rsidRDefault="00675B28">
            <w:pPr>
              <w:spacing w:line="240" w:lineRule="auto"/>
              <w:contextualSpacing/>
              <w:rPr>
                <w:rFonts w:ascii="Arial" w:hAnsi="Arial" w:cs="Arial"/>
                <w:sz w:val="20"/>
              </w:rPr>
            </w:pPr>
            <w:r w:rsidRPr="001427AF">
              <w:rPr>
                <w:rFonts w:ascii="Arial" w:hAnsi="Arial" w:cs="Arial"/>
                <w:sz w:val="20"/>
              </w:rPr>
              <w:t>Academic Achievement Assessments (AAA)</w:t>
            </w:r>
          </w:p>
          <w:p w14:paraId="5D530FA7" w14:textId="7EE06916" w:rsidR="00675B28" w:rsidRPr="001427AF" w:rsidRDefault="00675B28">
            <w:pPr>
              <w:spacing w:line="240" w:lineRule="auto"/>
              <w:contextualSpacing/>
              <w:rPr>
                <w:rFonts w:ascii="Arial" w:hAnsi="Arial" w:cs="Arial"/>
                <w:sz w:val="20"/>
              </w:rPr>
            </w:pPr>
            <w:r w:rsidRPr="001427AF">
              <w:rPr>
                <w:rFonts w:ascii="Arial" w:hAnsi="Arial" w:cs="Arial"/>
                <w:sz w:val="20"/>
              </w:rPr>
              <w:t>(Combines reading and math)</w:t>
            </w:r>
            <w:r w:rsidR="00DB67EF">
              <w:rPr>
                <w:rFonts w:ascii="ZWAdobeF" w:hAnsi="ZWAdobeF" w:cs="ZWAdobeF"/>
                <w:color w:val="auto"/>
                <w:sz w:val="2"/>
                <w:szCs w:val="2"/>
              </w:rPr>
              <w:t>3F</w:t>
            </w:r>
            <w:r>
              <w:rPr>
                <w:rStyle w:val="FootnoteReference"/>
                <w:rFonts w:ascii="Arial" w:hAnsi="Arial" w:cs="Arial"/>
                <w:sz w:val="20"/>
              </w:rPr>
              <w:footnoteReference w:id="5"/>
            </w:r>
            <w:bookmarkStart w:id="277" w:name="table2k12"/>
            <w:bookmarkEnd w:id="277"/>
          </w:p>
        </w:tc>
        <w:tc>
          <w:tcPr>
            <w:tcW w:w="2591" w:type="dxa"/>
            <w:tcBorders>
              <w:top w:val="single" w:sz="12" w:space="0" w:color="auto"/>
              <w:left w:val="single" w:sz="12" w:space="0" w:color="auto"/>
            </w:tcBorders>
            <w:vAlign w:val="center"/>
          </w:tcPr>
          <w:p w14:paraId="568C5155"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100 (EOG Reading) + 100 (EOG Math) + 117 (NC Math 1 or NC Math 3) + 135 (English II)</w:t>
            </w:r>
          </w:p>
        </w:tc>
        <w:tc>
          <w:tcPr>
            <w:tcW w:w="3061" w:type="dxa"/>
            <w:tcBorders>
              <w:top w:val="single" w:sz="12" w:space="0" w:color="auto"/>
            </w:tcBorders>
            <w:vAlign w:val="center"/>
          </w:tcPr>
          <w:p w14:paraId="601917A6"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189 (EOG Reading) + 189 (EOG Math) + 269 (NC Math 1 or NC Math 3) + 274 (English II)</w:t>
            </w:r>
          </w:p>
        </w:tc>
      </w:tr>
      <w:tr w:rsidR="00675B28" w:rsidRPr="001427AF" w14:paraId="466CF10C" w14:textId="77777777" w:rsidTr="008818AE">
        <w:trPr>
          <w:trHeight w:val="379"/>
        </w:trPr>
        <w:tc>
          <w:tcPr>
            <w:tcW w:w="3632" w:type="dxa"/>
            <w:tcBorders>
              <w:right w:val="single" w:sz="12" w:space="0" w:color="auto"/>
            </w:tcBorders>
            <w:vAlign w:val="center"/>
          </w:tcPr>
          <w:p w14:paraId="5F856421" w14:textId="77777777" w:rsidR="00675B28" w:rsidRPr="001427AF" w:rsidRDefault="00675B28">
            <w:pPr>
              <w:spacing w:line="240" w:lineRule="auto"/>
              <w:contextualSpacing/>
              <w:rPr>
                <w:rFonts w:ascii="Arial" w:hAnsi="Arial" w:cs="Arial"/>
                <w:sz w:val="20"/>
              </w:rPr>
            </w:pPr>
            <w:r w:rsidRPr="001427AF">
              <w:rPr>
                <w:rFonts w:ascii="Arial" w:hAnsi="Arial" w:cs="Arial"/>
                <w:sz w:val="20"/>
              </w:rPr>
              <w:t>Science 5 &amp; 8</w:t>
            </w:r>
          </w:p>
        </w:tc>
        <w:tc>
          <w:tcPr>
            <w:tcW w:w="2591" w:type="dxa"/>
            <w:tcBorders>
              <w:left w:val="single" w:sz="12" w:space="0" w:color="auto"/>
            </w:tcBorders>
            <w:vAlign w:val="center"/>
          </w:tcPr>
          <w:p w14:paraId="1B5F2812"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50</w:t>
            </w:r>
          </w:p>
        </w:tc>
        <w:tc>
          <w:tcPr>
            <w:tcW w:w="3061" w:type="dxa"/>
            <w:vAlign w:val="center"/>
          </w:tcPr>
          <w:p w14:paraId="2C910B77"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100</w:t>
            </w:r>
          </w:p>
        </w:tc>
      </w:tr>
      <w:tr w:rsidR="00675B28" w:rsidRPr="001427AF" w14:paraId="1C5766AA" w14:textId="77777777" w:rsidTr="008818AE">
        <w:trPr>
          <w:trHeight w:val="379"/>
        </w:trPr>
        <w:tc>
          <w:tcPr>
            <w:tcW w:w="3632" w:type="dxa"/>
            <w:tcBorders>
              <w:right w:val="single" w:sz="12" w:space="0" w:color="auto"/>
            </w:tcBorders>
            <w:vAlign w:val="center"/>
          </w:tcPr>
          <w:p w14:paraId="5C68215D" w14:textId="77777777" w:rsidR="00675B28" w:rsidRPr="001427AF" w:rsidRDefault="00675B28">
            <w:pPr>
              <w:spacing w:line="240" w:lineRule="auto"/>
              <w:contextualSpacing/>
              <w:rPr>
                <w:rFonts w:ascii="Arial" w:hAnsi="Arial" w:cs="Arial"/>
                <w:sz w:val="20"/>
              </w:rPr>
            </w:pPr>
            <w:r w:rsidRPr="001427AF">
              <w:rPr>
                <w:rFonts w:ascii="Arial" w:hAnsi="Arial" w:cs="Arial"/>
                <w:sz w:val="20"/>
              </w:rPr>
              <w:t>Four-Year Cohort Graduation Rate</w:t>
            </w:r>
          </w:p>
        </w:tc>
        <w:tc>
          <w:tcPr>
            <w:tcW w:w="2591" w:type="dxa"/>
            <w:tcBorders>
              <w:left w:val="single" w:sz="12" w:space="0" w:color="auto"/>
            </w:tcBorders>
            <w:vAlign w:val="center"/>
          </w:tcPr>
          <w:p w14:paraId="21D4DBFB"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284</w:t>
            </w:r>
          </w:p>
        </w:tc>
        <w:tc>
          <w:tcPr>
            <w:tcW w:w="3061" w:type="dxa"/>
            <w:vAlign w:val="center"/>
          </w:tcPr>
          <w:p w14:paraId="7E07F4EF"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330</w:t>
            </w:r>
          </w:p>
        </w:tc>
      </w:tr>
      <w:tr w:rsidR="00675B28" w:rsidRPr="001427AF" w14:paraId="5A4B093E" w14:textId="77777777" w:rsidTr="008818AE">
        <w:trPr>
          <w:trHeight w:val="379"/>
        </w:trPr>
        <w:tc>
          <w:tcPr>
            <w:tcW w:w="3632" w:type="dxa"/>
            <w:tcBorders>
              <w:right w:val="single" w:sz="12" w:space="0" w:color="auto"/>
            </w:tcBorders>
            <w:vAlign w:val="center"/>
          </w:tcPr>
          <w:p w14:paraId="600A5B3A" w14:textId="77777777" w:rsidR="00675B28" w:rsidRPr="001427AF" w:rsidRDefault="00675B28">
            <w:pPr>
              <w:spacing w:line="240" w:lineRule="auto"/>
              <w:contextualSpacing/>
              <w:rPr>
                <w:rFonts w:ascii="Arial" w:hAnsi="Arial" w:cs="Arial"/>
                <w:sz w:val="20"/>
              </w:rPr>
            </w:pPr>
            <w:r w:rsidRPr="001427AF">
              <w:rPr>
                <w:rFonts w:ascii="Arial" w:hAnsi="Arial" w:cs="Arial"/>
                <w:sz w:val="20"/>
              </w:rPr>
              <w:t>English Learner Progress</w:t>
            </w:r>
          </w:p>
        </w:tc>
        <w:tc>
          <w:tcPr>
            <w:tcW w:w="2591" w:type="dxa"/>
            <w:tcBorders>
              <w:left w:val="single" w:sz="12" w:space="0" w:color="auto"/>
            </w:tcBorders>
            <w:vAlign w:val="center"/>
          </w:tcPr>
          <w:p w14:paraId="085AA740"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9</w:t>
            </w:r>
          </w:p>
        </w:tc>
        <w:tc>
          <w:tcPr>
            <w:tcW w:w="3061" w:type="dxa"/>
            <w:vAlign w:val="center"/>
          </w:tcPr>
          <w:p w14:paraId="18CEFA4D"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34</w:t>
            </w:r>
          </w:p>
        </w:tc>
      </w:tr>
      <w:tr w:rsidR="00675B28" w:rsidRPr="001427AF" w14:paraId="4A7AEFF9" w14:textId="77777777" w:rsidTr="008818AE">
        <w:trPr>
          <w:trHeight w:val="379"/>
        </w:trPr>
        <w:tc>
          <w:tcPr>
            <w:tcW w:w="3632" w:type="dxa"/>
            <w:tcBorders>
              <w:right w:val="single" w:sz="12" w:space="0" w:color="auto"/>
            </w:tcBorders>
            <w:vAlign w:val="center"/>
          </w:tcPr>
          <w:p w14:paraId="0BAE749B" w14:textId="77777777" w:rsidR="00675B28" w:rsidRPr="001427AF" w:rsidRDefault="00675B28">
            <w:pPr>
              <w:spacing w:line="240" w:lineRule="auto"/>
              <w:contextualSpacing/>
              <w:rPr>
                <w:rFonts w:ascii="Arial" w:hAnsi="Arial" w:cs="Arial"/>
                <w:sz w:val="20"/>
              </w:rPr>
            </w:pPr>
            <w:r w:rsidRPr="001427AF">
              <w:rPr>
                <w:rFonts w:ascii="Arial" w:hAnsi="Arial" w:cs="Arial"/>
                <w:sz w:val="20"/>
              </w:rPr>
              <w:t>EOC Biology</w:t>
            </w:r>
          </w:p>
        </w:tc>
        <w:tc>
          <w:tcPr>
            <w:tcW w:w="2591" w:type="dxa"/>
            <w:tcBorders>
              <w:left w:val="single" w:sz="12" w:space="0" w:color="auto"/>
            </w:tcBorders>
            <w:vAlign w:val="center"/>
          </w:tcPr>
          <w:p w14:paraId="3EBC130F"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124</w:t>
            </w:r>
          </w:p>
        </w:tc>
        <w:tc>
          <w:tcPr>
            <w:tcW w:w="3061" w:type="dxa"/>
            <w:vAlign w:val="center"/>
          </w:tcPr>
          <w:p w14:paraId="5033FB7E"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240</w:t>
            </w:r>
          </w:p>
        </w:tc>
      </w:tr>
      <w:tr w:rsidR="00675B28" w:rsidRPr="001427AF" w14:paraId="3C0385A3" w14:textId="77777777" w:rsidTr="008818AE">
        <w:trPr>
          <w:trHeight w:val="379"/>
        </w:trPr>
        <w:tc>
          <w:tcPr>
            <w:tcW w:w="3632" w:type="dxa"/>
            <w:tcBorders>
              <w:right w:val="single" w:sz="12" w:space="0" w:color="auto"/>
            </w:tcBorders>
            <w:vAlign w:val="center"/>
          </w:tcPr>
          <w:p w14:paraId="69550024" w14:textId="77777777" w:rsidR="00675B28" w:rsidRPr="001427AF" w:rsidRDefault="00675B28">
            <w:pPr>
              <w:spacing w:line="240" w:lineRule="auto"/>
              <w:contextualSpacing/>
              <w:rPr>
                <w:rFonts w:ascii="Arial" w:hAnsi="Arial" w:cs="Arial"/>
                <w:sz w:val="20"/>
              </w:rPr>
            </w:pPr>
            <w:r w:rsidRPr="001427AF">
              <w:rPr>
                <w:rFonts w:ascii="Arial" w:hAnsi="Arial" w:cs="Arial"/>
                <w:sz w:val="20"/>
              </w:rPr>
              <w:t>Math Course Rigor</w:t>
            </w:r>
          </w:p>
        </w:tc>
        <w:tc>
          <w:tcPr>
            <w:tcW w:w="2591" w:type="dxa"/>
            <w:tcBorders>
              <w:left w:val="single" w:sz="12" w:space="0" w:color="auto"/>
            </w:tcBorders>
            <w:vAlign w:val="center"/>
          </w:tcPr>
          <w:p w14:paraId="7CF3595D"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275</w:t>
            </w:r>
          </w:p>
        </w:tc>
        <w:tc>
          <w:tcPr>
            <w:tcW w:w="3061" w:type="dxa"/>
            <w:vAlign w:val="center"/>
          </w:tcPr>
          <w:p w14:paraId="1EB84165"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325</w:t>
            </w:r>
          </w:p>
        </w:tc>
      </w:tr>
      <w:tr w:rsidR="00675B28" w:rsidRPr="001427AF" w14:paraId="27FF1CE1" w14:textId="77777777" w:rsidTr="008818AE">
        <w:trPr>
          <w:trHeight w:val="379"/>
        </w:trPr>
        <w:tc>
          <w:tcPr>
            <w:tcW w:w="3632" w:type="dxa"/>
            <w:tcBorders>
              <w:right w:val="single" w:sz="12" w:space="0" w:color="auto"/>
            </w:tcBorders>
            <w:vAlign w:val="center"/>
          </w:tcPr>
          <w:p w14:paraId="6E2A9CB2" w14:textId="77777777" w:rsidR="00675B28" w:rsidRPr="001427AF" w:rsidRDefault="00675B28">
            <w:pPr>
              <w:spacing w:line="240" w:lineRule="auto"/>
              <w:contextualSpacing/>
              <w:rPr>
                <w:rFonts w:ascii="Arial" w:hAnsi="Arial" w:cs="Arial"/>
                <w:sz w:val="20"/>
              </w:rPr>
            </w:pPr>
            <w:r w:rsidRPr="001427AF">
              <w:rPr>
                <w:rFonts w:ascii="Arial" w:hAnsi="Arial" w:cs="Arial"/>
                <w:sz w:val="20"/>
              </w:rPr>
              <w:t>The ACT/WorkKeys Assessments</w:t>
            </w:r>
          </w:p>
        </w:tc>
        <w:tc>
          <w:tcPr>
            <w:tcW w:w="2591" w:type="dxa"/>
            <w:tcBorders>
              <w:left w:val="single" w:sz="12" w:space="0" w:color="auto"/>
            </w:tcBorders>
            <w:vAlign w:val="center"/>
          </w:tcPr>
          <w:p w14:paraId="73CA5ABD"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197</w:t>
            </w:r>
          </w:p>
        </w:tc>
        <w:tc>
          <w:tcPr>
            <w:tcW w:w="3061" w:type="dxa"/>
            <w:vAlign w:val="center"/>
          </w:tcPr>
          <w:p w14:paraId="3507EB17" w14:textId="77777777" w:rsidR="00675B28" w:rsidRPr="001427AF" w:rsidRDefault="00675B28">
            <w:pPr>
              <w:spacing w:line="240" w:lineRule="auto"/>
              <w:contextualSpacing/>
              <w:jc w:val="center"/>
              <w:rPr>
                <w:rFonts w:ascii="Arial" w:hAnsi="Arial" w:cs="Arial"/>
                <w:sz w:val="20"/>
              </w:rPr>
            </w:pPr>
            <w:r w:rsidRPr="001427AF">
              <w:rPr>
                <w:rFonts w:ascii="Arial" w:hAnsi="Arial" w:cs="Arial"/>
                <w:sz w:val="20"/>
              </w:rPr>
              <w:t>238</w:t>
            </w:r>
          </w:p>
        </w:tc>
      </w:tr>
      <w:tr w:rsidR="00675B28" w:rsidRPr="001427AF" w14:paraId="58C69AC9" w14:textId="77777777" w:rsidTr="008818AE">
        <w:trPr>
          <w:trHeight w:val="379"/>
        </w:trPr>
        <w:tc>
          <w:tcPr>
            <w:tcW w:w="3632" w:type="dxa"/>
            <w:tcBorders>
              <w:top w:val="single" w:sz="12" w:space="0" w:color="auto"/>
              <w:right w:val="single" w:sz="12" w:space="0" w:color="auto"/>
            </w:tcBorders>
            <w:vAlign w:val="center"/>
          </w:tcPr>
          <w:p w14:paraId="0103A00F" w14:textId="29474614" w:rsidR="00675B28" w:rsidRPr="003725A0" w:rsidRDefault="00675B28">
            <w:pPr>
              <w:spacing w:line="240" w:lineRule="auto"/>
              <w:contextualSpacing/>
              <w:rPr>
                <w:rFonts w:ascii="Arial" w:hAnsi="Arial" w:cs="Arial"/>
                <w:b/>
                <w:bCs/>
                <w:sz w:val="20"/>
              </w:rPr>
            </w:pPr>
            <w:r w:rsidRPr="003725A0">
              <w:rPr>
                <w:rFonts w:ascii="Arial" w:hAnsi="Arial" w:cs="Arial"/>
                <w:b/>
                <w:bCs/>
                <w:sz w:val="20"/>
              </w:rPr>
              <w:t>Total</w:t>
            </w:r>
          </w:p>
        </w:tc>
        <w:tc>
          <w:tcPr>
            <w:tcW w:w="2591" w:type="dxa"/>
            <w:tcBorders>
              <w:top w:val="single" w:sz="12" w:space="0" w:color="auto"/>
              <w:left w:val="single" w:sz="12" w:space="0" w:color="auto"/>
            </w:tcBorders>
            <w:vAlign w:val="center"/>
          </w:tcPr>
          <w:p w14:paraId="03201B65" w14:textId="77777777" w:rsidR="00675B28" w:rsidRPr="003725A0" w:rsidRDefault="00675B28">
            <w:pPr>
              <w:spacing w:line="240" w:lineRule="auto"/>
              <w:contextualSpacing/>
              <w:jc w:val="center"/>
              <w:rPr>
                <w:rFonts w:ascii="Arial" w:hAnsi="Arial" w:cs="Arial"/>
                <w:b/>
                <w:bCs/>
                <w:sz w:val="20"/>
              </w:rPr>
            </w:pPr>
            <w:r w:rsidRPr="003725A0">
              <w:rPr>
                <w:rFonts w:ascii="Arial" w:hAnsi="Arial" w:cs="Arial"/>
                <w:b/>
                <w:bCs/>
                <w:sz w:val="20"/>
              </w:rPr>
              <w:t>1,391</w:t>
            </w:r>
          </w:p>
          <w:p w14:paraId="01C7B129" w14:textId="77777777" w:rsidR="00675B28" w:rsidRPr="003725A0" w:rsidRDefault="00675B28">
            <w:pPr>
              <w:spacing w:line="240" w:lineRule="auto"/>
              <w:contextualSpacing/>
              <w:jc w:val="center"/>
              <w:rPr>
                <w:rFonts w:ascii="Arial" w:hAnsi="Arial" w:cs="Arial"/>
                <w:b/>
                <w:bCs/>
                <w:sz w:val="20"/>
              </w:rPr>
            </w:pPr>
            <w:r w:rsidRPr="003725A0">
              <w:rPr>
                <w:rFonts w:ascii="Arial" w:hAnsi="Arial" w:cs="Arial"/>
                <w:b/>
                <w:bCs/>
                <w:sz w:val="20"/>
              </w:rPr>
              <w:t>(Sum of numerators)</w:t>
            </w:r>
          </w:p>
        </w:tc>
        <w:tc>
          <w:tcPr>
            <w:tcW w:w="3061" w:type="dxa"/>
            <w:tcBorders>
              <w:top w:val="single" w:sz="12" w:space="0" w:color="auto"/>
            </w:tcBorders>
            <w:vAlign w:val="center"/>
          </w:tcPr>
          <w:p w14:paraId="64E42B19" w14:textId="77777777" w:rsidR="00675B28" w:rsidRPr="003725A0" w:rsidRDefault="00675B28">
            <w:pPr>
              <w:spacing w:line="240" w:lineRule="auto"/>
              <w:contextualSpacing/>
              <w:jc w:val="center"/>
              <w:rPr>
                <w:rFonts w:ascii="Arial" w:hAnsi="Arial" w:cs="Arial"/>
                <w:b/>
                <w:bCs/>
                <w:sz w:val="20"/>
              </w:rPr>
            </w:pPr>
            <w:r w:rsidRPr="003725A0">
              <w:rPr>
                <w:rFonts w:ascii="Arial" w:hAnsi="Arial" w:cs="Arial"/>
                <w:b/>
                <w:bCs/>
                <w:sz w:val="20"/>
              </w:rPr>
              <w:t>2,188</w:t>
            </w:r>
          </w:p>
          <w:p w14:paraId="20564E4C" w14:textId="77777777" w:rsidR="00675B28" w:rsidRPr="003725A0" w:rsidRDefault="00675B28">
            <w:pPr>
              <w:spacing w:line="240" w:lineRule="auto"/>
              <w:contextualSpacing/>
              <w:jc w:val="center"/>
              <w:rPr>
                <w:rFonts w:ascii="Arial" w:hAnsi="Arial" w:cs="Arial"/>
                <w:b/>
                <w:bCs/>
                <w:sz w:val="20"/>
              </w:rPr>
            </w:pPr>
            <w:r w:rsidRPr="003725A0">
              <w:rPr>
                <w:rFonts w:ascii="Arial" w:hAnsi="Arial" w:cs="Arial"/>
                <w:b/>
                <w:bCs/>
                <w:sz w:val="20"/>
              </w:rPr>
              <w:t>(Sum of denominators)</w:t>
            </w:r>
          </w:p>
        </w:tc>
      </w:tr>
    </w:tbl>
    <w:p w14:paraId="3E8A2CD1" w14:textId="1FC24E7C" w:rsidR="00D90E5D" w:rsidRDefault="008818AE" w:rsidP="008818AE">
      <w:pPr>
        <w:spacing w:line="240" w:lineRule="auto"/>
        <w:contextualSpacing/>
        <w:rPr>
          <w:rFonts w:ascii="Arial" w:hAnsi="Arial" w:cs="Arial"/>
          <w:sz w:val="20"/>
        </w:rPr>
      </w:pPr>
      <w:r w:rsidRPr="001427AF">
        <w:rPr>
          <w:rFonts w:ascii="Arial" w:hAnsi="Arial" w:cs="Arial"/>
          <w:b/>
          <w:sz w:val="20"/>
        </w:rPr>
        <w:t>Achievement score used in final calculations</w:t>
      </w:r>
      <w:r>
        <w:rPr>
          <w:rFonts w:ascii="Arial" w:hAnsi="Arial" w:cs="Arial"/>
          <w:b/>
          <w:sz w:val="20"/>
        </w:rPr>
        <w:t xml:space="preserve"> - </w:t>
      </w:r>
      <w:r w:rsidRPr="001427AF">
        <w:rPr>
          <w:rFonts w:ascii="Arial" w:hAnsi="Arial" w:cs="Arial"/>
          <w:sz w:val="20"/>
        </w:rPr>
        <w:t>1391/2188 = 63.6</w:t>
      </w:r>
    </w:p>
    <w:p w14:paraId="2F676B73" w14:textId="77777777" w:rsidR="008818AE" w:rsidRDefault="008818AE" w:rsidP="008818AE">
      <w:pPr>
        <w:spacing w:line="240" w:lineRule="auto"/>
        <w:contextualSpacing/>
        <w:rPr>
          <w:rFonts w:ascii="Arial" w:hAnsi="Arial" w:cs="Arial"/>
          <w:sz w:val="20"/>
          <w:szCs w:val="24"/>
        </w:rPr>
      </w:pPr>
    </w:p>
    <w:p w14:paraId="13A7C902" w14:textId="4188A363" w:rsidR="00D90E5D" w:rsidRDefault="00D90E5D" w:rsidP="002B5614">
      <w:pPr>
        <w:pStyle w:val="TableHead"/>
        <w:spacing w:after="0" w:line="240" w:lineRule="auto"/>
        <w:ind w:left="0"/>
        <w:contextualSpacing/>
        <w:rPr>
          <w:rFonts w:ascii="Arial" w:hAnsi="Arial" w:cs="Arial"/>
          <w:sz w:val="20"/>
          <w:szCs w:val="24"/>
        </w:rPr>
      </w:pPr>
      <w:r w:rsidRPr="001427AF">
        <w:rPr>
          <w:rFonts w:ascii="Arial" w:hAnsi="Arial" w:cs="Arial"/>
          <w:i w:val="0"/>
          <w:sz w:val="20"/>
        </w:rPr>
        <w:t>TABLE 2.2.</w:t>
      </w:r>
      <w:r>
        <w:rPr>
          <w:rFonts w:ascii="Arial" w:hAnsi="Arial" w:cs="Arial"/>
          <w:i w:val="0"/>
          <w:sz w:val="20"/>
        </w:rPr>
        <w:t>3</w:t>
      </w:r>
      <w:r w:rsidRPr="001427AF">
        <w:rPr>
          <w:rFonts w:ascii="Arial" w:hAnsi="Arial" w:cs="Arial"/>
          <w:i w:val="0"/>
          <w:sz w:val="20"/>
        </w:rPr>
        <w:t>. Sample K–12 school calculation</w:t>
      </w:r>
      <w:r>
        <w:rPr>
          <w:rFonts w:ascii="Arial" w:hAnsi="Arial" w:cs="Arial"/>
          <w:i w:val="0"/>
          <w:sz w:val="20"/>
        </w:rPr>
        <w:t xml:space="preserve"> (growth)</w:t>
      </w:r>
    </w:p>
    <w:tbl>
      <w:tblPr>
        <w:tblStyle w:val="TableGrid"/>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329"/>
        <w:gridCol w:w="3033"/>
      </w:tblGrid>
      <w:tr w:rsidR="00D90E5D" w14:paraId="34BBBAE6" w14:textId="77777777" w:rsidTr="002B5614">
        <w:tc>
          <w:tcPr>
            <w:tcW w:w="2330" w:type="dxa"/>
            <w:shd w:val="clear" w:color="auto" w:fill="ACB9CA" w:themeFill="text2" w:themeFillTint="66"/>
          </w:tcPr>
          <w:p w14:paraId="723B241D" w14:textId="4067FD09" w:rsidR="00D90E5D" w:rsidRPr="002B5614" w:rsidRDefault="00D90E5D" w:rsidP="003357A9">
            <w:pPr>
              <w:spacing w:line="240" w:lineRule="auto"/>
              <w:rPr>
                <w:rFonts w:ascii="Arial" w:hAnsi="Arial" w:cs="Arial"/>
                <w:b/>
                <w:sz w:val="20"/>
              </w:rPr>
            </w:pPr>
            <w:r w:rsidRPr="00D90E5D">
              <w:rPr>
                <w:rFonts w:ascii="Arial" w:hAnsi="Arial" w:cs="Arial"/>
                <w:b/>
                <w:sz w:val="20"/>
              </w:rPr>
              <w:t>Measure</w:t>
            </w:r>
          </w:p>
        </w:tc>
        <w:tc>
          <w:tcPr>
            <w:tcW w:w="2329" w:type="dxa"/>
            <w:shd w:val="clear" w:color="auto" w:fill="ACB9CA" w:themeFill="text2" w:themeFillTint="66"/>
          </w:tcPr>
          <w:p w14:paraId="61E55A27" w14:textId="24D23190" w:rsidR="00D90E5D" w:rsidRPr="002B5614" w:rsidRDefault="00D90E5D" w:rsidP="0065276E">
            <w:pPr>
              <w:spacing w:line="240" w:lineRule="auto"/>
              <w:jc w:val="center"/>
              <w:rPr>
                <w:rFonts w:ascii="Arial" w:hAnsi="Arial" w:cs="Arial"/>
                <w:b/>
                <w:sz w:val="20"/>
              </w:rPr>
            </w:pPr>
            <w:r w:rsidRPr="002B5614">
              <w:rPr>
                <w:rFonts w:ascii="Arial" w:hAnsi="Arial" w:cs="Arial"/>
                <w:b/>
                <w:sz w:val="20"/>
              </w:rPr>
              <w:t>Composite Index</w:t>
            </w:r>
          </w:p>
        </w:tc>
        <w:tc>
          <w:tcPr>
            <w:tcW w:w="3033" w:type="dxa"/>
            <w:shd w:val="clear" w:color="auto" w:fill="ACB9CA" w:themeFill="text2" w:themeFillTint="66"/>
          </w:tcPr>
          <w:p w14:paraId="36C0807B" w14:textId="0EA8F9A2" w:rsidR="00D90E5D" w:rsidRPr="002B5614" w:rsidRDefault="00D90E5D" w:rsidP="0065276E">
            <w:pPr>
              <w:spacing w:line="240" w:lineRule="auto"/>
              <w:jc w:val="center"/>
              <w:rPr>
                <w:rFonts w:ascii="Arial" w:hAnsi="Arial" w:cs="Arial"/>
                <w:b/>
                <w:sz w:val="20"/>
              </w:rPr>
            </w:pPr>
            <w:r w:rsidRPr="002B5614">
              <w:rPr>
                <w:rFonts w:ascii="Arial" w:hAnsi="Arial" w:cs="Arial"/>
                <w:b/>
                <w:sz w:val="20"/>
              </w:rPr>
              <w:t>Growth score used in final calculations</w:t>
            </w:r>
          </w:p>
        </w:tc>
      </w:tr>
      <w:tr w:rsidR="00D90E5D" w14:paraId="74D9AE59" w14:textId="77777777" w:rsidTr="002B5614">
        <w:tc>
          <w:tcPr>
            <w:tcW w:w="2330" w:type="dxa"/>
          </w:tcPr>
          <w:p w14:paraId="20FDCCB1" w14:textId="02C6D110" w:rsidR="00D90E5D" w:rsidRDefault="00D90E5D" w:rsidP="003357A9">
            <w:pPr>
              <w:spacing w:line="240" w:lineRule="auto"/>
              <w:rPr>
                <w:rFonts w:ascii="Arial" w:hAnsi="Arial" w:cs="Arial"/>
                <w:sz w:val="20"/>
              </w:rPr>
            </w:pPr>
            <w:r w:rsidRPr="001427AF">
              <w:rPr>
                <w:rFonts w:ascii="Arial" w:hAnsi="Arial" w:cs="Arial"/>
                <w:sz w:val="20"/>
              </w:rPr>
              <w:t>Accountability Growth Score (Reading and math composite)</w:t>
            </w:r>
          </w:p>
        </w:tc>
        <w:tc>
          <w:tcPr>
            <w:tcW w:w="2329" w:type="dxa"/>
            <w:vAlign w:val="center"/>
          </w:tcPr>
          <w:p w14:paraId="43A2728D" w14:textId="579F82B4" w:rsidR="00D90E5D" w:rsidRDefault="00D90E5D" w:rsidP="002B5614">
            <w:pPr>
              <w:spacing w:line="240" w:lineRule="auto"/>
              <w:jc w:val="center"/>
              <w:rPr>
                <w:rFonts w:ascii="Arial" w:hAnsi="Arial" w:cs="Arial"/>
                <w:sz w:val="20"/>
              </w:rPr>
            </w:pPr>
            <w:r w:rsidRPr="001427AF">
              <w:rPr>
                <w:rFonts w:ascii="Arial" w:hAnsi="Arial" w:cs="Arial"/>
                <w:sz w:val="20"/>
              </w:rPr>
              <w:t>-0.76</w:t>
            </w:r>
          </w:p>
        </w:tc>
        <w:tc>
          <w:tcPr>
            <w:tcW w:w="3033" w:type="dxa"/>
            <w:vAlign w:val="center"/>
          </w:tcPr>
          <w:p w14:paraId="4A11534E" w14:textId="3004D35F" w:rsidR="00D90E5D" w:rsidRDefault="00D90E5D" w:rsidP="002B5614">
            <w:pPr>
              <w:spacing w:line="240" w:lineRule="auto"/>
              <w:jc w:val="center"/>
              <w:rPr>
                <w:rFonts w:ascii="Arial" w:hAnsi="Arial" w:cs="Arial"/>
                <w:sz w:val="20"/>
              </w:rPr>
            </w:pPr>
            <w:r w:rsidRPr="001427AF">
              <w:rPr>
                <w:rFonts w:ascii="Arial" w:hAnsi="Arial" w:cs="Arial"/>
                <w:sz w:val="20"/>
              </w:rPr>
              <w:t>76.2</w:t>
            </w:r>
          </w:p>
        </w:tc>
      </w:tr>
    </w:tbl>
    <w:p w14:paraId="11FFEC7F" w14:textId="77777777" w:rsidR="00D90E5D" w:rsidRDefault="00D90E5D" w:rsidP="003357A9">
      <w:pPr>
        <w:spacing w:line="240" w:lineRule="auto"/>
        <w:ind w:left="43"/>
        <w:rPr>
          <w:rFonts w:ascii="Arial" w:hAnsi="Arial" w:cs="Arial"/>
          <w:sz w:val="20"/>
        </w:rPr>
      </w:pPr>
    </w:p>
    <w:p w14:paraId="32D3A018" w14:textId="7E28F501" w:rsidR="00D90E5D" w:rsidRDefault="005E0F85" w:rsidP="003060E3">
      <w:pPr>
        <w:spacing w:line="240" w:lineRule="auto"/>
        <w:rPr>
          <w:rFonts w:ascii="Arial" w:hAnsi="Arial" w:cs="Arial"/>
          <w:sz w:val="20"/>
        </w:rPr>
      </w:pPr>
      <w:r w:rsidRPr="00651CA1">
        <w:rPr>
          <w:rFonts w:ascii="Arial" w:hAnsi="Arial" w:cs="Arial"/>
        </w:rPr>
        <w:t>The calculation used to get the final SPG grade</w:t>
      </w:r>
      <w:r>
        <w:rPr>
          <w:rFonts w:ascii="Arial" w:hAnsi="Arial" w:cs="Arial"/>
        </w:rPr>
        <w:t xml:space="preserve"> for the examples provided in tables 2.2.</w:t>
      </w:r>
      <w:r w:rsidR="001E27D8">
        <w:rPr>
          <w:rFonts w:ascii="Arial" w:hAnsi="Arial" w:cs="Arial"/>
        </w:rPr>
        <w:t>2</w:t>
      </w:r>
      <w:r>
        <w:rPr>
          <w:rFonts w:ascii="Arial" w:hAnsi="Arial" w:cs="Arial"/>
        </w:rPr>
        <w:t xml:space="preserve"> and 2.2.</w:t>
      </w:r>
      <w:r w:rsidR="001E27D8">
        <w:rPr>
          <w:rFonts w:ascii="Arial" w:hAnsi="Arial" w:cs="Arial"/>
        </w:rPr>
        <w:t>3</w:t>
      </w:r>
      <w:r w:rsidRPr="00651CA1">
        <w:rPr>
          <w:rFonts w:ascii="Arial" w:hAnsi="Arial" w:cs="Arial"/>
        </w:rPr>
        <w:t xml:space="preserve"> is </w:t>
      </w:r>
      <w:r w:rsidR="00D90E5D" w:rsidRPr="002B5614">
        <w:rPr>
          <w:rFonts w:ascii="Arial" w:hAnsi="Arial" w:cs="Arial"/>
        </w:rPr>
        <w:t>Total Score = 63.6(.8) + 76.2(.2) = 50.88 + 15.24 = 66.12</w:t>
      </w:r>
    </w:p>
    <w:p w14:paraId="5B2F2777" w14:textId="77777777" w:rsidR="00D90E5D" w:rsidRDefault="00D90E5D" w:rsidP="003357A9">
      <w:pPr>
        <w:spacing w:line="240" w:lineRule="auto"/>
        <w:ind w:left="43"/>
        <w:rPr>
          <w:rFonts w:ascii="Arial" w:hAnsi="Arial" w:cs="Arial"/>
          <w:sz w:val="20"/>
        </w:rPr>
      </w:pPr>
    </w:p>
    <w:p w14:paraId="3599265A" w14:textId="2F572B19" w:rsidR="00D45881" w:rsidRPr="001427AF" w:rsidRDefault="00D45881" w:rsidP="00D45881">
      <w:pPr>
        <w:pStyle w:val="Default"/>
        <w:contextualSpacing/>
        <w:rPr>
          <w:rFonts w:ascii="Arial" w:hAnsi="Arial" w:cs="Arial"/>
          <w:color w:val="auto"/>
        </w:rPr>
      </w:pPr>
      <w:r w:rsidRPr="001427AF">
        <w:rPr>
          <w:rFonts w:ascii="Arial" w:hAnsi="Arial" w:cs="Arial"/>
          <w:color w:val="auto"/>
        </w:rPr>
        <w:t xml:space="preserve">A similar calculation is conducted to determine the separate reading and mathematics SPG for schools serving grades </w:t>
      </w:r>
      <w:r w:rsidR="00984FD8" w:rsidRPr="001427AF">
        <w:rPr>
          <w:rFonts w:ascii="Arial" w:hAnsi="Arial" w:cs="Arial"/>
          <w:color w:val="auto"/>
        </w:rPr>
        <w:t>3–8</w:t>
      </w:r>
      <w:r w:rsidRPr="001427AF">
        <w:rPr>
          <w:rFonts w:ascii="Arial" w:hAnsi="Arial" w:cs="Arial"/>
          <w:color w:val="auto"/>
        </w:rPr>
        <w:t xml:space="preserve">. Separate reading and mathematics SPGs are for the whole school only, not subgroups. </w:t>
      </w:r>
    </w:p>
    <w:p w14:paraId="4F61128D" w14:textId="77777777" w:rsidR="00D45881" w:rsidRPr="001427AF" w:rsidRDefault="00D45881" w:rsidP="00D45881">
      <w:pPr>
        <w:pStyle w:val="Default"/>
        <w:contextualSpacing/>
        <w:rPr>
          <w:rFonts w:ascii="Arial" w:hAnsi="Arial" w:cs="Arial"/>
          <w:color w:val="auto"/>
        </w:rPr>
      </w:pPr>
      <w:r w:rsidRPr="001427AF">
        <w:rPr>
          <w:rFonts w:ascii="Arial" w:hAnsi="Arial" w:cs="Arial"/>
          <w:color w:val="auto"/>
        </w:rPr>
        <w:t xml:space="preserve"> </w:t>
      </w:r>
    </w:p>
    <w:p w14:paraId="5A118C7A" w14:textId="77777777" w:rsidR="00D45881" w:rsidRPr="001427AF" w:rsidRDefault="00D45881" w:rsidP="00D45881">
      <w:pPr>
        <w:pStyle w:val="Default"/>
        <w:contextualSpacing/>
        <w:rPr>
          <w:rFonts w:ascii="Arial" w:hAnsi="Arial" w:cs="Arial"/>
          <w:color w:val="auto"/>
        </w:rPr>
      </w:pPr>
      <w:r w:rsidRPr="001427AF">
        <w:rPr>
          <w:rFonts w:ascii="Arial" w:hAnsi="Arial" w:cs="Arial"/>
          <w:color w:val="auto"/>
        </w:rPr>
        <w:t xml:space="preserve">When calculating the SPGs and subgroup grades, the achievement score is rounded to the tenth before being combined with the growth score. Prior to assigning all letter grades, the final score is rounded to the whole. </w:t>
      </w:r>
    </w:p>
    <w:p w14:paraId="6E471BAE" w14:textId="77777777" w:rsidR="00D45881" w:rsidRPr="001427AF" w:rsidRDefault="00D45881" w:rsidP="00D45881">
      <w:pPr>
        <w:pStyle w:val="Default"/>
        <w:contextualSpacing/>
        <w:rPr>
          <w:rFonts w:ascii="Arial" w:hAnsi="Arial" w:cs="Arial"/>
          <w:color w:val="auto"/>
        </w:rPr>
      </w:pPr>
      <w:r w:rsidRPr="001427AF">
        <w:rPr>
          <w:rFonts w:ascii="Arial" w:hAnsi="Arial" w:cs="Arial"/>
          <w:color w:val="auto"/>
        </w:rPr>
        <w:t xml:space="preserve"> </w:t>
      </w:r>
    </w:p>
    <w:p w14:paraId="6F5EAA4A" w14:textId="74F8511C" w:rsidR="00D45881" w:rsidRPr="001427AF" w:rsidRDefault="00160324" w:rsidP="00E00057">
      <w:pPr>
        <w:pStyle w:val="Default"/>
        <w:contextualSpacing/>
        <w:rPr>
          <w:rFonts w:ascii="Arial" w:hAnsi="Arial" w:cs="Arial"/>
          <w:color w:val="auto"/>
        </w:rPr>
      </w:pPr>
      <w:r w:rsidRPr="001427AF">
        <w:rPr>
          <w:rFonts w:ascii="Arial" w:hAnsi="Arial" w:cs="Arial"/>
          <w:color w:val="auto"/>
        </w:rPr>
        <w:t>P</w:t>
      </w:r>
      <w:r w:rsidR="00D45881" w:rsidRPr="001427AF">
        <w:rPr>
          <w:rFonts w:ascii="Arial" w:hAnsi="Arial" w:cs="Arial"/>
          <w:color w:val="auto"/>
        </w:rPr>
        <w:t xml:space="preserve">er the ESSA, SPGs are used to meaningfully differentiate schools for the identification of </w:t>
      </w:r>
      <w:r w:rsidR="00331569" w:rsidRPr="001427AF">
        <w:rPr>
          <w:rFonts w:ascii="Arial" w:hAnsi="Arial" w:cs="Arial"/>
          <w:color w:val="auto"/>
        </w:rPr>
        <w:t xml:space="preserve">(1) </w:t>
      </w:r>
      <w:r w:rsidR="00D45881" w:rsidRPr="001427AF">
        <w:rPr>
          <w:rFonts w:ascii="Arial" w:hAnsi="Arial" w:cs="Arial"/>
          <w:color w:val="auto"/>
        </w:rPr>
        <w:t>Comprehensive Support and Improvement (CSI) schools</w:t>
      </w:r>
      <w:r w:rsidR="002F7F6A" w:rsidRPr="001427AF">
        <w:rPr>
          <w:rFonts w:ascii="Arial" w:hAnsi="Arial" w:cs="Arial"/>
          <w:color w:val="auto"/>
        </w:rPr>
        <w:t>,</w:t>
      </w:r>
      <w:r w:rsidR="00D45881" w:rsidRPr="001427AF">
        <w:rPr>
          <w:rFonts w:ascii="Arial" w:hAnsi="Arial" w:cs="Arial"/>
          <w:color w:val="auto"/>
        </w:rPr>
        <w:t xml:space="preserve"> and</w:t>
      </w:r>
      <w:r w:rsidR="00331569" w:rsidRPr="001427AF">
        <w:rPr>
          <w:rFonts w:ascii="Arial" w:hAnsi="Arial" w:cs="Arial"/>
          <w:color w:val="auto"/>
        </w:rPr>
        <w:t xml:space="preserve"> (2) </w:t>
      </w:r>
      <w:r w:rsidR="00D45881" w:rsidRPr="001427AF">
        <w:rPr>
          <w:rFonts w:ascii="Arial" w:hAnsi="Arial" w:cs="Arial"/>
          <w:color w:val="auto"/>
        </w:rPr>
        <w:t xml:space="preserve">Targeted Support and Improvement (TSI) schools. </w:t>
      </w:r>
    </w:p>
    <w:p w14:paraId="1DB7C4B5" w14:textId="77777777" w:rsidR="00D45881" w:rsidRPr="001427AF" w:rsidRDefault="00D45881" w:rsidP="00D45881">
      <w:pPr>
        <w:pStyle w:val="Default"/>
        <w:ind w:left="360"/>
        <w:contextualSpacing/>
        <w:rPr>
          <w:rFonts w:ascii="Arial" w:hAnsi="Arial" w:cs="Arial"/>
          <w:color w:val="auto"/>
        </w:rPr>
      </w:pPr>
    </w:p>
    <w:p w14:paraId="02A8E858" w14:textId="3E359E21" w:rsidR="00AB3F7E" w:rsidRPr="001427AF" w:rsidRDefault="00CC2504" w:rsidP="001514C3">
      <w:pPr>
        <w:pStyle w:val="Heading2"/>
      </w:pPr>
      <w:bookmarkStart w:id="278" w:name="_Toc225404953"/>
      <w:r w:rsidRPr="001427AF">
        <w:lastRenderedPageBreak/>
        <w:t>Guidelines for Schools Without Enough Data</w:t>
      </w:r>
      <w:bookmarkEnd w:id="278"/>
    </w:p>
    <w:p w14:paraId="05BF1089" w14:textId="49F45C70" w:rsidR="00CF1923" w:rsidRPr="001427AF" w:rsidRDefault="00CF1923" w:rsidP="00CF1923">
      <w:pPr>
        <w:pStyle w:val="Default"/>
        <w:contextualSpacing/>
        <w:rPr>
          <w:rFonts w:ascii="Arial" w:hAnsi="Arial" w:cs="Arial"/>
          <w:color w:val="auto"/>
        </w:rPr>
      </w:pPr>
      <w:r w:rsidRPr="001427AF">
        <w:rPr>
          <w:rFonts w:ascii="Arial" w:hAnsi="Arial" w:cs="Arial"/>
          <w:color w:val="auto"/>
        </w:rPr>
        <w:t xml:space="preserve">The following guidelines may apply to schools without enough data for calculations: </w:t>
      </w:r>
    </w:p>
    <w:p w14:paraId="0DE9FF69" w14:textId="48620372" w:rsidR="00CF1923" w:rsidRPr="001427AF" w:rsidRDefault="006B326D" w:rsidP="00CA5853">
      <w:pPr>
        <w:pStyle w:val="Default"/>
        <w:numPr>
          <w:ilvl w:val="0"/>
          <w:numId w:val="4"/>
        </w:numPr>
        <w:contextualSpacing/>
        <w:rPr>
          <w:rFonts w:ascii="Arial" w:hAnsi="Arial" w:cs="Arial"/>
          <w:color w:val="auto"/>
        </w:rPr>
      </w:pPr>
      <w:r w:rsidRPr="001427AF">
        <w:rPr>
          <w:rFonts w:ascii="Arial" w:hAnsi="Arial" w:cs="Arial"/>
          <w:color w:val="auto"/>
        </w:rPr>
        <w:t>K–2</w:t>
      </w:r>
      <w:r w:rsidR="00CF1923" w:rsidRPr="001427AF">
        <w:rPr>
          <w:rFonts w:ascii="Arial" w:hAnsi="Arial" w:cs="Arial"/>
          <w:color w:val="auto"/>
        </w:rPr>
        <w:t xml:space="preserve"> schools receive the same SPG as the school in the local education agency (LEA) receiving the highest percentage of their students for grade </w:t>
      </w:r>
      <w:r w:rsidR="00010570" w:rsidRPr="001427AF">
        <w:rPr>
          <w:rFonts w:ascii="Arial" w:hAnsi="Arial" w:cs="Arial"/>
          <w:color w:val="auto"/>
        </w:rPr>
        <w:t>3</w:t>
      </w:r>
      <w:r w:rsidR="00CF1923" w:rsidRPr="001427AF">
        <w:rPr>
          <w:rFonts w:ascii="Arial" w:hAnsi="Arial" w:cs="Arial"/>
          <w:color w:val="auto"/>
        </w:rPr>
        <w:t xml:space="preserve">. </w:t>
      </w:r>
    </w:p>
    <w:p w14:paraId="64F815FD" w14:textId="77777777" w:rsidR="00CF1923" w:rsidRPr="001427AF" w:rsidRDefault="00CF1923" w:rsidP="00CA5853">
      <w:pPr>
        <w:pStyle w:val="Default"/>
        <w:numPr>
          <w:ilvl w:val="0"/>
          <w:numId w:val="4"/>
        </w:numPr>
        <w:contextualSpacing/>
        <w:rPr>
          <w:rFonts w:ascii="Arial" w:hAnsi="Arial" w:cs="Arial"/>
          <w:color w:val="auto"/>
        </w:rPr>
      </w:pPr>
      <w:r w:rsidRPr="001427AF">
        <w:rPr>
          <w:rFonts w:ascii="Arial" w:hAnsi="Arial" w:cs="Arial"/>
          <w:color w:val="auto"/>
        </w:rPr>
        <w:t xml:space="preserve">When a school does not have any indicators with enough data to compute a designation using current year data only, the school’s SPG is determined from a combined three-year calculation. </w:t>
      </w:r>
    </w:p>
    <w:p w14:paraId="1C70899E" w14:textId="7E7EC889" w:rsidR="00CF1923" w:rsidRPr="001427AF" w:rsidRDefault="00CF1923" w:rsidP="00CA5853">
      <w:pPr>
        <w:pStyle w:val="Default"/>
        <w:numPr>
          <w:ilvl w:val="1"/>
          <w:numId w:val="4"/>
        </w:numPr>
        <w:contextualSpacing/>
        <w:rPr>
          <w:rFonts w:ascii="Arial" w:hAnsi="Arial" w:cs="Arial"/>
          <w:color w:val="auto"/>
        </w:rPr>
      </w:pPr>
      <w:r w:rsidRPr="001427AF">
        <w:rPr>
          <w:rFonts w:ascii="Arial" w:hAnsi="Arial" w:cs="Arial"/>
          <w:color w:val="auto"/>
        </w:rPr>
        <w:t xml:space="preserve">If a </w:t>
      </w:r>
      <w:r w:rsidR="006C5656" w:rsidRPr="001427AF">
        <w:rPr>
          <w:rFonts w:ascii="Arial" w:hAnsi="Arial" w:cs="Arial"/>
          <w:color w:val="auto"/>
        </w:rPr>
        <w:t>school</w:t>
      </w:r>
      <w:r w:rsidRPr="001427AF">
        <w:rPr>
          <w:rFonts w:ascii="Arial" w:hAnsi="Arial" w:cs="Arial"/>
          <w:color w:val="auto"/>
        </w:rPr>
        <w:t xml:space="preserve"> does not have enough data to compute a designation is also an approved alternative school, the school has the option to use a three-year calculation or have all scores returned to other schools within the district. The alternative school receives the SPG of the school to which most of the scores were returned. Alternative charter schools will default to a three-year calculation option, if needed. </w:t>
      </w:r>
    </w:p>
    <w:p w14:paraId="245C2BCC" w14:textId="77777777" w:rsidR="00CF1923" w:rsidRPr="001427AF" w:rsidRDefault="00CF1923" w:rsidP="00CA5853">
      <w:pPr>
        <w:pStyle w:val="Default"/>
        <w:numPr>
          <w:ilvl w:val="1"/>
          <w:numId w:val="4"/>
        </w:numPr>
        <w:contextualSpacing/>
        <w:rPr>
          <w:rFonts w:ascii="Arial" w:hAnsi="Arial" w:cs="Arial"/>
          <w:color w:val="auto"/>
        </w:rPr>
      </w:pPr>
      <w:r w:rsidRPr="001427AF">
        <w:rPr>
          <w:rFonts w:ascii="Arial" w:hAnsi="Arial" w:cs="Arial"/>
          <w:color w:val="auto"/>
        </w:rPr>
        <w:t xml:space="preserve">If a school is open and does not have any enrollment data for the current school year, the school will not receive a SPG, even if there were data in the other two years. </w:t>
      </w:r>
    </w:p>
    <w:p w14:paraId="48F57D6D" w14:textId="7F08E9D4" w:rsidR="00D3592A" w:rsidRPr="001427AF" w:rsidRDefault="00D3592A" w:rsidP="006C028B">
      <w:pPr>
        <w:pStyle w:val="Default"/>
        <w:contextualSpacing/>
        <w:rPr>
          <w:rFonts w:ascii="Arial" w:hAnsi="Arial" w:cs="Arial"/>
        </w:rPr>
      </w:pPr>
    </w:p>
    <w:p w14:paraId="4C5C29AE" w14:textId="200F2D2B" w:rsidR="00B6675F" w:rsidRPr="001427AF" w:rsidRDefault="00D3592A" w:rsidP="001514C3">
      <w:pPr>
        <w:pStyle w:val="Heading2"/>
      </w:pPr>
      <w:bookmarkStart w:id="279" w:name="_Toc135812505"/>
      <w:bookmarkStart w:id="280" w:name="_Toc136418886"/>
      <w:bookmarkStart w:id="281" w:name="_Toc136419142"/>
      <w:bookmarkStart w:id="282" w:name="_Toc225404954"/>
      <w:r w:rsidRPr="001427AF">
        <w:t xml:space="preserve">Alternate </w:t>
      </w:r>
      <w:r w:rsidR="00B6675F" w:rsidRPr="001427AF">
        <w:t>C</w:t>
      </w:r>
      <w:r w:rsidRPr="001427AF">
        <w:t xml:space="preserve">alculation for </w:t>
      </w:r>
      <w:r w:rsidR="00B6675F" w:rsidRPr="001427AF">
        <w:t>S</w:t>
      </w:r>
      <w:r w:rsidRPr="001427AF">
        <w:t xml:space="preserve">pecial </w:t>
      </w:r>
      <w:r w:rsidR="00B6675F" w:rsidRPr="001427AF">
        <w:t>W</w:t>
      </w:r>
      <w:r w:rsidRPr="001427AF">
        <w:t>eighting</w:t>
      </w:r>
      <w:bookmarkEnd w:id="279"/>
      <w:bookmarkEnd w:id="280"/>
      <w:bookmarkEnd w:id="281"/>
      <w:bookmarkEnd w:id="282"/>
    </w:p>
    <w:p w14:paraId="1E20D33B" w14:textId="33CA690A" w:rsidR="00FA6559" w:rsidRPr="001427AF" w:rsidRDefault="00FA6559" w:rsidP="00FA6559">
      <w:pPr>
        <w:pStyle w:val="Default"/>
        <w:contextualSpacing/>
        <w:rPr>
          <w:rFonts w:ascii="Arial" w:hAnsi="Arial" w:cs="Arial"/>
        </w:rPr>
      </w:pPr>
      <w:r w:rsidRPr="001427AF">
        <w:rPr>
          <w:rFonts w:ascii="Arial" w:hAnsi="Arial" w:cs="Arial"/>
        </w:rPr>
        <w:t>To ensure school quality or student success measures do not have significantly more weight in the high school (HS) accountability model, a relative percent analysis is conducted to ensure the school growth (20%) plus the Achievement Relative Percent (</w:t>
      </w:r>
      <w:r w:rsidR="0059769F" w:rsidRPr="001427AF">
        <w:rPr>
          <w:rFonts w:ascii="Arial" w:hAnsi="Arial" w:cs="Arial"/>
        </w:rPr>
        <w:t xml:space="preserve">i.e., </w:t>
      </w:r>
      <w:r w:rsidRPr="001427AF">
        <w:rPr>
          <w:rFonts w:ascii="Arial" w:hAnsi="Arial" w:cs="Arial"/>
        </w:rPr>
        <w:t>HS Math, HS Reading, Four-Year Cohort Graduation Rate, and ELP measures) is greater than the relative percent of the school quality or student success measures (</w:t>
      </w:r>
      <w:r w:rsidR="0059769F" w:rsidRPr="001427AF">
        <w:rPr>
          <w:rFonts w:ascii="Arial" w:hAnsi="Arial" w:cs="Arial"/>
        </w:rPr>
        <w:t xml:space="preserve">i.e., </w:t>
      </w:r>
      <w:r w:rsidRPr="001427AF">
        <w:rPr>
          <w:rFonts w:ascii="Arial" w:hAnsi="Arial" w:cs="Arial"/>
        </w:rPr>
        <w:t xml:space="preserve">Biology, The ACT/WorkKeys Indicator, and Math Course Rigor). </w:t>
      </w:r>
    </w:p>
    <w:p w14:paraId="6C54531A" w14:textId="77777777" w:rsidR="00FA6559" w:rsidRPr="001427AF" w:rsidRDefault="00FA6559" w:rsidP="00FA6559">
      <w:pPr>
        <w:pStyle w:val="Default"/>
        <w:contextualSpacing/>
        <w:rPr>
          <w:rFonts w:ascii="Arial" w:hAnsi="Arial" w:cs="Arial"/>
        </w:rPr>
      </w:pPr>
      <w:r w:rsidRPr="001427AF">
        <w:rPr>
          <w:rFonts w:ascii="Arial" w:hAnsi="Arial" w:cs="Arial"/>
        </w:rPr>
        <w:t xml:space="preserve"> </w:t>
      </w:r>
    </w:p>
    <w:p w14:paraId="7A04F006" w14:textId="77777777" w:rsidR="00FA6559" w:rsidRPr="001427AF" w:rsidRDefault="00FA6559" w:rsidP="00FA6559">
      <w:pPr>
        <w:pStyle w:val="Default"/>
        <w:contextualSpacing/>
        <w:rPr>
          <w:rFonts w:ascii="Arial" w:hAnsi="Arial" w:cs="Arial"/>
        </w:rPr>
      </w:pPr>
      <w:r w:rsidRPr="001427AF">
        <w:rPr>
          <w:rFonts w:ascii="Arial" w:hAnsi="Arial" w:cs="Arial"/>
        </w:rPr>
        <w:t xml:space="preserve">The following calculations are used for this analysis: </w:t>
      </w:r>
    </w:p>
    <w:p w14:paraId="2A78FF75" w14:textId="77777777" w:rsidR="00FA6559" w:rsidRPr="001427AF" w:rsidRDefault="00FA6559" w:rsidP="00FA6559">
      <w:pPr>
        <w:pStyle w:val="Default"/>
        <w:contextualSpacing/>
        <w:rPr>
          <w:rFonts w:ascii="Arial" w:hAnsi="Arial" w:cs="Arial"/>
        </w:rPr>
      </w:pPr>
      <w:r w:rsidRPr="001427AF">
        <w:rPr>
          <w:rFonts w:ascii="Arial" w:hAnsi="Arial" w:cs="Arial"/>
        </w:rPr>
        <w:t xml:space="preserve"> </w:t>
      </w:r>
    </w:p>
    <w:p w14:paraId="7EECE6EB" w14:textId="77777777" w:rsidR="00FA6559" w:rsidRPr="001427AF" w:rsidRDefault="00FA6559" w:rsidP="00FA6559">
      <w:pPr>
        <w:pStyle w:val="Default"/>
        <w:contextualSpacing/>
        <w:rPr>
          <w:rFonts w:ascii="Arial" w:hAnsi="Arial" w:cs="Arial"/>
        </w:rPr>
      </w:pPr>
      <w:r w:rsidRPr="001427AF">
        <w:rPr>
          <w:rFonts w:ascii="Arial" w:hAnsi="Arial" w:cs="Arial"/>
        </w:rPr>
        <w:t xml:space="preserve">Achievement Denominator (AD) = HS Math denominator + English II denominator + Four-Year Cohort Graduation Rate denominator + English Learner Progress denominator </w:t>
      </w:r>
    </w:p>
    <w:p w14:paraId="6163C725" w14:textId="0302BB9D" w:rsidR="00FA6559" w:rsidRPr="001427AF" w:rsidRDefault="00FA6559" w:rsidP="006B378E">
      <w:pPr>
        <w:pStyle w:val="Default"/>
        <w:ind w:left="-292"/>
        <w:contextualSpacing/>
        <w:rPr>
          <w:rFonts w:ascii="Arial" w:hAnsi="Arial" w:cs="Arial"/>
        </w:rPr>
      </w:pPr>
    </w:p>
    <w:p w14:paraId="4BDBC75C" w14:textId="77777777" w:rsidR="00FA6559" w:rsidRPr="001427AF" w:rsidRDefault="00FA6559" w:rsidP="00FA6559">
      <w:pPr>
        <w:pStyle w:val="Default"/>
        <w:contextualSpacing/>
        <w:rPr>
          <w:rFonts w:ascii="Arial" w:hAnsi="Arial" w:cs="Arial"/>
        </w:rPr>
      </w:pPr>
      <w:r w:rsidRPr="001427AF">
        <w:rPr>
          <w:rFonts w:ascii="Arial" w:hAnsi="Arial" w:cs="Arial"/>
        </w:rPr>
        <w:t xml:space="preserve">School Quality Denominator (SD) = Biology denominator + The ACT/WorkKeys Indicator denominator + Math Course Rigor denominator  </w:t>
      </w:r>
    </w:p>
    <w:p w14:paraId="497BE3FF" w14:textId="1AE419C7" w:rsidR="00FA6559" w:rsidRPr="001427AF" w:rsidRDefault="00FA6559" w:rsidP="006B378E">
      <w:pPr>
        <w:pStyle w:val="Default"/>
        <w:ind w:left="-292"/>
        <w:contextualSpacing/>
        <w:rPr>
          <w:rFonts w:ascii="Arial" w:hAnsi="Arial" w:cs="Arial"/>
        </w:rPr>
      </w:pPr>
    </w:p>
    <w:p w14:paraId="30E683BB" w14:textId="77777777" w:rsidR="00FA6559" w:rsidRPr="001427AF" w:rsidRDefault="00FA6559" w:rsidP="00FA6559">
      <w:pPr>
        <w:pStyle w:val="Default"/>
        <w:contextualSpacing/>
        <w:rPr>
          <w:rFonts w:ascii="Arial" w:hAnsi="Arial" w:cs="Arial"/>
        </w:rPr>
      </w:pPr>
      <w:r w:rsidRPr="001427AF">
        <w:rPr>
          <w:rFonts w:ascii="Arial" w:hAnsi="Arial" w:cs="Arial"/>
        </w:rPr>
        <w:t xml:space="preserve">Growth Percent (GP) = 20 (or 0 if not enough data to calculate growth) </w:t>
      </w:r>
    </w:p>
    <w:p w14:paraId="16586B76" w14:textId="3BBDB36C" w:rsidR="00FA6559" w:rsidRPr="001427AF" w:rsidRDefault="00FA6559" w:rsidP="006B378E">
      <w:pPr>
        <w:pStyle w:val="Default"/>
        <w:ind w:left="-292"/>
        <w:contextualSpacing/>
        <w:rPr>
          <w:rFonts w:ascii="Arial" w:hAnsi="Arial" w:cs="Arial"/>
        </w:rPr>
      </w:pPr>
    </w:p>
    <w:p w14:paraId="591F4F21" w14:textId="77777777" w:rsidR="00FA6559" w:rsidRPr="0054426D" w:rsidRDefault="00FA6559" w:rsidP="0054426D">
      <w:pPr>
        <w:rPr>
          <w:rFonts w:ascii="Arial" w:hAnsi="Arial" w:cs="Arial"/>
        </w:rPr>
      </w:pPr>
      <w:r w:rsidRPr="0054426D">
        <w:rPr>
          <w:rFonts w:ascii="Arial" w:hAnsi="Arial" w:cs="Arial"/>
        </w:rPr>
        <w:t xml:space="preserve">Achievement Relative Percent (ARP) = [AD/(AD+SD)] x 0.8  </w:t>
      </w:r>
    </w:p>
    <w:p w14:paraId="212B86D9" w14:textId="326695BD" w:rsidR="00FA6559" w:rsidRPr="001427AF" w:rsidRDefault="00FA6559" w:rsidP="006B378E">
      <w:pPr>
        <w:pStyle w:val="Default"/>
        <w:ind w:left="-292"/>
        <w:contextualSpacing/>
        <w:rPr>
          <w:rFonts w:ascii="Arial" w:hAnsi="Arial" w:cs="Arial"/>
        </w:rPr>
      </w:pPr>
    </w:p>
    <w:p w14:paraId="1DE0EEDA" w14:textId="470823C7" w:rsidR="00FA6559" w:rsidRPr="001427AF" w:rsidRDefault="00FA6559" w:rsidP="00FA6559">
      <w:pPr>
        <w:pStyle w:val="Default"/>
        <w:contextualSpacing/>
        <w:rPr>
          <w:rFonts w:ascii="Arial" w:hAnsi="Arial" w:cs="Arial"/>
        </w:rPr>
      </w:pPr>
      <w:r w:rsidRPr="001427AF">
        <w:rPr>
          <w:rFonts w:ascii="Arial" w:hAnsi="Arial" w:cs="Arial"/>
        </w:rPr>
        <w:t>School Quality Relative Percent (SRP) = [</w:t>
      </w:r>
      <w:r w:rsidR="006C5656" w:rsidRPr="001427AF">
        <w:rPr>
          <w:rFonts w:ascii="Arial" w:hAnsi="Arial" w:cs="Arial"/>
        </w:rPr>
        <w:t>SD/</w:t>
      </w:r>
      <w:r w:rsidRPr="001427AF">
        <w:rPr>
          <w:rFonts w:ascii="Arial" w:hAnsi="Arial" w:cs="Arial"/>
        </w:rPr>
        <w:t xml:space="preserve">AD+SD)] x 0.8 </w:t>
      </w:r>
    </w:p>
    <w:p w14:paraId="5937E7A0" w14:textId="77777777" w:rsidR="00FA6559" w:rsidRPr="001427AF" w:rsidRDefault="00FA6559" w:rsidP="00FA6559">
      <w:pPr>
        <w:pStyle w:val="Default"/>
        <w:contextualSpacing/>
        <w:rPr>
          <w:rFonts w:ascii="Arial" w:hAnsi="Arial" w:cs="Arial"/>
        </w:rPr>
      </w:pPr>
      <w:r w:rsidRPr="001427AF">
        <w:rPr>
          <w:rFonts w:ascii="Arial" w:hAnsi="Arial" w:cs="Arial"/>
        </w:rPr>
        <w:t xml:space="preserve"> </w:t>
      </w:r>
    </w:p>
    <w:p w14:paraId="50BDDB70" w14:textId="77777777" w:rsidR="00FA6559" w:rsidRPr="001427AF" w:rsidRDefault="00FA6559" w:rsidP="00FA6559">
      <w:pPr>
        <w:pStyle w:val="Default"/>
        <w:contextualSpacing/>
        <w:rPr>
          <w:rFonts w:ascii="Arial" w:hAnsi="Arial" w:cs="Arial"/>
        </w:rPr>
      </w:pPr>
      <w:r w:rsidRPr="001427AF">
        <w:rPr>
          <w:rFonts w:ascii="Arial" w:hAnsi="Arial" w:cs="Arial"/>
        </w:rPr>
        <w:t xml:space="preserve">If (GP + ARP) &lt; SRP, then school quality has more weight than the achievement indicators. When this occurs, these schools’ measure of annual differentiation is adjusted in the following manner: </w:t>
      </w:r>
    </w:p>
    <w:p w14:paraId="1E982A43" w14:textId="77777777" w:rsidR="00FA6559" w:rsidRPr="001427AF" w:rsidRDefault="00FA6559" w:rsidP="00FA6559">
      <w:pPr>
        <w:pStyle w:val="Default"/>
        <w:contextualSpacing/>
        <w:rPr>
          <w:rFonts w:ascii="Arial" w:hAnsi="Arial" w:cs="Arial"/>
        </w:rPr>
      </w:pPr>
      <w:r w:rsidRPr="001427AF">
        <w:rPr>
          <w:rFonts w:ascii="Arial" w:hAnsi="Arial" w:cs="Arial"/>
        </w:rPr>
        <w:t xml:space="preserve"> </w:t>
      </w:r>
    </w:p>
    <w:p w14:paraId="4E9A0642" w14:textId="6F20B01C" w:rsidR="00FA6559" w:rsidRPr="001427AF" w:rsidRDefault="00FA6559" w:rsidP="00FA6559">
      <w:pPr>
        <w:pStyle w:val="Default"/>
        <w:contextualSpacing/>
        <w:rPr>
          <w:rFonts w:ascii="Arial" w:hAnsi="Arial" w:cs="Arial"/>
        </w:rPr>
      </w:pPr>
      <w:r w:rsidRPr="001427AF">
        <w:rPr>
          <w:rFonts w:ascii="Arial" w:hAnsi="Arial" w:cs="Arial"/>
        </w:rPr>
        <w:t xml:space="preserve">The English II EOC, high school Math </w:t>
      </w:r>
      <w:bookmarkStart w:id="283" w:name="_Int_9B2CDeuV"/>
      <w:r w:rsidRPr="001427AF">
        <w:rPr>
          <w:rFonts w:ascii="Arial" w:hAnsi="Arial" w:cs="Arial"/>
        </w:rPr>
        <w:t>EOCs</w:t>
      </w:r>
      <w:bookmarkEnd w:id="283"/>
      <w:r w:rsidRPr="001427AF">
        <w:rPr>
          <w:rFonts w:ascii="Arial" w:hAnsi="Arial" w:cs="Arial"/>
        </w:rPr>
        <w:t xml:space="preserve">, Four-Year Cohort Graduation Rate, and ELP academic achievement indicators account for 31% of the schools’ overall score. </w:t>
      </w:r>
      <w:r w:rsidRPr="001427AF">
        <w:rPr>
          <w:rFonts w:ascii="Arial" w:hAnsi="Arial" w:cs="Arial"/>
        </w:rPr>
        <w:lastRenderedPageBreak/>
        <w:t>The growth academic achievement indicator accounts for 20% of the overall score. All academic achievement indicators combined account for 51% of the model. Thus, the high school, school quality measures (</w:t>
      </w:r>
      <w:r w:rsidR="0059769F" w:rsidRPr="001427AF">
        <w:rPr>
          <w:rFonts w:ascii="Arial" w:hAnsi="Arial" w:cs="Arial"/>
        </w:rPr>
        <w:t xml:space="preserve">i.e., </w:t>
      </w:r>
      <w:r w:rsidRPr="001427AF">
        <w:rPr>
          <w:rFonts w:ascii="Arial" w:hAnsi="Arial" w:cs="Arial"/>
        </w:rPr>
        <w:t xml:space="preserve">Biology, The ACT/WorkKeys Indicator and Math Course Rigor) account for 49% of the schools’ overall score. This ensures that the academic indicators result in </w:t>
      </w:r>
      <w:r w:rsidR="006C5656" w:rsidRPr="001427AF">
        <w:rPr>
          <w:rFonts w:ascii="Arial" w:hAnsi="Arial" w:cs="Arial"/>
        </w:rPr>
        <w:t>greater</w:t>
      </w:r>
      <w:r w:rsidRPr="001427AF">
        <w:rPr>
          <w:rFonts w:ascii="Arial" w:hAnsi="Arial" w:cs="Arial"/>
        </w:rPr>
        <w:t xml:space="preserve"> weight than the school quality indicators. </w:t>
      </w:r>
    </w:p>
    <w:p w14:paraId="510F61CE" w14:textId="77777777" w:rsidR="00D3592A" w:rsidRPr="001427AF" w:rsidRDefault="00D3592A" w:rsidP="006C028B">
      <w:pPr>
        <w:pStyle w:val="Default"/>
        <w:contextualSpacing/>
        <w:rPr>
          <w:rFonts w:ascii="Arial" w:hAnsi="Arial" w:cs="Arial"/>
        </w:rPr>
      </w:pPr>
      <w:r w:rsidRPr="001427AF">
        <w:rPr>
          <w:rFonts w:ascii="Arial" w:hAnsi="Arial" w:cs="Arial"/>
        </w:rPr>
        <w:t xml:space="preserve"> </w:t>
      </w:r>
    </w:p>
    <w:p w14:paraId="38B5AD8B" w14:textId="308D00A1" w:rsidR="006479F2" w:rsidRPr="001427AF" w:rsidRDefault="00846B95" w:rsidP="001514C3">
      <w:pPr>
        <w:pStyle w:val="Heading2"/>
      </w:pPr>
      <w:bookmarkStart w:id="284" w:name="_Toc225404955"/>
      <w:r w:rsidRPr="001427AF">
        <w:t>Three-Year Graduates</w:t>
      </w:r>
      <w:bookmarkEnd w:id="284"/>
    </w:p>
    <w:p w14:paraId="7E6CBA8E" w14:textId="77777777" w:rsidR="005F75F1" w:rsidRPr="001427AF" w:rsidRDefault="005F75F1" w:rsidP="005F75F1">
      <w:pPr>
        <w:pStyle w:val="Default"/>
        <w:contextualSpacing/>
        <w:rPr>
          <w:rFonts w:ascii="Arial" w:hAnsi="Arial" w:cs="Arial"/>
        </w:rPr>
      </w:pPr>
      <w:r w:rsidRPr="001427AF">
        <w:rPr>
          <w:rFonts w:ascii="Arial" w:hAnsi="Arial" w:cs="Arial"/>
        </w:rPr>
        <w:t>Students will participate in end-of-course tests as eligible students who are in membership in the course. Other tests, such as the ACT and WorkKeys, will be administered in the testing window when the student is eligible as defined by grade-level membership. If a student is not in membership during the ACT and WorkKeys testing windows, they will not have an opportunity to participate in the tests. Students who graduate in grade 11 and are never promoted to grade 12 will not be included in the grade 12 ACT and WorkKeys accountability measures. For the cohort graduation rate, students will remain in their established 9th grade cohort. This will ensure early graduates participate in accountability measures as required by state and federal law.</w:t>
      </w:r>
    </w:p>
    <w:p w14:paraId="29590D6D" w14:textId="77777777" w:rsidR="00846B95" w:rsidRPr="001427AF" w:rsidRDefault="00846B95" w:rsidP="005F75F1">
      <w:pPr>
        <w:pStyle w:val="BodyText"/>
        <w:spacing w:after="0" w:line="240" w:lineRule="auto"/>
        <w:rPr>
          <w:rFonts w:ascii="Arial" w:hAnsi="Arial" w:cs="Arial"/>
        </w:rPr>
      </w:pPr>
    </w:p>
    <w:p w14:paraId="38D020E6" w14:textId="25E2D996" w:rsidR="00D339CD" w:rsidRPr="001427AF" w:rsidRDefault="00F11F45" w:rsidP="001514C3">
      <w:pPr>
        <w:pStyle w:val="Heading2"/>
      </w:pPr>
      <w:bookmarkStart w:id="285" w:name="_Toc135812506"/>
      <w:bookmarkStart w:id="286" w:name="_Toc136418887"/>
      <w:bookmarkStart w:id="287" w:name="_Toc136419143"/>
      <w:bookmarkStart w:id="288" w:name="_Toc225404956"/>
      <w:r w:rsidRPr="001427AF">
        <w:t xml:space="preserve">Reading and </w:t>
      </w:r>
      <w:r w:rsidR="00D339CD" w:rsidRPr="001427AF">
        <w:t>M</w:t>
      </w:r>
      <w:r w:rsidRPr="001427AF">
        <w:t>athematics EOG and EOC</w:t>
      </w:r>
      <w:r w:rsidR="00D339CD" w:rsidRPr="001427AF">
        <w:t xml:space="preserve"> </w:t>
      </w:r>
      <w:r w:rsidR="00613627" w:rsidRPr="001427AF">
        <w:t>Proficiency Calculation</w:t>
      </w:r>
      <w:bookmarkEnd w:id="285"/>
      <w:bookmarkEnd w:id="286"/>
      <w:bookmarkEnd w:id="287"/>
      <w:bookmarkEnd w:id="288"/>
    </w:p>
    <w:p w14:paraId="105F8520" w14:textId="7BC16C8C" w:rsidR="003A7275" w:rsidRPr="001427AF" w:rsidRDefault="003A7275" w:rsidP="005F75F1">
      <w:pPr>
        <w:pStyle w:val="Default"/>
        <w:contextualSpacing/>
        <w:rPr>
          <w:rFonts w:ascii="Arial" w:hAnsi="Arial" w:cs="Arial"/>
        </w:rPr>
      </w:pPr>
      <w:r w:rsidRPr="001427AF">
        <w:rPr>
          <w:rFonts w:ascii="Arial" w:hAnsi="Arial" w:cs="Arial"/>
        </w:rPr>
        <w:t xml:space="preserve">Annual assessments administered </w:t>
      </w:r>
      <w:r w:rsidR="006014A9" w:rsidRPr="001427AF">
        <w:rPr>
          <w:rFonts w:ascii="Arial" w:hAnsi="Arial" w:cs="Arial"/>
        </w:rPr>
        <w:t xml:space="preserve">are </w:t>
      </w:r>
      <w:r w:rsidRPr="001427AF">
        <w:rPr>
          <w:rFonts w:ascii="Arial" w:hAnsi="Arial" w:cs="Arial"/>
        </w:rPr>
        <w:t xml:space="preserve">as follows: EOG </w:t>
      </w:r>
      <w:r w:rsidR="00FF0D34" w:rsidRPr="001427AF">
        <w:rPr>
          <w:rFonts w:ascii="Arial" w:hAnsi="Arial" w:cs="Arial"/>
        </w:rPr>
        <w:t>r</w:t>
      </w:r>
      <w:r w:rsidRPr="001427AF">
        <w:rPr>
          <w:rFonts w:ascii="Arial" w:hAnsi="Arial" w:cs="Arial"/>
        </w:rPr>
        <w:t xml:space="preserve">eading and </w:t>
      </w:r>
      <w:r w:rsidR="00FF0D34" w:rsidRPr="001427AF">
        <w:rPr>
          <w:rFonts w:ascii="Arial" w:hAnsi="Arial" w:cs="Arial"/>
        </w:rPr>
        <w:t>m</w:t>
      </w:r>
      <w:r w:rsidRPr="001427AF">
        <w:rPr>
          <w:rFonts w:ascii="Arial" w:hAnsi="Arial" w:cs="Arial"/>
        </w:rPr>
        <w:t xml:space="preserve">athematics at grades </w:t>
      </w:r>
      <w:r w:rsidR="00F049F2" w:rsidRPr="001427AF">
        <w:rPr>
          <w:rFonts w:ascii="Arial" w:hAnsi="Arial" w:cs="Arial"/>
        </w:rPr>
        <w:t>3–8</w:t>
      </w:r>
      <w:r w:rsidRPr="001427AF">
        <w:rPr>
          <w:rFonts w:ascii="Arial" w:hAnsi="Arial" w:cs="Arial"/>
        </w:rPr>
        <w:t xml:space="preserve">, EOC NC Math 1, NC Math 3, English II, and the related </w:t>
      </w:r>
      <w:r w:rsidR="0059769F" w:rsidRPr="001427AF">
        <w:rPr>
          <w:rFonts w:ascii="Arial" w:hAnsi="Arial" w:cs="Arial"/>
        </w:rPr>
        <w:t xml:space="preserve">NCEXTEND1 </w:t>
      </w:r>
      <w:r w:rsidRPr="001427AF">
        <w:rPr>
          <w:rFonts w:ascii="Arial" w:hAnsi="Arial" w:cs="Arial"/>
        </w:rPr>
        <w:t>alternate assessments</w:t>
      </w:r>
      <w:r w:rsidRPr="001427AF" w:rsidDel="0059769F">
        <w:rPr>
          <w:rFonts w:ascii="Arial" w:hAnsi="Arial" w:cs="Arial"/>
        </w:rPr>
        <w:t xml:space="preserve"> </w:t>
      </w:r>
      <w:r w:rsidRPr="001427AF">
        <w:rPr>
          <w:rFonts w:ascii="Arial" w:hAnsi="Arial" w:cs="Arial"/>
        </w:rPr>
        <w:t xml:space="preserve">for students receiving instruction in the NC Extended Content Standards. </w:t>
      </w:r>
    </w:p>
    <w:p w14:paraId="6113F4C2" w14:textId="77777777" w:rsidR="006014A9" w:rsidRPr="001427AF" w:rsidRDefault="006014A9" w:rsidP="003A7275">
      <w:pPr>
        <w:pStyle w:val="Default"/>
        <w:contextualSpacing/>
        <w:rPr>
          <w:rFonts w:ascii="Arial" w:hAnsi="Arial" w:cs="Arial"/>
        </w:rPr>
      </w:pPr>
    </w:p>
    <w:p w14:paraId="3B82DAAB" w14:textId="14AEF653" w:rsidR="003A7275" w:rsidRPr="001427AF" w:rsidRDefault="003A7275" w:rsidP="003A7275">
      <w:pPr>
        <w:pStyle w:val="Default"/>
        <w:contextualSpacing/>
        <w:rPr>
          <w:rFonts w:ascii="Arial" w:hAnsi="Arial" w:cs="Arial"/>
        </w:rPr>
      </w:pPr>
      <w:r w:rsidRPr="001427AF">
        <w:rPr>
          <w:rFonts w:ascii="Arial" w:hAnsi="Arial" w:cs="Arial"/>
        </w:rPr>
        <w:t>Table 2.</w:t>
      </w:r>
      <w:r w:rsidR="00DE44FE" w:rsidRPr="001427AF">
        <w:rPr>
          <w:rFonts w:ascii="Arial" w:hAnsi="Arial" w:cs="Arial"/>
        </w:rPr>
        <w:t>6</w:t>
      </w:r>
      <w:r w:rsidRPr="001427AF">
        <w:rPr>
          <w:rFonts w:ascii="Arial" w:hAnsi="Arial" w:cs="Arial"/>
        </w:rPr>
        <w:t xml:space="preserve"> illustrates the annual assessments administered per grade level, as noted in sub-sections 2.</w:t>
      </w:r>
      <w:r w:rsidR="009D4573" w:rsidRPr="001427AF">
        <w:rPr>
          <w:rFonts w:ascii="Arial" w:hAnsi="Arial" w:cs="Arial"/>
        </w:rPr>
        <w:t>6</w:t>
      </w:r>
      <w:r w:rsidRPr="001427AF">
        <w:rPr>
          <w:rFonts w:ascii="Arial" w:hAnsi="Arial" w:cs="Arial"/>
        </w:rPr>
        <w:t xml:space="preserve"> through 2.</w:t>
      </w:r>
      <w:r w:rsidR="009D4573" w:rsidRPr="001427AF">
        <w:rPr>
          <w:rFonts w:ascii="Arial" w:hAnsi="Arial" w:cs="Arial"/>
        </w:rPr>
        <w:t>9</w:t>
      </w:r>
      <w:r w:rsidRPr="001427AF">
        <w:rPr>
          <w:rFonts w:ascii="Arial" w:hAnsi="Arial" w:cs="Arial"/>
        </w:rPr>
        <w:t>.</w:t>
      </w:r>
    </w:p>
    <w:p w14:paraId="260B94E2" w14:textId="77777777" w:rsidR="003A7275" w:rsidRPr="001427AF" w:rsidRDefault="003A7275" w:rsidP="003A7275">
      <w:pPr>
        <w:pStyle w:val="Default"/>
        <w:contextualSpacing/>
        <w:rPr>
          <w:rFonts w:ascii="Arial" w:hAnsi="Arial" w:cs="Arial"/>
          <w:sz w:val="20"/>
          <w:szCs w:val="20"/>
        </w:rPr>
      </w:pPr>
      <w:r w:rsidRPr="001427AF">
        <w:rPr>
          <w:rFonts w:ascii="Arial" w:hAnsi="Arial" w:cs="Arial"/>
        </w:rPr>
        <w:t xml:space="preserve"> </w:t>
      </w:r>
    </w:p>
    <w:p w14:paraId="255B75E0" w14:textId="022C764B" w:rsidR="003A7275" w:rsidRPr="001427AF" w:rsidRDefault="003A7275" w:rsidP="003A7275">
      <w:pPr>
        <w:pStyle w:val="TableHead"/>
        <w:spacing w:after="0" w:line="240" w:lineRule="auto"/>
        <w:ind w:left="0"/>
        <w:contextualSpacing/>
        <w:rPr>
          <w:rFonts w:ascii="Arial" w:hAnsi="Arial" w:cs="Arial"/>
          <w:i w:val="0"/>
          <w:sz w:val="20"/>
        </w:rPr>
      </w:pPr>
      <w:r w:rsidRPr="001427AF">
        <w:rPr>
          <w:rFonts w:ascii="Arial" w:hAnsi="Arial" w:cs="Arial"/>
          <w:i w:val="0"/>
          <w:sz w:val="20"/>
        </w:rPr>
        <w:t>TABLE 2.</w:t>
      </w:r>
      <w:r w:rsidR="003D7772" w:rsidRPr="001427AF">
        <w:rPr>
          <w:rFonts w:ascii="Arial" w:hAnsi="Arial" w:cs="Arial"/>
          <w:i w:val="0"/>
          <w:sz w:val="20"/>
        </w:rPr>
        <w:t>6</w:t>
      </w:r>
      <w:r w:rsidRPr="001427AF">
        <w:rPr>
          <w:rFonts w:ascii="Arial" w:hAnsi="Arial" w:cs="Arial"/>
          <w:i w:val="0"/>
          <w:sz w:val="20"/>
        </w:rPr>
        <w:t>. State assessment</w:t>
      </w:r>
      <w:r w:rsidR="00B369BA" w:rsidRPr="001427AF">
        <w:rPr>
          <w:rFonts w:ascii="Arial" w:hAnsi="Arial" w:cs="Arial"/>
          <w:i w:val="0"/>
          <w:sz w:val="20"/>
        </w:rPr>
        <w:t>(s)</w:t>
      </w:r>
      <w:r w:rsidRPr="001427AF">
        <w:rPr>
          <w:rFonts w:ascii="Arial" w:hAnsi="Arial" w:cs="Arial"/>
          <w:i w:val="0"/>
          <w:sz w:val="20"/>
        </w:rPr>
        <w:t xml:space="preserve"> administered per grade level</w:t>
      </w:r>
      <w:r w:rsidR="00DB67EF">
        <w:rPr>
          <w:rFonts w:ascii="ZWAdobeF" w:hAnsi="ZWAdobeF" w:cs="ZWAdobeF"/>
          <w:i w:val="0"/>
          <w:color w:val="auto"/>
          <w:sz w:val="2"/>
          <w:szCs w:val="2"/>
        </w:rPr>
        <w:t>4F</w:t>
      </w:r>
      <w:r w:rsidR="00FB65B9">
        <w:rPr>
          <w:rStyle w:val="FootnoteReference"/>
          <w:rFonts w:ascii="Arial" w:hAnsi="Arial" w:cs="Arial"/>
          <w:i w:val="0"/>
          <w:sz w:val="20"/>
        </w:rPr>
        <w:footnoteReference w:id="6"/>
      </w:r>
      <w:bookmarkStart w:id="289" w:name="table26"/>
      <w:bookmarkEnd w:id="289"/>
    </w:p>
    <w:tbl>
      <w:tblPr>
        <w:tblStyle w:val="TableGrid"/>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provides the state assessments administered and at which grade level they are offered.   "/>
      </w:tblPr>
      <w:tblGrid>
        <w:gridCol w:w="795"/>
        <w:gridCol w:w="3296"/>
        <w:gridCol w:w="2708"/>
        <w:gridCol w:w="1428"/>
        <w:gridCol w:w="1128"/>
      </w:tblGrid>
      <w:tr w:rsidR="003A7275" w:rsidRPr="001427AF" w14:paraId="13637009" w14:textId="77777777" w:rsidTr="00F16214">
        <w:trPr>
          <w:tblHeader/>
          <w:jc w:val="center"/>
        </w:trPr>
        <w:tc>
          <w:tcPr>
            <w:tcW w:w="761" w:type="dxa"/>
            <w:shd w:val="clear" w:color="auto" w:fill="ACB9CA" w:themeFill="text2" w:themeFillTint="66"/>
          </w:tcPr>
          <w:p w14:paraId="40C5C8B3" w14:textId="77777777" w:rsidR="003A7275" w:rsidRPr="001427AF" w:rsidRDefault="003A7275">
            <w:pPr>
              <w:pStyle w:val="Default"/>
              <w:contextualSpacing/>
              <w:rPr>
                <w:rFonts w:ascii="Arial" w:hAnsi="Arial" w:cs="Arial"/>
                <w:b/>
                <w:bCs/>
                <w:sz w:val="20"/>
                <w:szCs w:val="20"/>
              </w:rPr>
            </w:pPr>
            <w:r w:rsidRPr="001427AF">
              <w:rPr>
                <w:rFonts w:ascii="Arial" w:hAnsi="Arial" w:cs="Arial"/>
                <w:b/>
                <w:bCs/>
                <w:sz w:val="20"/>
                <w:szCs w:val="20"/>
              </w:rPr>
              <w:t>Grade</w:t>
            </w:r>
          </w:p>
        </w:tc>
        <w:tc>
          <w:tcPr>
            <w:tcW w:w="3340" w:type="dxa"/>
            <w:shd w:val="clear" w:color="auto" w:fill="ACB9CA" w:themeFill="text2" w:themeFillTint="66"/>
          </w:tcPr>
          <w:p w14:paraId="7EB148F3" w14:textId="77777777" w:rsidR="003A7275" w:rsidRPr="001427AF" w:rsidRDefault="003A7275">
            <w:pPr>
              <w:pStyle w:val="Default"/>
              <w:contextualSpacing/>
              <w:rPr>
                <w:rFonts w:ascii="Arial" w:hAnsi="Arial" w:cs="Arial"/>
                <w:b/>
                <w:bCs/>
                <w:sz w:val="20"/>
                <w:szCs w:val="20"/>
              </w:rPr>
            </w:pPr>
            <w:r w:rsidRPr="001427AF">
              <w:rPr>
                <w:rFonts w:ascii="Arial" w:hAnsi="Arial" w:cs="Arial"/>
                <w:b/>
                <w:bCs/>
                <w:sz w:val="20"/>
                <w:szCs w:val="20"/>
              </w:rPr>
              <w:t>Reading</w:t>
            </w:r>
          </w:p>
        </w:tc>
        <w:tc>
          <w:tcPr>
            <w:tcW w:w="2734" w:type="dxa"/>
            <w:shd w:val="clear" w:color="auto" w:fill="ACB9CA" w:themeFill="text2" w:themeFillTint="66"/>
          </w:tcPr>
          <w:p w14:paraId="72488EE1" w14:textId="77777777" w:rsidR="003A7275" w:rsidRPr="001427AF" w:rsidRDefault="003A7275">
            <w:pPr>
              <w:pStyle w:val="Default"/>
              <w:contextualSpacing/>
              <w:rPr>
                <w:rFonts w:ascii="Arial" w:hAnsi="Arial" w:cs="Arial"/>
                <w:b/>
                <w:bCs/>
                <w:sz w:val="20"/>
                <w:szCs w:val="20"/>
              </w:rPr>
            </w:pPr>
            <w:r w:rsidRPr="001427AF">
              <w:rPr>
                <w:rFonts w:ascii="Arial" w:hAnsi="Arial" w:cs="Arial"/>
                <w:b/>
                <w:bCs/>
                <w:sz w:val="20"/>
                <w:szCs w:val="20"/>
              </w:rPr>
              <w:t>Mathematics</w:t>
            </w:r>
          </w:p>
        </w:tc>
        <w:tc>
          <w:tcPr>
            <w:tcW w:w="1437" w:type="dxa"/>
            <w:shd w:val="clear" w:color="auto" w:fill="ACB9CA" w:themeFill="text2" w:themeFillTint="66"/>
          </w:tcPr>
          <w:p w14:paraId="649E50A3" w14:textId="77777777" w:rsidR="003A7275" w:rsidRPr="001427AF" w:rsidRDefault="003A7275">
            <w:pPr>
              <w:pStyle w:val="Default"/>
              <w:contextualSpacing/>
              <w:rPr>
                <w:rFonts w:ascii="Arial" w:hAnsi="Arial" w:cs="Arial"/>
                <w:b/>
                <w:bCs/>
                <w:sz w:val="20"/>
                <w:szCs w:val="20"/>
              </w:rPr>
            </w:pPr>
            <w:r w:rsidRPr="001427AF">
              <w:rPr>
                <w:rFonts w:ascii="Arial" w:hAnsi="Arial" w:cs="Arial"/>
                <w:b/>
                <w:bCs/>
                <w:sz w:val="20"/>
                <w:szCs w:val="20"/>
              </w:rPr>
              <w:t>Science</w:t>
            </w:r>
          </w:p>
        </w:tc>
        <w:tc>
          <w:tcPr>
            <w:tcW w:w="1083" w:type="dxa"/>
            <w:shd w:val="clear" w:color="auto" w:fill="ACB9CA" w:themeFill="text2" w:themeFillTint="66"/>
          </w:tcPr>
          <w:p w14:paraId="288863A5" w14:textId="77777777" w:rsidR="003A7275" w:rsidRPr="001427AF" w:rsidRDefault="003A7275">
            <w:pPr>
              <w:pStyle w:val="Default"/>
              <w:contextualSpacing/>
              <w:rPr>
                <w:rFonts w:ascii="Arial" w:hAnsi="Arial" w:cs="Arial"/>
                <w:b/>
                <w:bCs/>
                <w:sz w:val="20"/>
                <w:szCs w:val="20"/>
              </w:rPr>
            </w:pPr>
            <w:r w:rsidRPr="001427AF">
              <w:rPr>
                <w:rFonts w:ascii="Arial" w:hAnsi="Arial" w:cs="Arial"/>
                <w:b/>
                <w:bCs/>
                <w:sz w:val="20"/>
                <w:szCs w:val="20"/>
              </w:rPr>
              <w:t>Other</w:t>
            </w:r>
          </w:p>
        </w:tc>
      </w:tr>
      <w:tr w:rsidR="003A7275" w:rsidRPr="001427AF" w14:paraId="47461EA3" w14:textId="77777777" w:rsidTr="00F16214">
        <w:trPr>
          <w:jc w:val="center"/>
        </w:trPr>
        <w:tc>
          <w:tcPr>
            <w:tcW w:w="761" w:type="dxa"/>
          </w:tcPr>
          <w:p w14:paraId="68CDBA7F"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3</w:t>
            </w:r>
          </w:p>
        </w:tc>
        <w:tc>
          <w:tcPr>
            <w:tcW w:w="3340" w:type="dxa"/>
          </w:tcPr>
          <w:p w14:paraId="3471C515" w14:textId="5EC6D8C4" w:rsidR="00B369BA" w:rsidRPr="001427AF" w:rsidRDefault="003A7275">
            <w:pPr>
              <w:pStyle w:val="Default"/>
              <w:contextualSpacing/>
              <w:rPr>
                <w:rFonts w:ascii="Arial" w:hAnsi="Arial" w:cs="Arial"/>
                <w:sz w:val="20"/>
                <w:szCs w:val="20"/>
              </w:rPr>
            </w:pPr>
            <w:r w:rsidRPr="001427AF">
              <w:rPr>
                <w:rFonts w:ascii="Arial" w:hAnsi="Arial" w:cs="Arial"/>
                <w:sz w:val="20"/>
                <w:szCs w:val="20"/>
              </w:rPr>
              <w:t>Beginning</w:t>
            </w:r>
            <w:r w:rsidR="007F0DA8" w:rsidRPr="001427AF">
              <w:rPr>
                <w:rFonts w:ascii="Arial" w:hAnsi="Arial" w:cs="Arial"/>
                <w:sz w:val="20"/>
                <w:szCs w:val="20"/>
              </w:rPr>
              <w:t>-</w:t>
            </w:r>
            <w:r w:rsidRPr="001427AF">
              <w:rPr>
                <w:rFonts w:ascii="Arial" w:hAnsi="Arial" w:cs="Arial"/>
                <w:sz w:val="20"/>
                <w:szCs w:val="20"/>
              </w:rPr>
              <w:t>of</w:t>
            </w:r>
            <w:r w:rsidR="007F0DA8" w:rsidRPr="001427AF">
              <w:rPr>
                <w:rFonts w:ascii="Arial" w:hAnsi="Arial" w:cs="Arial"/>
                <w:sz w:val="20"/>
                <w:szCs w:val="20"/>
              </w:rPr>
              <w:t>-</w:t>
            </w:r>
            <w:r w:rsidRPr="001427AF">
              <w:rPr>
                <w:rFonts w:ascii="Arial" w:hAnsi="Arial" w:cs="Arial"/>
                <w:sz w:val="20"/>
                <w:szCs w:val="20"/>
              </w:rPr>
              <w:t>Grade</w:t>
            </w:r>
            <w:r w:rsidR="00B369BA" w:rsidRPr="001427AF">
              <w:rPr>
                <w:rFonts w:ascii="Arial" w:hAnsi="Arial" w:cs="Arial"/>
                <w:sz w:val="20"/>
                <w:szCs w:val="20"/>
              </w:rPr>
              <w:t xml:space="preserve"> </w:t>
            </w:r>
            <w:r w:rsidR="00C26B93" w:rsidRPr="001427AF">
              <w:rPr>
                <w:rFonts w:ascii="Arial" w:hAnsi="Arial" w:cs="Arial"/>
                <w:sz w:val="20"/>
                <w:szCs w:val="20"/>
              </w:rPr>
              <w:t>3</w:t>
            </w:r>
          </w:p>
          <w:p w14:paraId="377880F0" w14:textId="15C0218C"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2734" w:type="dxa"/>
          </w:tcPr>
          <w:p w14:paraId="24F7591F"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1437" w:type="dxa"/>
          </w:tcPr>
          <w:p w14:paraId="4022BD3F"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083" w:type="dxa"/>
          </w:tcPr>
          <w:p w14:paraId="0FC30291"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03445071" w14:textId="77777777" w:rsidTr="00F16214">
        <w:trPr>
          <w:jc w:val="center"/>
        </w:trPr>
        <w:tc>
          <w:tcPr>
            <w:tcW w:w="761" w:type="dxa"/>
          </w:tcPr>
          <w:p w14:paraId="68122243"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4</w:t>
            </w:r>
          </w:p>
        </w:tc>
        <w:tc>
          <w:tcPr>
            <w:tcW w:w="3340" w:type="dxa"/>
          </w:tcPr>
          <w:p w14:paraId="1AB95662"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2734" w:type="dxa"/>
          </w:tcPr>
          <w:p w14:paraId="5333B29C"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1437" w:type="dxa"/>
          </w:tcPr>
          <w:p w14:paraId="0157EFAE"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083" w:type="dxa"/>
          </w:tcPr>
          <w:p w14:paraId="259293FE"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0E848762" w14:textId="77777777" w:rsidTr="00F16214">
        <w:trPr>
          <w:jc w:val="center"/>
        </w:trPr>
        <w:tc>
          <w:tcPr>
            <w:tcW w:w="761" w:type="dxa"/>
          </w:tcPr>
          <w:p w14:paraId="6ECEC3DF"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5</w:t>
            </w:r>
          </w:p>
        </w:tc>
        <w:tc>
          <w:tcPr>
            <w:tcW w:w="3340" w:type="dxa"/>
          </w:tcPr>
          <w:p w14:paraId="0D3D28C8"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2734" w:type="dxa"/>
          </w:tcPr>
          <w:p w14:paraId="7E523CAC"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1437" w:type="dxa"/>
          </w:tcPr>
          <w:p w14:paraId="33EE7F48"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1083" w:type="dxa"/>
          </w:tcPr>
          <w:p w14:paraId="5F95BD1A"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7A53715D" w14:textId="77777777" w:rsidTr="00F16214">
        <w:trPr>
          <w:jc w:val="center"/>
        </w:trPr>
        <w:tc>
          <w:tcPr>
            <w:tcW w:w="761" w:type="dxa"/>
          </w:tcPr>
          <w:p w14:paraId="0D4A7486"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6</w:t>
            </w:r>
          </w:p>
        </w:tc>
        <w:tc>
          <w:tcPr>
            <w:tcW w:w="3340" w:type="dxa"/>
          </w:tcPr>
          <w:p w14:paraId="7C64FBD0"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2734" w:type="dxa"/>
          </w:tcPr>
          <w:p w14:paraId="491D512C"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1437" w:type="dxa"/>
          </w:tcPr>
          <w:p w14:paraId="04BFF382"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083" w:type="dxa"/>
          </w:tcPr>
          <w:p w14:paraId="52ED72A1"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1A86FF88" w14:textId="77777777" w:rsidTr="00F16214">
        <w:trPr>
          <w:jc w:val="center"/>
        </w:trPr>
        <w:tc>
          <w:tcPr>
            <w:tcW w:w="761" w:type="dxa"/>
          </w:tcPr>
          <w:p w14:paraId="6E30E5AF"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7</w:t>
            </w:r>
          </w:p>
        </w:tc>
        <w:tc>
          <w:tcPr>
            <w:tcW w:w="3340" w:type="dxa"/>
          </w:tcPr>
          <w:p w14:paraId="64E84FCD"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2734" w:type="dxa"/>
          </w:tcPr>
          <w:p w14:paraId="3F4A5499"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1437" w:type="dxa"/>
          </w:tcPr>
          <w:p w14:paraId="219C455B"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083" w:type="dxa"/>
          </w:tcPr>
          <w:p w14:paraId="031D6A63"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7B02E426" w14:textId="77777777" w:rsidTr="00F16214">
        <w:trPr>
          <w:jc w:val="center"/>
        </w:trPr>
        <w:tc>
          <w:tcPr>
            <w:tcW w:w="761" w:type="dxa"/>
          </w:tcPr>
          <w:p w14:paraId="4805B44A"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8</w:t>
            </w:r>
          </w:p>
        </w:tc>
        <w:tc>
          <w:tcPr>
            <w:tcW w:w="3340" w:type="dxa"/>
          </w:tcPr>
          <w:p w14:paraId="1DE247FD"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2734" w:type="dxa"/>
          </w:tcPr>
          <w:p w14:paraId="7ED0717C" w14:textId="249F0687" w:rsidR="00B369BA" w:rsidRPr="001427AF" w:rsidRDefault="003A7275">
            <w:pPr>
              <w:pStyle w:val="Default"/>
              <w:contextualSpacing/>
              <w:rPr>
                <w:rFonts w:ascii="Arial" w:hAnsi="Arial" w:cs="Arial"/>
                <w:sz w:val="20"/>
                <w:szCs w:val="20"/>
              </w:rPr>
            </w:pPr>
            <w:r w:rsidRPr="001427AF">
              <w:rPr>
                <w:rFonts w:ascii="Arial" w:hAnsi="Arial" w:cs="Arial"/>
                <w:sz w:val="20"/>
                <w:szCs w:val="20"/>
              </w:rPr>
              <w:t>End-of-Grade</w:t>
            </w:r>
            <w:r w:rsidR="00B369BA" w:rsidRPr="001427AF">
              <w:rPr>
                <w:rFonts w:ascii="Arial" w:hAnsi="Arial" w:cs="Arial"/>
                <w:sz w:val="20"/>
                <w:szCs w:val="20"/>
              </w:rPr>
              <w:t xml:space="preserve"> or </w:t>
            </w:r>
          </w:p>
          <w:p w14:paraId="0CF064DE" w14:textId="44E0CACA" w:rsidR="003A7275" w:rsidRPr="001427AF" w:rsidRDefault="003A7275">
            <w:pPr>
              <w:pStyle w:val="Default"/>
              <w:contextualSpacing/>
              <w:rPr>
                <w:rFonts w:ascii="Arial" w:hAnsi="Arial" w:cs="Arial"/>
                <w:sz w:val="20"/>
                <w:szCs w:val="20"/>
              </w:rPr>
            </w:pPr>
            <w:r w:rsidRPr="001427AF">
              <w:rPr>
                <w:rFonts w:ascii="Arial" w:hAnsi="Arial" w:cs="Arial"/>
                <w:sz w:val="20"/>
                <w:szCs w:val="20"/>
              </w:rPr>
              <w:t>NC Math 1 EOC</w:t>
            </w:r>
          </w:p>
        </w:tc>
        <w:tc>
          <w:tcPr>
            <w:tcW w:w="1437" w:type="dxa"/>
          </w:tcPr>
          <w:p w14:paraId="7D5A55B6"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End-of-Grade</w:t>
            </w:r>
          </w:p>
        </w:tc>
        <w:tc>
          <w:tcPr>
            <w:tcW w:w="1083" w:type="dxa"/>
          </w:tcPr>
          <w:p w14:paraId="0D9728BF"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7D0DB9B7" w14:textId="77777777" w:rsidTr="00F16214">
        <w:trPr>
          <w:jc w:val="center"/>
        </w:trPr>
        <w:tc>
          <w:tcPr>
            <w:tcW w:w="761" w:type="dxa"/>
          </w:tcPr>
          <w:p w14:paraId="38F791EC"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9</w:t>
            </w:r>
          </w:p>
        </w:tc>
        <w:tc>
          <w:tcPr>
            <w:tcW w:w="3340" w:type="dxa"/>
          </w:tcPr>
          <w:p w14:paraId="0CA5D7FD"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2734" w:type="dxa"/>
          </w:tcPr>
          <w:p w14:paraId="515BC2CD"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NC Math 1 EOC</w:t>
            </w:r>
          </w:p>
        </w:tc>
        <w:tc>
          <w:tcPr>
            <w:tcW w:w="1437" w:type="dxa"/>
          </w:tcPr>
          <w:p w14:paraId="484D0DA9"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083" w:type="dxa"/>
          </w:tcPr>
          <w:p w14:paraId="4F11E868"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247CD9D6" w14:textId="77777777" w:rsidTr="00F16214">
        <w:trPr>
          <w:jc w:val="center"/>
        </w:trPr>
        <w:tc>
          <w:tcPr>
            <w:tcW w:w="761" w:type="dxa"/>
          </w:tcPr>
          <w:p w14:paraId="129A9CD1"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10</w:t>
            </w:r>
          </w:p>
        </w:tc>
        <w:tc>
          <w:tcPr>
            <w:tcW w:w="3340" w:type="dxa"/>
          </w:tcPr>
          <w:p w14:paraId="507EB0CD"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English II EOC</w:t>
            </w:r>
          </w:p>
        </w:tc>
        <w:tc>
          <w:tcPr>
            <w:tcW w:w="2734" w:type="dxa"/>
          </w:tcPr>
          <w:p w14:paraId="27518F20"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437" w:type="dxa"/>
          </w:tcPr>
          <w:p w14:paraId="7EEC929E"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083" w:type="dxa"/>
          </w:tcPr>
          <w:p w14:paraId="54C1A8FD" w14:textId="233E28D7" w:rsidR="003A7275" w:rsidRPr="001427AF" w:rsidRDefault="002D0AA6">
            <w:pPr>
              <w:pStyle w:val="Default"/>
              <w:contextualSpacing/>
              <w:rPr>
                <w:rFonts w:ascii="Arial" w:hAnsi="Arial" w:cs="Arial"/>
                <w:sz w:val="20"/>
                <w:szCs w:val="20"/>
              </w:rPr>
            </w:pPr>
            <w:r w:rsidRPr="001427AF">
              <w:rPr>
                <w:rFonts w:ascii="Arial" w:hAnsi="Arial" w:cs="Arial"/>
                <w:sz w:val="20"/>
                <w:szCs w:val="20"/>
              </w:rPr>
              <w:t>-</w:t>
            </w:r>
          </w:p>
        </w:tc>
      </w:tr>
      <w:tr w:rsidR="003A7275" w:rsidRPr="001427AF" w14:paraId="5F8C0B08" w14:textId="77777777" w:rsidTr="00F16214">
        <w:trPr>
          <w:jc w:val="center"/>
        </w:trPr>
        <w:tc>
          <w:tcPr>
            <w:tcW w:w="761" w:type="dxa"/>
          </w:tcPr>
          <w:p w14:paraId="64BDBE1B"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11</w:t>
            </w:r>
          </w:p>
        </w:tc>
        <w:tc>
          <w:tcPr>
            <w:tcW w:w="3340" w:type="dxa"/>
          </w:tcPr>
          <w:p w14:paraId="5E330A11"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2734" w:type="dxa"/>
          </w:tcPr>
          <w:p w14:paraId="67161C78"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NC Math 3 EOC</w:t>
            </w:r>
          </w:p>
        </w:tc>
        <w:tc>
          <w:tcPr>
            <w:tcW w:w="1437" w:type="dxa"/>
          </w:tcPr>
          <w:p w14:paraId="564F0FD1"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Biology EOC</w:t>
            </w:r>
          </w:p>
        </w:tc>
        <w:tc>
          <w:tcPr>
            <w:tcW w:w="1083" w:type="dxa"/>
          </w:tcPr>
          <w:p w14:paraId="321EB82B" w14:textId="77777777" w:rsidR="003A7275" w:rsidRPr="001427AF" w:rsidRDefault="003A7275">
            <w:pPr>
              <w:pStyle w:val="Default"/>
              <w:contextualSpacing/>
              <w:rPr>
                <w:rFonts w:ascii="Arial" w:hAnsi="Arial" w:cs="Arial"/>
                <w:sz w:val="20"/>
                <w:szCs w:val="20"/>
              </w:rPr>
            </w:pPr>
            <w:r w:rsidRPr="001427AF" w:rsidDel="00761622">
              <w:rPr>
                <w:rFonts w:ascii="Arial" w:hAnsi="Arial" w:cs="Arial"/>
                <w:sz w:val="20"/>
                <w:szCs w:val="20"/>
              </w:rPr>
              <w:t>The ACT</w:t>
            </w:r>
          </w:p>
        </w:tc>
      </w:tr>
      <w:tr w:rsidR="003A7275" w:rsidRPr="001427AF" w14:paraId="1533AC6B" w14:textId="77777777" w:rsidTr="00F16214">
        <w:trPr>
          <w:jc w:val="center"/>
        </w:trPr>
        <w:tc>
          <w:tcPr>
            <w:tcW w:w="761" w:type="dxa"/>
          </w:tcPr>
          <w:p w14:paraId="1A9021B4"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12</w:t>
            </w:r>
          </w:p>
        </w:tc>
        <w:tc>
          <w:tcPr>
            <w:tcW w:w="3340" w:type="dxa"/>
          </w:tcPr>
          <w:p w14:paraId="2669AA2B"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2734" w:type="dxa"/>
          </w:tcPr>
          <w:p w14:paraId="3EB1FACE"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437" w:type="dxa"/>
          </w:tcPr>
          <w:p w14:paraId="4CEF79BE" w14:textId="77777777" w:rsidR="003A7275" w:rsidRPr="001427AF" w:rsidRDefault="003A7275">
            <w:pPr>
              <w:pStyle w:val="Default"/>
              <w:contextualSpacing/>
              <w:rPr>
                <w:rFonts w:ascii="Arial" w:hAnsi="Arial" w:cs="Arial"/>
                <w:sz w:val="20"/>
                <w:szCs w:val="20"/>
              </w:rPr>
            </w:pPr>
            <w:r w:rsidRPr="001427AF">
              <w:rPr>
                <w:rFonts w:ascii="Arial" w:hAnsi="Arial" w:cs="Arial"/>
                <w:sz w:val="20"/>
                <w:szCs w:val="20"/>
              </w:rPr>
              <w:t>-</w:t>
            </w:r>
          </w:p>
        </w:tc>
        <w:tc>
          <w:tcPr>
            <w:tcW w:w="1083" w:type="dxa"/>
          </w:tcPr>
          <w:p w14:paraId="1A1E3DC0" w14:textId="77777777" w:rsidR="003A7275" w:rsidRPr="001427AF" w:rsidRDefault="003A7275">
            <w:pPr>
              <w:pStyle w:val="Default"/>
              <w:contextualSpacing/>
              <w:rPr>
                <w:rFonts w:ascii="Arial" w:hAnsi="Arial" w:cs="Arial"/>
                <w:sz w:val="20"/>
                <w:szCs w:val="20"/>
              </w:rPr>
            </w:pPr>
            <w:r w:rsidRPr="001427AF" w:rsidDel="00761622">
              <w:rPr>
                <w:rFonts w:ascii="Arial" w:hAnsi="Arial" w:cs="Arial"/>
                <w:sz w:val="20"/>
                <w:szCs w:val="20"/>
              </w:rPr>
              <w:t>WorkKeys</w:t>
            </w:r>
          </w:p>
        </w:tc>
      </w:tr>
    </w:tbl>
    <w:p w14:paraId="0F76601B" w14:textId="67C0400B" w:rsidR="003A7275" w:rsidRPr="001427AF" w:rsidRDefault="003A7275" w:rsidP="003A7275">
      <w:pPr>
        <w:pStyle w:val="Default"/>
        <w:contextualSpacing/>
        <w:rPr>
          <w:rFonts w:ascii="Arial" w:hAnsi="Arial" w:cs="Arial"/>
        </w:rPr>
      </w:pPr>
      <w:r w:rsidRPr="001427AF">
        <w:rPr>
          <w:rFonts w:ascii="Arial" w:hAnsi="Arial" w:cs="Arial"/>
        </w:rPr>
        <w:t xml:space="preserve">Each EOG and EOC assessment uses the achievement levels indicated in </w:t>
      </w:r>
      <w:r w:rsidR="00C26B93" w:rsidRPr="001427AF">
        <w:rPr>
          <w:rFonts w:ascii="Arial" w:hAnsi="Arial" w:cs="Arial"/>
        </w:rPr>
        <w:t>t</w:t>
      </w:r>
      <w:r w:rsidRPr="001427AF">
        <w:rPr>
          <w:rFonts w:ascii="Arial" w:hAnsi="Arial" w:cs="Arial"/>
        </w:rPr>
        <w:t>able 2.</w:t>
      </w:r>
      <w:r w:rsidR="003E3929" w:rsidRPr="001427AF">
        <w:rPr>
          <w:rFonts w:ascii="Arial" w:hAnsi="Arial" w:cs="Arial"/>
        </w:rPr>
        <w:t>6</w:t>
      </w:r>
      <w:r w:rsidRPr="001427AF">
        <w:rPr>
          <w:rFonts w:ascii="Arial" w:hAnsi="Arial" w:cs="Arial"/>
        </w:rPr>
        <w:t>.1 to report accountability results.</w:t>
      </w:r>
    </w:p>
    <w:p w14:paraId="77355D4E" w14:textId="77777777" w:rsidR="00EF6BDA" w:rsidRDefault="00EF6BDA" w:rsidP="003A7275">
      <w:pPr>
        <w:pStyle w:val="TableHead"/>
        <w:spacing w:after="0" w:line="240" w:lineRule="auto"/>
        <w:ind w:left="0"/>
        <w:contextualSpacing/>
        <w:rPr>
          <w:rFonts w:ascii="Arial" w:hAnsi="Arial" w:cs="Arial"/>
          <w:i w:val="0"/>
          <w:sz w:val="20"/>
        </w:rPr>
      </w:pPr>
    </w:p>
    <w:p w14:paraId="258E68CC" w14:textId="77777777" w:rsidR="003060E3" w:rsidRDefault="003060E3" w:rsidP="003A7275">
      <w:pPr>
        <w:pStyle w:val="TableHead"/>
        <w:spacing w:after="0" w:line="240" w:lineRule="auto"/>
        <w:ind w:left="0"/>
        <w:contextualSpacing/>
        <w:rPr>
          <w:rFonts w:ascii="Arial" w:hAnsi="Arial" w:cs="Arial"/>
          <w:i w:val="0"/>
          <w:sz w:val="20"/>
        </w:rPr>
      </w:pPr>
    </w:p>
    <w:p w14:paraId="205A4684" w14:textId="77777777" w:rsidR="003060E3" w:rsidRDefault="003060E3" w:rsidP="003A7275">
      <w:pPr>
        <w:pStyle w:val="TableHead"/>
        <w:spacing w:after="0" w:line="240" w:lineRule="auto"/>
        <w:ind w:left="0"/>
        <w:contextualSpacing/>
        <w:rPr>
          <w:rFonts w:ascii="Arial" w:hAnsi="Arial" w:cs="Arial"/>
          <w:i w:val="0"/>
          <w:sz w:val="20"/>
        </w:rPr>
      </w:pPr>
    </w:p>
    <w:p w14:paraId="11C5EF97" w14:textId="77777777" w:rsidR="003060E3" w:rsidRDefault="003060E3" w:rsidP="003A7275">
      <w:pPr>
        <w:pStyle w:val="TableHead"/>
        <w:spacing w:after="0" w:line="240" w:lineRule="auto"/>
        <w:ind w:left="0"/>
        <w:contextualSpacing/>
        <w:rPr>
          <w:rFonts w:ascii="Arial" w:hAnsi="Arial" w:cs="Arial"/>
          <w:i w:val="0"/>
          <w:sz w:val="20"/>
        </w:rPr>
      </w:pPr>
    </w:p>
    <w:p w14:paraId="1B8DA1B3" w14:textId="77777777" w:rsidR="003060E3" w:rsidRPr="001427AF" w:rsidRDefault="003060E3" w:rsidP="003A7275">
      <w:pPr>
        <w:pStyle w:val="TableHead"/>
        <w:spacing w:after="0" w:line="240" w:lineRule="auto"/>
        <w:ind w:left="0"/>
        <w:contextualSpacing/>
        <w:rPr>
          <w:rFonts w:ascii="Arial" w:hAnsi="Arial" w:cs="Arial"/>
          <w:i w:val="0"/>
          <w:sz w:val="20"/>
        </w:rPr>
      </w:pPr>
    </w:p>
    <w:p w14:paraId="4B51B1DE" w14:textId="6B37F56F" w:rsidR="003A7275" w:rsidRPr="001427AF" w:rsidRDefault="003A7275" w:rsidP="003A7275">
      <w:pPr>
        <w:pStyle w:val="TableHead"/>
        <w:spacing w:after="0" w:line="240" w:lineRule="auto"/>
        <w:ind w:left="0"/>
        <w:contextualSpacing/>
        <w:rPr>
          <w:rFonts w:ascii="Arial" w:hAnsi="Arial" w:cs="Arial"/>
          <w:i w:val="0"/>
          <w:sz w:val="20"/>
        </w:rPr>
      </w:pPr>
      <w:r w:rsidRPr="001427AF">
        <w:rPr>
          <w:rFonts w:ascii="Arial" w:hAnsi="Arial" w:cs="Arial"/>
          <w:i w:val="0"/>
          <w:sz w:val="20"/>
        </w:rPr>
        <w:lastRenderedPageBreak/>
        <w:t>TABLE 2.</w:t>
      </w:r>
      <w:r w:rsidR="003E3929" w:rsidRPr="001427AF">
        <w:rPr>
          <w:rFonts w:ascii="Arial" w:hAnsi="Arial" w:cs="Arial"/>
          <w:i w:val="0"/>
          <w:sz w:val="20"/>
        </w:rPr>
        <w:t>6</w:t>
      </w:r>
      <w:r w:rsidRPr="001427AF">
        <w:rPr>
          <w:rFonts w:ascii="Arial" w:hAnsi="Arial" w:cs="Arial"/>
          <w:i w:val="0"/>
          <w:sz w:val="20"/>
        </w:rPr>
        <w:t>.1. Student achievement levels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his table provides the definitions for each student achievement level available for the  end-of-grade and end-of-course tests. "/>
      </w:tblPr>
      <w:tblGrid>
        <w:gridCol w:w="9098"/>
      </w:tblGrid>
      <w:tr w:rsidR="003A7275" w:rsidRPr="001427AF" w14:paraId="54311713" w14:textId="77777777" w:rsidTr="00871410">
        <w:trPr>
          <w:trHeight w:val="233"/>
        </w:trPr>
        <w:tc>
          <w:tcPr>
            <w:tcW w:w="9098" w:type="dxa"/>
            <w:shd w:val="clear" w:color="auto" w:fill="ACB9CA" w:themeFill="text2" w:themeFillTint="66"/>
            <w:vAlign w:val="center"/>
          </w:tcPr>
          <w:p w14:paraId="1821651F" w14:textId="77777777" w:rsidR="003A7275" w:rsidRPr="001427AF" w:rsidRDefault="003A7275">
            <w:pPr>
              <w:spacing w:line="240" w:lineRule="auto"/>
              <w:contextualSpacing/>
              <w:rPr>
                <w:rFonts w:ascii="Arial" w:hAnsi="Arial" w:cs="Arial"/>
                <w:b/>
                <w:sz w:val="20"/>
              </w:rPr>
            </w:pPr>
            <w:r w:rsidRPr="001427AF">
              <w:rPr>
                <w:rFonts w:ascii="Arial" w:hAnsi="Arial" w:cs="Arial"/>
                <w:b/>
                <w:sz w:val="20"/>
              </w:rPr>
              <w:t>Reading, Science, and Mathematics</w:t>
            </w:r>
          </w:p>
        </w:tc>
      </w:tr>
      <w:tr w:rsidR="003A7275" w:rsidRPr="001427AF" w14:paraId="467E5BCE" w14:textId="77777777" w:rsidTr="001A4F0B">
        <w:trPr>
          <w:trHeight w:val="186"/>
        </w:trPr>
        <w:tc>
          <w:tcPr>
            <w:tcW w:w="9098" w:type="dxa"/>
          </w:tcPr>
          <w:p w14:paraId="7A4F124F" w14:textId="77777777" w:rsidR="003A7275" w:rsidRPr="001427AF" w:rsidRDefault="003A7275">
            <w:pPr>
              <w:spacing w:line="240" w:lineRule="auto"/>
              <w:contextualSpacing/>
              <w:rPr>
                <w:rFonts w:ascii="Arial" w:hAnsi="Arial" w:cs="Arial"/>
                <w:sz w:val="20"/>
              </w:rPr>
            </w:pPr>
            <w:r w:rsidRPr="001427AF">
              <w:rPr>
                <w:rFonts w:ascii="Arial" w:hAnsi="Arial" w:cs="Arial"/>
                <w:b/>
                <w:bCs/>
                <w:sz w:val="20"/>
              </w:rPr>
              <w:t>Level 5:</w:t>
            </w:r>
            <w:r w:rsidRPr="001427AF">
              <w:rPr>
                <w:rFonts w:ascii="Arial" w:hAnsi="Arial" w:cs="Arial"/>
                <w:sz w:val="20"/>
              </w:rPr>
              <w:t xml:space="preserve"> Comprehensive Understanding </w:t>
            </w:r>
          </w:p>
        </w:tc>
      </w:tr>
      <w:tr w:rsidR="003A7275" w:rsidRPr="001427AF" w14:paraId="0140EC8E" w14:textId="77777777" w:rsidTr="001A4F0B">
        <w:trPr>
          <w:trHeight w:val="62"/>
        </w:trPr>
        <w:tc>
          <w:tcPr>
            <w:tcW w:w="9098" w:type="dxa"/>
          </w:tcPr>
          <w:p w14:paraId="7894D875" w14:textId="77777777" w:rsidR="003A7275" w:rsidRPr="001427AF" w:rsidRDefault="003A7275">
            <w:pPr>
              <w:spacing w:line="240" w:lineRule="auto"/>
              <w:contextualSpacing/>
              <w:rPr>
                <w:rFonts w:ascii="Arial" w:hAnsi="Arial" w:cs="Arial"/>
                <w:sz w:val="20"/>
              </w:rPr>
            </w:pPr>
            <w:r w:rsidRPr="001427AF">
              <w:rPr>
                <w:rFonts w:ascii="Arial" w:hAnsi="Arial" w:cs="Arial"/>
                <w:b/>
                <w:bCs/>
                <w:sz w:val="20"/>
              </w:rPr>
              <w:t>Level 4:</w:t>
            </w:r>
            <w:r w:rsidRPr="001427AF">
              <w:rPr>
                <w:rFonts w:ascii="Arial" w:hAnsi="Arial" w:cs="Arial"/>
                <w:sz w:val="20"/>
              </w:rPr>
              <w:t xml:space="preserve"> Thorough Understanding </w:t>
            </w:r>
          </w:p>
        </w:tc>
      </w:tr>
      <w:tr w:rsidR="003A7275" w:rsidRPr="001427AF" w14:paraId="7F773723" w14:textId="77777777" w:rsidTr="001A4F0B">
        <w:trPr>
          <w:trHeight w:val="217"/>
        </w:trPr>
        <w:tc>
          <w:tcPr>
            <w:tcW w:w="9098" w:type="dxa"/>
          </w:tcPr>
          <w:p w14:paraId="32BFB45E" w14:textId="77777777" w:rsidR="003A7275" w:rsidRPr="001427AF" w:rsidRDefault="003A7275">
            <w:pPr>
              <w:spacing w:line="240" w:lineRule="auto"/>
              <w:contextualSpacing/>
              <w:rPr>
                <w:rFonts w:ascii="Arial" w:hAnsi="Arial" w:cs="Arial"/>
                <w:sz w:val="20"/>
              </w:rPr>
            </w:pPr>
            <w:r w:rsidRPr="001427AF">
              <w:rPr>
                <w:rFonts w:ascii="Arial" w:hAnsi="Arial" w:cs="Arial"/>
                <w:b/>
                <w:bCs/>
                <w:sz w:val="20"/>
              </w:rPr>
              <w:t>Level 3:</w:t>
            </w:r>
            <w:r w:rsidRPr="001427AF">
              <w:rPr>
                <w:rFonts w:ascii="Arial" w:hAnsi="Arial" w:cs="Arial"/>
                <w:sz w:val="20"/>
              </w:rPr>
              <w:t xml:space="preserve"> Sufficient Understanding </w:t>
            </w:r>
          </w:p>
        </w:tc>
      </w:tr>
      <w:tr w:rsidR="003A7275" w:rsidRPr="001427AF" w14:paraId="481E43E0" w14:textId="77777777" w:rsidTr="001A4F0B">
        <w:trPr>
          <w:trHeight w:val="228"/>
        </w:trPr>
        <w:tc>
          <w:tcPr>
            <w:tcW w:w="9098" w:type="dxa"/>
          </w:tcPr>
          <w:p w14:paraId="1B8B3FE0" w14:textId="77777777" w:rsidR="003A7275" w:rsidRPr="001427AF" w:rsidRDefault="003A7275">
            <w:pPr>
              <w:spacing w:line="240" w:lineRule="auto"/>
              <w:contextualSpacing/>
              <w:rPr>
                <w:rFonts w:ascii="Arial" w:hAnsi="Arial" w:cs="Arial"/>
                <w:sz w:val="20"/>
              </w:rPr>
            </w:pPr>
            <w:r w:rsidRPr="001427AF">
              <w:rPr>
                <w:rFonts w:ascii="Arial" w:hAnsi="Arial" w:cs="Arial"/>
                <w:b/>
                <w:bCs/>
                <w:sz w:val="20"/>
              </w:rPr>
              <w:t>Not Proficient:</w:t>
            </w:r>
            <w:r w:rsidRPr="001427AF">
              <w:rPr>
                <w:rFonts w:ascii="Arial" w:hAnsi="Arial" w:cs="Arial"/>
                <w:sz w:val="20"/>
              </w:rPr>
              <w:t xml:space="preserve"> Inconsistent Understanding </w:t>
            </w:r>
          </w:p>
        </w:tc>
      </w:tr>
    </w:tbl>
    <w:p w14:paraId="52239635" w14:textId="77777777" w:rsidR="009E3796" w:rsidRDefault="009E3796" w:rsidP="003A7275">
      <w:pPr>
        <w:pStyle w:val="Default"/>
        <w:contextualSpacing/>
        <w:rPr>
          <w:rFonts w:ascii="Arial" w:hAnsi="Arial" w:cs="Arial"/>
        </w:rPr>
      </w:pPr>
    </w:p>
    <w:p w14:paraId="51727C25" w14:textId="557CB91E" w:rsidR="003A7275" w:rsidRPr="001427AF" w:rsidRDefault="003A7275" w:rsidP="003A7275">
      <w:pPr>
        <w:pStyle w:val="Default"/>
        <w:contextualSpacing/>
        <w:rPr>
          <w:rFonts w:ascii="Arial" w:hAnsi="Arial" w:cs="Arial"/>
        </w:rPr>
      </w:pPr>
      <w:r w:rsidRPr="001427AF">
        <w:rPr>
          <w:rFonts w:ascii="Arial" w:hAnsi="Arial" w:cs="Arial"/>
        </w:rPr>
        <w:t>The assessments are reported as four academic achievement levels (</w:t>
      </w:r>
      <w:r w:rsidR="00B369BA" w:rsidRPr="001427AF">
        <w:rPr>
          <w:rFonts w:ascii="Arial" w:hAnsi="Arial" w:cs="Arial"/>
        </w:rPr>
        <w:t xml:space="preserve">i.e., </w:t>
      </w:r>
      <w:r w:rsidRPr="001427AF">
        <w:rPr>
          <w:rFonts w:ascii="Arial" w:hAnsi="Arial" w:cs="Arial"/>
        </w:rPr>
        <w:t xml:space="preserve">Not Proficient, Level 3, Level 4, and Level 5) with Levels 3–5 demonstrating Grade-Level Proficiency and Levels 4–5 demonstrating on track for </w:t>
      </w:r>
      <w:proofErr w:type="gramStart"/>
      <w:r w:rsidRPr="001427AF">
        <w:rPr>
          <w:rFonts w:ascii="Arial" w:hAnsi="Arial" w:cs="Arial"/>
        </w:rPr>
        <w:t>College</w:t>
      </w:r>
      <w:proofErr w:type="gramEnd"/>
      <w:r w:rsidR="007E1708" w:rsidRPr="001427AF">
        <w:rPr>
          <w:rFonts w:ascii="Arial" w:hAnsi="Arial" w:cs="Arial"/>
        </w:rPr>
        <w:t>-and-Career</w:t>
      </w:r>
      <w:r w:rsidRPr="001427AF">
        <w:rPr>
          <w:rFonts w:ascii="Arial" w:hAnsi="Arial" w:cs="Arial"/>
        </w:rPr>
        <w:t xml:space="preserve"> Readiness. School performance grade calculations use scores that meet Grade-Level Proficiency (</w:t>
      </w:r>
      <w:r w:rsidR="000E67AD" w:rsidRPr="001427AF">
        <w:rPr>
          <w:rFonts w:ascii="Arial" w:hAnsi="Arial" w:cs="Arial"/>
        </w:rPr>
        <w:t xml:space="preserve">i.e., </w:t>
      </w:r>
      <w:r w:rsidRPr="001427AF">
        <w:rPr>
          <w:rFonts w:ascii="Arial" w:hAnsi="Arial" w:cs="Arial"/>
        </w:rPr>
        <w:t xml:space="preserve">Levels 3–5). </w:t>
      </w:r>
    </w:p>
    <w:p w14:paraId="30117EB2" w14:textId="77777777" w:rsidR="003A7275" w:rsidRPr="001427AF" w:rsidRDefault="003A7275" w:rsidP="003A7275">
      <w:pPr>
        <w:pStyle w:val="Default"/>
        <w:contextualSpacing/>
        <w:rPr>
          <w:rFonts w:ascii="Arial" w:hAnsi="Arial" w:cs="Arial"/>
        </w:rPr>
      </w:pPr>
    </w:p>
    <w:p w14:paraId="2A3631AE" w14:textId="664945DD" w:rsidR="003A7275" w:rsidRPr="001427AF" w:rsidRDefault="003A7275" w:rsidP="003A7275">
      <w:pPr>
        <w:pStyle w:val="Default"/>
        <w:contextualSpacing/>
        <w:rPr>
          <w:rFonts w:ascii="Arial" w:hAnsi="Arial" w:cs="Arial"/>
        </w:rPr>
      </w:pPr>
      <w:r w:rsidRPr="001427AF">
        <w:rPr>
          <w:rFonts w:ascii="Arial" w:hAnsi="Arial" w:cs="Arial"/>
        </w:rPr>
        <w:t xml:space="preserve">The denominator and numerator used to calculate the </w:t>
      </w:r>
      <w:r w:rsidR="00B369BA" w:rsidRPr="001427AF">
        <w:rPr>
          <w:rFonts w:ascii="Arial" w:hAnsi="Arial" w:cs="Arial"/>
        </w:rPr>
        <w:t>r</w:t>
      </w:r>
      <w:r w:rsidRPr="001427AF">
        <w:rPr>
          <w:rFonts w:ascii="Arial" w:hAnsi="Arial" w:cs="Arial"/>
        </w:rPr>
        <w:t xml:space="preserve">eading and </w:t>
      </w:r>
      <w:r w:rsidR="00B369BA" w:rsidRPr="001427AF">
        <w:rPr>
          <w:rFonts w:ascii="Arial" w:hAnsi="Arial" w:cs="Arial"/>
        </w:rPr>
        <w:t>m</w:t>
      </w:r>
      <w:r w:rsidRPr="001427AF">
        <w:rPr>
          <w:rFonts w:ascii="Arial" w:hAnsi="Arial" w:cs="Arial"/>
        </w:rPr>
        <w:t>athematics EOG and EOC accountability scores are defined as follows:</w:t>
      </w:r>
    </w:p>
    <w:p w14:paraId="7C1CB0D5" w14:textId="617EC1B1" w:rsidR="003A7275" w:rsidRPr="001427AF" w:rsidRDefault="003A7275" w:rsidP="00CA5853">
      <w:pPr>
        <w:pStyle w:val="Default"/>
        <w:numPr>
          <w:ilvl w:val="0"/>
          <w:numId w:val="33"/>
        </w:numPr>
        <w:rPr>
          <w:rFonts w:ascii="Arial" w:hAnsi="Arial" w:cs="Arial"/>
        </w:rPr>
      </w:pPr>
      <w:r w:rsidRPr="001427AF">
        <w:rPr>
          <w:rFonts w:ascii="Arial" w:hAnsi="Arial" w:cs="Arial"/>
        </w:rPr>
        <w:t xml:space="preserve">The denominator includes all current year assessment scores for eligible students in membership (i.e., enrolled in a school) at grades </w:t>
      </w:r>
      <w:r w:rsidR="00A32383" w:rsidRPr="001427AF">
        <w:rPr>
          <w:rFonts w:ascii="Arial" w:hAnsi="Arial" w:cs="Arial"/>
        </w:rPr>
        <w:t>3–8</w:t>
      </w:r>
      <w:r w:rsidRPr="001427AF">
        <w:rPr>
          <w:rFonts w:ascii="Arial" w:hAnsi="Arial" w:cs="Arial"/>
        </w:rPr>
        <w:t xml:space="preserve"> and in high school courses in which an EOC assessment is required. </w:t>
      </w:r>
    </w:p>
    <w:p w14:paraId="73B8C64C" w14:textId="2C42389C" w:rsidR="003A7275" w:rsidRPr="001427AF" w:rsidRDefault="003A7275" w:rsidP="00CA5853">
      <w:pPr>
        <w:pStyle w:val="Default"/>
        <w:numPr>
          <w:ilvl w:val="0"/>
          <w:numId w:val="7"/>
        </w:numPr>
        <w:contextualSpacing/>
        <w:rPr>
          <w:rFonts w:ascii="Arial" w:hAnsi="Arial" w:cs="Arial"/>
        </w:rPr>
      </w:pPr>
      <w:r w:rsidRPr="001427AF">
        <w:rPr>
          <w:rFonts w:ascii="Arial" w:hAnsi="Arial" w:cs="Arial"/>
        </w:rPr>
        <w:t xml:space="preserve">The participation expectation for all assessments is 95%. If a school fails to meet the 95% participation rule for reading or mathematics, an adjustment is made to the denominator to ensure the denominator accounts for 95% of students expected to </w:t>
      </w:r>
      <w:r w:rsidR="0058606A" w:rsidRPr="001427AF">
        <w:rPr>
          <w:rFonts w:ascii="Arial" w:hAnsi="Arial" w:cs="Arial"/>
        </w:rPr>
        <w:t xml:space="preserve">take the </w:t>
      </w:r>
      <w:r w:rsidRPr="001427AF">
        <w:rPr>
          <w:rFonts w:ascii="Arial" w:hAnsi="Arial" w:cs="Arial"/>
        </w:rPr>
        <w:t xml:space="preserve">test. See Section 3 </w:t>
      </w:r>
      <w:r w:rsidR="00B369BA" w:rsidRPr="001427AF">
        <w:rPr>
          <w:rFonts w:ascii="Arial" w:hAnsi="Arial" w:cs="Arial"/>
        </w:rPr>
        <w:t xml:space="preserve">of this guide </w:t>
      </w:r>
      <w:r w:rsidRPr="001427AF">
        <w:rPr>
          <w:rFonts w:ascii="Arial" w:hAnsi="Arial" w:cs="Arial"/>
        </w:rPr>
        <w:t xml:space="preserve">for more details. </w:t>
      </w:r>
    </w:p>
    <w:p w14:paraId="129C599B" w14:textId="25823A94" w:rsidR="003A7275" w:rsidRPr="001427AF" w:rsidRDefault="003A7275" w:rsidP="00CA5853">
      <w:pPr>
        <w:pStyle w:val="Default"/>
        <w:numPr>
          <w:ilvl w:val="0"/>
          <w:numId w:val="7"/>
        </w:numPr>
        <w:contextualSpacing/>
        <w:rPr>
          <w:rFonts w:ascii="Arial" w:hAnsi="Arial" w:cs="Arial"/>
        </w:rPr>
      </w:pPr>
      <w:r w:rsidRPr="001427AF">
        <w:rPr>
          <w:rFonts w:ascii="Arial" w:hAnsi="Arial" w:cs="Arial"/>
        </w:rPr>
        <w:t xml:space="preserve">Students who are in their first or second year in a </w:t>
      </w:r>
      <w:r w:rsidR="00957928" w:rsidRPr="001427AF">
        <w:rPr>
          <w:rFonts w:ascii="Arial" w:hAnsi="Arial" w:cs="Arial"/>
        </w:rPr>
        <w:t>US</w:t>
      </w:r>
      <w:r w:rsidRPr="001427AF">
        <w:rPr>
          <w:rFonts w:ascii="Arial" w:hAnsi="Arial" w:cs="Arial"/>
        </w:rPr>
        <w:t xml:space="preserve"> school </w:t>
      </w:r>
      <w:r w:rsidR="00D46F7C">
        <w:rPr>
          <w:rFonts w:ascii="Arial" w:hAnsi="Arial" w:cs="Arial"/>
        </w:rPr>
        <w:t xml:space="preserve">and are </w:t>
      </w:r>
      <w:r w:rsidR="005F4058">
        <w:rPr>
          <w:rFonts w:ascii="Arial" w:hAnsi="Arial" w:cs="Arial"/>
        </w:rPr>
        <w:t xml:space="preserve">identified as and English learner </w:t>
      </w:r>
      <w:r w:rsidRPr="001427AF">
        <w:rPr>
          <w:rFonts w:ascii="Arial" w:hAnsi="Arial" w:cs="Arial"/>
        </w:rPr>
        <w:t>are not included in proficiency calculations.</w:t>
      </w:r>
    </w:p>
    <w:p w14:paraId="13265CDD" w14:textId="7EC2D41D" w:rsidR="003A7275" w:rsidRPr="001427AF" w:rsidRDefault="003A7275" w:rsidP="00CA5853">
      <w:pPr>
        <w:pStyle w:val="Default"/>
        <w:numPr>
          <w:ilvl w:val="0"/>
          <w:numId w:val="7"/>
        </w:numPr>
        <w:contextualSpacing/>
        <w:rPr>
          <w:rFonts w:ascii="Arial" w:hAnsi="Arial" w:cs="Arial"/>
        </w:rPr>
      </w:pPr>
      <w:r w:rsidRPr="001427AF">
        <w:rPr>
          <w:rFonts w:ascii="Arial" w:hAnsi="Arial" w:cs="Arial"/>
        </w:rPr>
        <w:t xml:space="preserve">NC Math 1 scores for students taking the course prior to their grade </w:t>
      </w:r>
      <w:r w:rsidR="00224A02" w:rsidRPr="001427AF">
        <w:rPr>
          <w:rFonts w:ascii="Arial" w:hAnsi="Arial" w:cs="Arial"/>
        </w:rPr>
        <w:t>8</w:t>
      </w:r>
      <w:r w:rsidRPr="001427AF">
        <w:rPr>
          <w:rFonts w:ascii="Arial" w:hAnsi="Arial" w:cs="Arial"/>
        </w:rPr>
        <w:t xml:space="preserve"> year are counted when the student is in grade </w:t>
      </w:r>
      <w:r w:rsidR="00224A02" w:rsidRPr="001427AF">
        <w:rPr>
          <w:rFonts w:ascii="Arial" w:hAnsi="Arial" w:cs="Arial"/>
        </w:rPr>
        <w:t>8</w:t>
      </w:r>
      <w:r w:rsidRPr="001427AF">
        <w:rPr>
          <w:rFonts w:ascii="Arial" w:hAnsi="Arial" w:cs="Arial"/>
        </w:rPr>
        <w:t>.</w:t>
      </w:r>
      <w:bookmarkStart w:id="290" w:name="_Ref219376382"/>
      <w:r w:rsidR="00DB67EF">
        <w:rPr>
          <w:rFonts w:ascii="ZWAdobeF" w:hAnsi="ZWAdobeF" w:cs="ZWAdobeF"/>
          <w:color w:val="auto"/>
          <w:sz w:val="2"/>
          <w:szCs w:val="2"/>
        </w:rPr>
        <w:t>5F</w:t>
      </w:r>
      <w:r w:rsidR="00DE0BC8" w:rsidRPr="00871410">
        <w:rPr>
          <w:rStyle w:val="FootnoteReference"/>
          <w:rFonts w:ascii="Arial" w:hAnsi="Arial" w:cs="Arial"/>
          <w:sz w:val="20"/>
          <w:szCs w:val="20"/>
        </w:rPr>
        <w:footnoteReference w:id="7"/>
      </w:r>
      <w:bookmarkEnd w:id="290"/>
    </w:p>
    <w:p w14:paraId="41C53DB0" w14:textId="6868B20F" w:rsidR="003A7275" w:rsidRPr="001427AF" w:rsidRDefault="003A7275" w:rsidP="00CA5853">
      <w:pPr>
        <w:pStyle w:val="Default"/>
        <w:numPr>
          <w:ilvl w:val="0"/>
          <w:numId w:val="7"/>
        </w:numPr>
        <w:contextualSpacing/>
        <w:rPr>
          <w:rFonts w:ascii="Arial" w:hAnsi="Arial" w:cs="Arial"/>
        </w:rPr>
      </w:pPr>
      <w:r w:rsidRPr="001427AF">
        <w:rPr>
          <w:rFonts w:ascii="Arial" w:hAnsi="Arial" w:cs="Arial"/>
        </w:rPr>
        <w:t xml:space="preserve">The mathematics high school accountability assessment for students who took NC Math 1 for the first time prior to grade </w:t>
      </w:r>
      <w:r w:rsidR="002027B5" w:rsidRPr="001427AF">
        <w:rPr>
          <w:rFonts w:ascii="Arial" w:hAnsi="Arial" w:cs="Arial"/>
        </w:rPr>
        <w:t>9</w:t>
      </w:r>
      <w:r w:rsidRPr="001427AF">
        <w:rPr>
          <w:rFonts w:ascii="Arial" w:hAnsi="Arial" w:cs="Arial"/>
        </w:rPr>
        <w:t xml:space="preserve"> is NC Math 3.</w:t>
      </w:r>
      <w:r w:rsidR="00D642DE" w:rsidRPr="00871410">
        <w:rPr>
          <w:rFonts w:ascii="Arial" w:hAnsi="Arial" w:cs="Arial"/>
          <w:sz w:val="20"/>
          <w:szCs w:val="20"/>
          <w:vertAlign w:val="superscript"/>
        </w:rPr>
        <w:fldChar w:fldCharType="begin"/>
      </w:r>
      <w:r w:rsidR="00D642DE" w:rsidRPr="00871410">
        <w:rPr>
          <w:rFonts w:ascii="Arial" w:hAnsi="Arial" w:cs="Arial"/>
          <w:sz w:val="20"/>
          <w:szCs w:val="20"/>
          <w:vertAlign w:val="superscript"/>
        </w:rPr>
        <w:instrText xml:space="preserve"> NOTEREF _Ref219376382 \h  \* MERGEFORMAT </w:instrText>
      </w:r>
      <w:r w:rsidR="00D642DE" w:rsidRPr="00871410">
        <w:rPr>
          <w:rFonts w:ascii="Arial" w:hAnsi="Arial" w:cs="Arial"/>
          <w:sz w:val="20"/>
          <w:szCs w:val="20"/>
          <w:vertAlign w:val="superscript"/>
        </w:rPr>
      </w:r>
      <w:r w:rsidR="00D642DE" w:rsidRPr="00871410">
        <w:rPr>
          <w:rFonts w:ascii="Arial" w:hAnsi="Arial" w:cs="Arial"/>
          <w:sz w:val="20"/>
          <w:szCs w:val="20"/>
          <w:vertAlign w:val="superscript"/>
        </w:rPr>
        <w:fldChar w:fldCharType="separate"/>
      </w:r>
      <w:r w:rsidR="00DB67EF">
        <w:rPr>
          <w:rFonts w:ascii="Arial" w:hAnsi="Arial" w:cs="Arial"/>
          <w:sz w:val="20"/>
          <w:szCs w:val="20"/>
          <w:vertAlign w:val="superscript"/>
        </w:rPr>
        <w:t>5</w:t>
      </w:r>
      <w:r w:rsidR="00D642DE" w:rsidRPr="00871410">
        <w:rPr>
          <w:rFonts w:ascii="Arial" w:hAnsi="Arial" w:cs="Arial"/>
          <w:sz w:val="20"/>
          <w:szCs w:val="20"/>
          <w:vertAlign w:val="superscript"/>
        </w:rPr>
        <w:fldChar w:fldCharType="end"/>
      </w:r>
    </w:p>
    <w:p w14:paraId="46DC53A4" w14:textId="042227DE" w:rsidR="003A7275" w:rsidRPr="001427AF" w:rsidRDefault="003A7275" w:rsidP="00CA5853">
      <w:pPr>
        <w:pStyle w:val="Default"/>
        <w:numPr>
          <w:ilvl w:val="0"/>
          <w:numId w:val="7"/>
        </w:numPr>
        <w:contextualSpacing/>
        <w:rPr>
          <w:rFonts w:ascii="Arial" w:hAnsi="Arial" w:cs="Arial"/>
        </w:rPr>
      </w:pPr>
      <w:r w:rsidRPr="001427AF">
        <w:rPr>
          <w:rFonts w:ascii="Arial" w:hAnsi="Arial" w:cs="Arial"/>
        </w:rPr>
        <w:t xml:space="preserve">Students with a medical exemption </w:t>
      </w:r>
      <w:r w:rsidR="00957928" w:rsidRPr="001427AF">
        <w:rPr>
          <w:rFonts w:ascii="Arial" w:hAnsi="Arial" w:cs="Arial"/>
        </w:rPr>
        <w:t xml:space="preserve">approved by the Office of Accountability and Testing </w:t>
      </w:r>
      <w:r w:rsidRPr="001427AF">
        <w:rPr>
          <w:rFonts w:ascii="Arial" w:hAnsi="Arial" w:cs="Arial"/>
        </w:rPr>
        <w:t xml:space="preserve">are excluded from all relevant proficiency calculations. </w:t>
      </w:r>
    </w:p>
    <w:p w14:paraId="3FB47835" w14:textId="77777777" w:rsidR="003A7275" w:rsidRPr="001427AF" w:rsidRDefault="003A7275" w:rsidP="00871410">
      <w:pPr>
        <w:pStyle w:val="Default"/>
        <w:ind w:left="360"/>
        <w:contextualSpacing/>
        <w:rPr>
          <w:rFonts w:ascii="Arial" w:hAnsi="Arial" w:cs="Arial"/>
          <w:sz w:val="20"/>
          <w:szCs w:val="20"/>
        </w:rPr>
      </w:pPr>
    </w:p>
    <w:p w14:paraId="773627C4" w14:textId="13505793" w:rsidR="00E9392B" w:rsidRPr="001427AF" w:rsidRDefault="00E9392B" w:rsidP="00CA5853">
      <w:pPr>
        <w:pStyle w:val="Default"/>
        <w:numPr>
          <w:ilvl w:val="0"/>
          <w:numId w:val="33"/>
        </w:numPr>
        <w:contextualSpacing/>
        <w:rPr>
          <w:rFonts w:ascii="Arial" w:hAnsi="Arial" w:cs="Arial"/>
        </w:rPr>
      </w:pPr>
      <w:r w:rsidRPr="001427AF">
        <w:rPr>
          <w:rFonts w:ascii="Arial" w:hAnsi="Arial" w:cs="Arial"/>
        </w:rPr>
        <w:t>The numerator is based on the number of students scoring Grade-Level Proficiency. Annual assessments (current year) for SPGs are calculated by determining the percentage of students who score at Level 3 or higher.</w:t>
      </w:r>
      <w:r w:rsidR="00DB67EF">
        <w:rPr>
          <w:rFonts w:ascii="ZWAdobeF" w:hAnsi="ZWAdobeF" w:cs="ZWAdobeF"/>
          <w:color w:val="auto"/>
          <w:sz w:val="2"/>
          <w:szCs w:val="2"/>
        </w:rPr>
        <w:t>6F</w:t>
      </w:r>
      <w:r w:rsidR="0021513D" w:rsidRPr="004A33B5">
        <w:rPr>
          <w:rStyle w:val="FootnoteReference"/>
          <w:rFonts w:ascii="Arial" w:hAnsi="Arial" w:cs="Arial"/>
          <w:sz w:val="20"/>
          <w:szCs w:val="20"/>
        </w:rPr>
        <w:footnoteReference w:id="8"/>
      </w:r>
      <w:r w:rsidRPr="004A33B5">
        <w:rPr>
          <w:rFonts w:ascii="Arial" w:hAnsi="Arial" w:cs="Arial"/>
          <w:sz w:val="20"/>
          <w:szCs w:val="20"/>
        </w:rPr>
        <w:t xml:space="preserve"> </w:t>
      </w:r>
      <w:bookmarkStart w:id="291" w:name="higher"/>
      <w:bookmarkEnd w:id="291"/>
    </w:p>
    <w:p w14:paraId="445B616B" w14:textId="6505B7B3" w:rsidR="0057698E" w:rsidRPr="002F2A8F" w:rsidRDefault="0057698E" w:rsidP="00CA5853">
      <w:pPr>
        <w:pStyle w:val="Default"/>
        <w:numPr>
          <w:ilvl w:val="0"/>
          <w:numId w:val="127"/>
        </w:numPr>
        <w:ind w:left="720"/>
        <w:contextualSpacing/>
        <w:rPr>
          <w:rFonts w:ascii="Arial" w:hAnsi="Arial" w:cs="Arial"/>
        </w:rPr>
      </w:pPr>
      <w:r w:rsidRPr="002F2A8F">
        <w:rPr>
          <w:rFonts w:ascii="Arial" w:hAnsi="Arial" w:cs="Arial"/>
        </w:rPr>
        <w:t>If two valid scores are received in the same accountability year for a student enrolled in an EOC course</w:t>
      </w:r>
      <w:r w:rsidR="00B41BDF" w:rsidRPr="00871410">
        <w:rPr>
          <w:rFonts w:ascii="Arial" w:hAnsi="Arial" w:cs="Arial"/>
        </w:rPr>
        <w:t xml:space="preserve"> (i.e., repeat course for credit)</w:t>
      </w:r>
      <w:r w:rsidRPr="002F2A8F">
        <w:rPr>
          <w:rFonts w:ascii="Arial" w:hAnsi="Arial" w:cs="Arial"/>
        </w:rPr>
        <w:t xml:space="preserve">, the higher score is used for proficiency calculations. </w:t>
      </w:r>
    </w:p>
    <w:p w14:paraId="00B5263C" w14:textId="77777777" w:rsidR="0057698E" w:rsidRPr="001427AF" w:rsidRDefault="0057698E" w:rsidP="00CA5853">
      <w:pPr>
        <w:pStyle w:val="Default"/>
        <w:numPr>
          <w:ilvl w:val="0"/>
          <w:numId w:val="127"/>
        </w:numPr>
        <w:ind w:left="720"/>
        <w:contextualSpacing/>
        <w:rPr>
          <w:rFonts w:ascii="Arial" w:hAnsi="Arial" w:cs="Arial"/>
        </w:rPr>
      </w:pPr>
      <w:r w:rsidRPr="001427AF">
        <w:rPr>
          <w:rFonts w:ascii="Arial" w:hAnsi="Arial" w:cs="Arial"/>
        </w:rPr>
        <w:lastRenderedPageBreak/>
        <w:t xml:space="preserve">If two valid scores are received in different accountability years for a student enrolled in the same EOC course, the most recent score is used for proficiency calculations. </w:t>
      </w:r>
    </w:p>
    <w:p w14:paraId="40886F8A" w14:textId="5BE6F8C7" w:rsidR="0057698E" w:rsidRPr="001427AF" w:rsidRDefault="0057698E" w:rsidP="00CA5853">
      <w:pPr>
        <w:pStyle w:val="Default"/>
        <w:numPr>
          <w:ilvl w:val="0"/>
          <w:numId w:val="127"/>
        </w:numPr>
        <w:ind w:left="720"/>
        <w:contextualSpacing/>
        <w:rPr>
          <w:rFonts w:ascii="Arial" w:hAnsi="Arial" w:cs="Arial"/>
        </w:rPr>
      </w:pPr>
      <w:r w:rsidRPr="001427AF">
        <w:rPr>
          <w:rFonts w:ascii="Arial" w:hAnsi="Arial" w:cs="Arial"/>
        </w:rPr>
        <w:t xml:space="preserve">Summer school EOC tests scores (after </w:t>
      </w:r>
      <w:r w:rsidR="00B34B66">
        <w:rPr>
          <w:rFonts w:ascii="Arial" w:hAnsi="Arial" w:cs="Arial"/>
        </w:rPr>
        <w:t>July 6</w:t>
      </w:r>
      <w:r w:rsidRPr="001427AF">
        <w:rPr>
          <w:rFonts w:ascii="Arial" w:hAnsi="Arial" w:cs="Arial"/>
        </w:rPr>
        <w:t xml:space="preserve">) are used in accountability calculations for the subsequent school year. </w:t>
      </w:r>
    </w:p>
    <w:p w14:paraId="4D2BCD43" w14:textId="77777777" w:rsidR="0057698E" w:rsidRPr="001427AF" w:rsidRDefault="0057698E" w:rsidP="00CA5853">
      <w:pPr>
        <w:pStyle w:val="Default"/>
        <w:numPr>
          <w:ilvl w:val="0"/>
          <w:numId w:val="127"/>
        </w:numPr>
        <w:ind w:left="720"/>
        <w:contextualSpacing/>
        <w:rPr>
          <w:rFonts w:ascii="Arial" w:hAnsi="Arial" w:cs="Arial"/>
        </w:rPr>
      </w:pPr>
      <w:r w:rsidRPr="001427AF">
        <w:rPr>
          <w:rFonts w:ascii="Arial" w:hAnsi="Arial" w:cs="Arial"/>
        </w:rPr>
        <w:t xml:space="preserve">Students earning credit through the Credit by Demonstrated Mastery program in a course that administers an EOC assessment are counted as proficient. </w:t>
      </w:r>
    </w:p>
    <w:p w14:paraId="246E5743" w14:textId="77777777" w:rsidR="0057698E" w:rsidRPr="001427AF" w:rsidRDefault="0057698E" w:rsidP="00CA5853">
      <w:pPr>
        <w:pStyle w:val="Default"/>
        <w:numPr>
          <w:ilvl w:val="0"/>
          <w:numId w:val="127"/>
        </w:numPr>
        <w:ind w:left="720"/>
        <w:contextualSpacing/>
        <w:rPr>
          <w:rFonts w:ascii="Arial" w:hAnsi="Arial" w:cs="Arial"/>
        </w:rPr>
      </w:pPr>
      <w:r w:rsidRPr="001427AF">
        <w:rPr>
          <w:rFonts w:ascii="Arial" w:hAnsi="Arial" w:cs="Arial"/>
        </w:rPr>
        <w:t xml:space="preserve">Students in grade 3 who are not proficient </w:t>
      </w:r>
      <w:proofErr w:type="gramStart"/>
      <w:r w:rsidRPr="001427AF">
        <w:rPr>
          <w:rFonts w:ascii="Arial" w:hAnsi="Arial" w:cs="Arial"/>
        </w:rPr>
        <w:t>on</w:t>
      </w:r>
      <w:proofErr w:type="gramEnd"/>
      <w:r w:rsidRPr="001427AF">
        <w:rPr>
          <w:rFonts w:ascii="Arial" w:hAnsi="Arial" w:cs="Arial"/>
        </w:rPr>
        <w:t xml:space="preserve"> the EOG but receive a Level 3 or higher on the Beginning-of-Grade 3 (BOG3) Reading Test count as proficient. </w:t>
      </w:r>
    </w:p>
    <w:p w14:paraId="47096D1A" w14:textId="7040DC7E" w:rsidR="0057698E" w:rsidRPr="001427AF" w:rsidRDefault="000D04BA" w:rsidP="00CA5853">
      <w:pPr>
        <w:pStyle w:val="Default"/>
        <w:numPr>
          <w:ilvl w:val="0"/>
          <w:numId w:val="127"/>
        </w:numPr>
        <w:ind w:left="720"/>
        <w:contextualSpacing/>
        <w:rPr>
          <w:rFonts w:ascii="Arial" w:hAnsi="Arial" w:cs="Arial"/>
          <w:sz w:val="20"/>
          <w:szCs w:val="20"/>
        </w:rPr>
      </w:pPr>
      <w:r w:rsidRPr="00807A40">
        <w:rPr>
          <w:rFonts w:ascii="Arial" w:hAnsi="Arial" w:cs="Arial"/>
        </w:rPr>
        <w:t xml:space="preserve">Students who score below Level 3 on an EOG, EOC, or NCEXTEND1 assessment in the current school year and obtain a higher score </w:t>
      </w:r>
      <w:r w:rsidR="00275C72">
        <w:rPr>
          <w:rFonts w:ascii="Arial" w:hAnsi="Arial" w:cs="Arial"/>
        </w:rPr>
        <w:t xml:space="preserve">when </w:t>
      </w:r>
      <w:r w:rsidR="002F2A8F" w:rsidRPr="00871410">
        <w:rPr>
          <w:rFonts w:ascii="Arial" w:hAnsi="Arial" w:cs="Arial"/>
        </w:rPr>
        <w:t>retesting</w:t>
      </w:r>
      <w:r w:rsidRPr="00807A40">
        <w:rPr>
          <w:rFonts w:ascii="Arial" w:hAnsi="Arial" w:cs="Arial"/>
        </w:rPr>
        <w:t xml:space="preserve"> prior to the end of the accountability year, will have </w:t>
      </w:r>
      <w:proofErr w:type="gramStart"/>
      <w:r w:rsidRPr="00807A40">
        <w:rPr>
          <w:rFonts w:ascii="Arial" w:hAnsi="Arial" w:cs="Arial"/>
        </w:rPr>
        <w:t>the</w:t>
      </w:r>
      <w:proofErr w:type="gramEnd"/>
      <w:r w:rsidRPr="00807A40">
        <w:rPr>
          <w:rFonts w:ascii="Arial" w:hAnsi="Arial" w:cs="Arial"/>
        </w:rPr>
        <w:t xml:space="preserve"> higher </w:t>
      </w:r>
      <w:proofErr w:type="gramStart"/>
      <w:r w:rsidRPr="00807A40">
        <w:rPr>
          <w:rFonts w:ascii="Arial" w:hAnsi="Arial" w:cs="Arial"/>
        </w:rPr>
        <w:t>score</w:t>
      </w:r>
      <w:proofErr w:type="gramEnd"/>
      <w:r w:rsidRPr="00807A40">
        <w:rPr>
          <w:rFonts w:ascii="Arial" w:hAnsi="Arial" w:cs="Arial"/>
        </w:rPr>
        <w:t xml:space="preserve"> </w:t>
      </w:r>
      <w:proofErr w:type="gramStart"/>
      <w:r w:rsidRPr="00807A40">
        <w:rPr>
          <w:rFonts w:ascii="Arial" w:hAnsi="Arial" w:cs="Arial"/>
        </w:rPr>
        <w:t>replace</w:t>
      </w:r>
      <w:proofErr w:type="gramEnd"/>
      <w:r w:rsidRPr="00807A40">
        <w:rPr>
          <w:rFonts w:ascii="Arial" w:hAnsi="Arial" w:cs="Arial"/>
        </w:rPr>
        <w:t xml:space="preserve"> the lower score in the performance calculations </w:t>
      </w:r>
      <w:r w:rsidR="00284A8F" w:rsidRPr="00807A40">
        <w:rPr>
          <w:rFonts w:ascii="Arial" w:hAnsi="Arial" w:cs="Arial"/>
        </w:rPr>
        <w:t>(see section 2.10 for more information).</w:t>
      </w:r>
    </w:p>
    <w:p w14:paraId="49522C12" w14:textId="77777777" w:rsidR="00401F9D" w:rsidRPr="001427AF" w:rsidRDefault="00401F9D" w:rsidP="00302610">
      <w:pPr>
        <w:pStyle w:val="Default"/>
        <w:contextualSpacing/>
        <w:rPr>
          <w:rFonts w:ascii="Arial" w:hAnsi="Arial" w:cs="Arial"/>
        </w:rPr>
      </w:pPr>
    </w:p>
    <w:p w14:paraId="4F872702" w14:textId="284E6AF3" w:rsidR="00F8321F" w:rsidRPr="001427AF" w:rsidRDefault="00BB5082" w:rsidP="001514C3">
      <w:pPr>
        <w:pStyle w:val="Heading2"/>
      </w:pPr>
      <w:bookmarkStart w:id="292" w:name="_Toc135812507"/>
      <w:bookmarkStart w:id="293" w:name="_Toc136418888"/>
      <w:bookmarkStart w:id="294" w:name="_Toc136419144"/>
      <w:bookmarkStart w:id="295" w:name="_Toc225404957"/>
      <w:r w:rsidRPr="001427AF">
        <w:t xml:space="preserve">Science </w:t>
      </w:r>
      <w:r w:rsidR="00F8321F" w:rsidRPr="001427AF">
        <w:t>E</w:t>
      </w:r>
      <w:r w:rsidRPr="001427AF">
        <w:t>nd-of</w:t>
      </w:r>
      <w:r w:rsidR="00641626" w:rsidRPr="001427AF">
        <w:t>-</w:t>
      </w:r>
      <w:r w:rsidR="00F8321F" w:rsidRPr="001427AF">
        <w:t>G</w:t>
      </w:r>
      <w:r w:rsidRPr="001427AF">
        <w:t xml:space="preserve">rade </w:t>
      </w:r>
      <w:r w:rsidR="00613627" w:rsidRPr="001427AF">
        <w:t>Proficiency Calculation</w:t>
      </w:r>
      <w:bookmarkEnd w:id="292"/>
      <w:bookmarkEnd w:id="293"/>
      <w:bookmarkEnd w:id="294"/>
      <w:bookmarkEnd w:id="295"/>
      <w:r w:rsidR="00613627" w:rsidRPr="001427AF" w:rsidDel="00613627">
        <w:t xml:space="preserve"> </w:t>
      </w:r>
    </w:p>
    <w:p w14:paraId="30E24157" w14:textId="77777777" w:rsidR="00437C8C" w:rsidRPr="001427AF" w:rsidRDefault="00437C8C" w:rsidP="00437C8C">
      <w:pPr>
        <w:pStyle w:val="Default"/>
        <w:contextualSpacing/>
        <w:rPr>
          <w:rFonts w:ascii="Arial" w:hAnsi="Arial" w:cs="Arial"/>
        </w:rPr>
      </w:pPr>
      <w:r w:rsidRPr="001427AF">
        <w:rPr>
          <w:rFonts w:ascii="Arial" w:hAnsi="Arial" w:cs="Arial"/>
        </w:rPr>
        <w:t>Annual assessments administered are as follows: EOG science at grades 5 and 8 and the related NCEXTEND1 alternate assessments.</w:t>
      </w:r>
      <w:r w:rsidRPr="001427AF" w:rsidDel="000E67AD">
        <w:rPr>
          <w:rFonts w:ascii="Arial" w:hAnsi="Arial" w:cs="Arial"/>
        </w:rPr>
        <w:t xml:space="preserve"> </w:t>
      </w:r>
      <w:r w:rsidRPr="001427AF">
        <w:rPr>
          <w:rFonts w:ascii="Arial" w:hAnsi="Arial" w:cs="Arial"/>
        </w:rPr>
        <w:t>The assessments are reported as four academic achievement levels (i.e., Not Proficient, Level 3, Level 4, and Level 5) with Levels 3–5 demonstrating Grade-Level Proficiency and Levels 4–5 demonstrating on track for College and Career Readiness. SPG calculations use scores that meet Grade-Level Proficiency (i.e., Levels 3–5).</w:t>
      </w:r>
    </w:p>
    <w:p w14:paraId="72F166D1" w14:textId="6AFADADC" w:rsidR="00437C8C" w:rsidRPr="001427AF" w:rsidRDefault="00437C8C" w:rsidP="00CA5853">
      <w:pPr>
        <w:pStyle w:val="Default"/>
        <w:numPr>
          <w:ilvl w:val="0"/>
          <w:numId w:val="32"/>
        </w:numPr>
        <w:contextualSpacing/>
        <w:rPr>
          <w:rFonts w:ascii="Arial" w:hAnsi="Arial" w:cs="Arial"/>
        </w:rPr>
      </w:pPr>
      <w:r w:rsidRPr="001427AF">
        <w:rPr>
          <w:rFonts w:ascii="Arial" w:hAnsi="Arial" w:cs="Arial"/>
        </w:rPr>
        <w:t xml:space="preserve">The denominator includes all current year assessments for eligible students in membership (i.e., enrolled in a school) </w:t>
      </w:r>
      <w:r w:rsidR="004628F8" w:rsidRPr="001427AF">
        <w:rPr>
          <w:rFonts w:ascii="Arial" w:hAnsi="Arial" w:cs="Arial"/>
        </w:rPr>
        <w:t>in</w:t>
      </w:r>
      <w:r w:rsidRPr="001427AF">
        <w:rPr>
          <w:rFonts w:ascii="Arial" w:hAnsi="Arial" w:cs="Arial"/>
        </w:rPr>
        <w:t xml:space="preserve"> grades 5 and 8. </w:t>
      </w:r>
    </w:p>
    <w:p w14:paraId="32025351" w14:textId="26FE1881" w:rsidR="00437C8C" w:rsidRPr="001427AF" w:rsidRDefault="00437C8C" w:rsidP="00CA5853">
      <w:pPr>
        <w:pStyle w:val="Default"/>
        <w:numPr>
          <w:ilvl w:val="0"/>
          <w:numId w:val="23"/>
        </w:numPr>
        <w:ind w:left="720"/>
        <w:contextualSpacing/>
        <w:rPr>
          <w:rFonts w:ascii="Arial" w:hAnsi="Arial" w:cs="Arial"/>
        </w:rPr>
      </w:pPr>
      <w:r w:rsidRPr="001427AF">
        <w:rPr>
          <w:rFonts w:ascii="Arial" w:hAnsi="Arial" w:cs="Arial"/>
        </w:rPr>
        <w:t>Students who are in their first or second year in a US school</w:t>
      </w:r>
      <w:r w:rsidR="00283D93">
        <w:rPr>
          <w:rFonts w:ascii="Arial" w:hAnsi="Arial" w:cs="Arial"/>
        </w:rPr>
        <w:t xml:space="preserve">, and are identified as an English learner, </w:t>
      </w:r>
      <w:r w:rsidRPr="001427AF">
        <w:rPr>
          <w:rFonts w:ascii="Arial" w:hAnsi="Arial" w:cs="Arial"/>
        </w:rPr>
        <w:t xml:space="preserve">are not included in proficiency calculations. </w:t>
      </w:r>
    </w:p>
    <w:p w14:paraId="1E4319C7" w14:textId="77777777" w:rsidR="00437C8C" w:rsidRPr="001427AF" w:rsidRDefault="00437C8C" w:rsidP="00CA5853">
      <w:pPr>
        <w:pStyle w:val="Default"/>
        <w:numPr>
          <w:ilvl w:val="0"/>
          <w:numId w:val="23"/>
        </w:numPr>
        <w:ind w:left="720"/>
        <w:contextualSpacing/>
        <w:rPr>
          <w:rFonts w:ascii="Arial" w:hAnsi="Arial" w:cs="Arial"/>
        </w:rPr>
      </w:pPr>
      <w:r w:rsidRPr="001427AF">
        <w:rPr>
          <w:rFonts w:ascii="Arial" w:hAnsi="Arial" w:cs="Arial"/>
        </w:rPr>
        <w:t xml:space="preserve">Students with a medical exemption approved by the Office of Accountability and Testing are excluded from all relevant proficiency calculations. </w:t>
      </w:r>
    </w:p>
    <w:p w14:paraId="36329E57" w14:textId="77777777" w:rsidR="007464F2" w:rsidRPr="001427AF" w:rsidRDefault="007464F2" w:rsidP="007464F2">
      <w:pPr>
        <w:pStyle w:val="Default"/>
        <w:contextualSpacing/>
        <w:rPr>
          <w:rFonts w:ascii="Arial" w:hAnsi="Arial" w:cs="Arial"/>
        </w:rPr>
      </w:pPr>
    </w:p>
    <w:p w14:paraId="4EF14F10" w14:textId="77777777" w:rsidR="007464F2" w:rsidRPr="001427AF" w:rsidRDefault="007464F2" w:rsidP="00CA5853">
      <w:pPr>
        <w:pStyle w:val="ListParagraph"/>
        <w:numPr>
          <w:ilvl w:val="0"/>
          <w:numId w:val="32"/>
        </w:numPr>
        <w:spacing w:line="240" w:lineRule="auto"/>
        <w:rPr>
          <w:rFonts w:ascii="Arial" w:hAnsi="Arial" w:cs="Arial"/>
        </w:rPr>
      </w:pPr>
      <w:r w:rsidRPr="001427AF">
        <w:rPr>
          <w:rFonts w:ascii="Arial" w:hAnsi="Arial" w:cs="Arial"/>
        </w:rPr>
        <w:t xml:space="preserve">The numerator is based on the number of students scoring Grade-Level Proficiency. Annual assessments for SPGs are calculated by determining the percentage of students who score at Level 3 or higher. </w:t>
      </w:r>
    </w:p>
    <w:p w14:paraId="6B1944F5" w14:textId="43BBF91E" w:rsidR="00803091" w:rsidRPr="00406157" w:rsidRDefault="00803091" w:rsidP="00CA5853">
      <w:pPr>
        <w:pStyle w:val="ListParagraph"/>
        <w:numPr>
          <w:ilvl w:val="0"/>
          <w:numId w:val="128"/>
        </w:numPr>
        <w:spacing w:line="240" w:lineRule="auto"/>
        <w:rPr>
          <w:rFonts w:ascii="Arial" w:hAnsi="Arial" w:cs="Arial"/>
        </w:rPr>
      </w:pPr>
      <w:r w:rsidRPr="00406157">
        <w:rPr>
          <w:rFonts w:ascii="Arial" w:hAnsi="Arial" w:cs="Arial"/>
        </w:rPr>
        <w:t xml:space="preserve">Students who score below Level 3 on an EOG or NCEXTEND1 assessment in the current school year and obtain a higher score </w:t>
      </w:r>
      <w:r w:rsidR="00AA1899">
        <w:rPr>
          <w:rFonts w:ascii="Arial" w:hAnsi="Arial" w:cs="Arial"/>
        </w:rPr>
        <w:t xml:space="preserve">when </w:t>
      </w:r>
      <w:r w:rsidR="00182550" w:rsidRPr="00871410">
        <w:rPr>
          <w:rFonts w:ascii="Arial" w:hAnsi="Arial" w:cs="Arial"/>
        </w:rPr>
        <w:t>retesting</w:t>
      </w:r>
      <w:r w:rsidRPr="00406157">
        <w:rPr>
          <w:rFonts w:ascii="Arial" w:hAnsi="Arial" w:cs="Arial"/>
        </w:rPr>
        <w:t xml:space="preserve"> prior to the end of the accountability year, will have </w:t>
      </w:r>
      <w:proofErr w:type="gramStart"/>
      <w:r w:rsidRPr="00406157">
        <w:rPr>
          <w:rFonts w:ascii="Arial" w:hAnsi="Arial" w:cs="Arial"/>
        </w:rPr>
        <w:t>the</w:t>
      </w:r>
      <w:proofErr w:type="gramEnd"/>
      <w:r w:rsidRPr="00406157">
        <w:rPr>
          <w:rFonts w:ascii="Arial" w:hAnsi="Arial" w:cs="Arial"/>
        </w:rPr>
        <w:t xml:space="preserve"> higher </w:t>
      </w:r>
      <w:proofErr w:type="gramStart"/>
      <w:r w:rsidRPr="00406157">
        <w:rPr>
          <w:rFonts w:ascii="Arial" w:hAnsi="Arial" w:cs="Arial"/>
        </w:rPr>
        <w:t>score</w:t>
      </w:r>
      <w:proofErr w:type="gramEnd"/>
      <w:r w:rsidRPr="00406157">
        <w:rPr>
          <w:rFonts w:ascii="Arial" w:hAnsi="Arial" w:cs="Arial"/>
        </w:rPr>
        <w:t xml:space="preserve"> replace the lower score in the performance calculations. </w:t>
      </w:r>
    </w:p>
    <w:p w14:paraId="0D42148E" w14:textId="77777777" w:rsidR="003643DB" w:rsidRPr="001427AF" w:rsidRDefault="003643DB" w:rsidP="00125190">
      <w:pPr>
        <w:rPr>
          <w:rFonts w:ascii="Arial" w:hAnsi="Arial" w:cs="Arial"/>
        </w:rPr>
      </w:pPr>
    </w:p>
    <w:p w14:paraId="260DC2A5" w14:textId="05D7C8BB" w:rsidR="00F8321F" w:rsidRPr="001427AF" w:rsidRDefault="00BB5082" w:rsidP="001514C3">
      <w:pPr>
        <w:pStyle w:val="Heading2"/>
      </w:pPr>
      <w:bookmarkStart w:id="296" w:name="_Toc135812508"/>
      <w:bookmarkStart w:id="297" w:name="_Toc136418889"/>
      <w:bookmarkStart w:id="298" w:name="_Toc136419145"/>
      <w:bookmarkStart w:id="299" w:name="_Toc225404958"/>
      <w:r w:rsidRPr="001427AF">
        <w:t xml:space="preserve">Biology </w:t>
      </w:r>
      <w:r w:rsidR="00F8321F" w:rsidRPr="001427AF">
        <w:t>E</w:t>
      </w:r>
      <w:r w:rsidRPr="001427AF">
        <w:t>nd-of</w:t>
      </w:r>
      <w:r w:rsidR="00AC741C" w:rsidRPr="001427AF">
        <w:t>-</w:t>
      </w:r>
      <w:r w:rsidR="00F8321F" w:rsidRPr="001427AF">
        <w:t>C</w:t>
      </w:r>
      <w:r w:rsidRPr="001427AF">
        <w:t xml:space="preserve">ourse </w:t>
      </w:r>
      <w:r w:rsidR="00024F1F" w:rsidRPr="001427AF">
        <w:t>Proficiency Calculation</w:t>
      </w:r>
      <w:bookmarkEnd w:id="296"/>
      <w:bookmarkEnd w:id="297"/>
      <w:bookmarkEnd w:id="298"/>
      <w:bookmarkEnd w:id="299"/>
      <w:r w:rsidR="00024F1F" w:rsidRPr="001427AF" w:rsidDel="00024F1F">
        <w:t xml:space="preserve"> </w:t>
      </w:r>
    </w:p>
    <w:p w14:paraId="18DFDC3E" w14:textId="77777777" w:rsidR="00A454AE" w:rsidRPr="001427AF" w:rsidRDefault="00A454AE" w:rsidP="00A454AE">
      <w:pPr>
        <w:pStyle w:val="Default"/>
        <w:contextualSpacing/>
        <w:rPr>
          <w:rFonts w:ascii="Arial" w:hAnsi="Arial" w:cs="Arial"/>
        </w:rPr>
      </w:pPr>
      <w:r w:rsidRPr="001427AF">
        <w:rPr>
          <w:rFonts w:ascii="Arial" w:hAnsi="Arial" w:cs="Arial"/>
        </w:rPr>
        <w:t xml:space="preserve">Annual assessments administered are as follows: EOC biology and the related NCEXTEND1 alternate assessment. The assessments are reported as four academic achievement levels (i.e., Not Proficient, Level 3, Level 4, and Level 5) with Levels 3–5 demonstrating Grade-Level Proficiency and Levels 4–5 demonstrating on track for College and Career Readiness. SPG calculations use scores that meet grade-level proficiency (i.e., Levels 3–5).  </w:t>
      </w:r>
    </w:p>
    <w:p w14:paraId="5F10FBAE" w14:textId="77777777" w:rsidR="00A454AE" w:rsidRPr="001427AF" w:rsidRDefault="00A454AE" w:rsidP="00CA5853">
      <w:pPr>
        <w:pStyle w:val="Default"/>
        <w:numPr>
          <w:ilvl w:val="0"/>
          <w:numId w:val="31"/>
        </w:numPr>
        <w:contextualSpacing/>
        <w:rPr>
          <w:rFonts w:ascii="Arial" w:hAnsi="Arial" w:cs="Arial"/>
        </w:rPr>
      </w:pPr>
      <w:r w:rsidRPr="001427AF">
        <w:rPr>
          <w:rFonts w:ascii="Arial" w:hAnsi="Arial" w:cs="Arial"/>
        </w:rPr>
        <w:lastRenderedPageBreak/>
        <w:t xml:space="preserve">The denominator includes all current year assessments for eligible students in membership (i.e., enrolled in a school) in high school courses in which an EOC assessment is required. </w:t>
      </w:r>
    </w:p>
    <w:p w14:paraId="29943527" w14:textId="328C3214" w:rsidR="00A454AE" w:rsidRPr="001427AF" w:rsidRDefault="00A454AE" w:rsidP="00CA5853">
      <w:pPr>
        <w:pStyle w:val="Default"/>
        <w:numPr>
          <w:ilvl w:val="0"/>
          <w:numId w:val="7"/>
        </w:numPr>
        <w:contextualSpacing/>
        <w:rPr>
          <w:rFonts w:ascii="Arial" w:hAnsi="Arial" w:cs="Arial"/>
        </w:rPr>
      </w:pPr>
      <w:r w:rsidRPr="001427AF">
        <w:rPr>
          <w:rFonts w:ascii="Arial" w:hAnsi="Arial" w:cs="Arial"/>
        </w:rPr>
        <w:t>Students who are in their first or second year in a US school</w:t>
      </w:r>
      <w:r w:rsidR="004B4992">
        <w:rPr>
          <w:rFonts w:ascii="Arial" w:hAnsi="Arial" w:cs="Arial"/>
        </w:rPr>
        <w:t xml:space="preserve">, and are identified as an English learner, </w:t>
      </w:r>
      <w:r w:rsidRPr="001427AF">
        <w:rPr>
          <w:rFonts w:ascii="Arial" w:hAnsi="Arial" w:cs="Arial"/>
        </w:rPr>
        <w:t xml:space="preserve">are not included in proficiency calculations. </w:t>
      </w:r>
    </w:p>
    <w:p w14:paraId="35C7E512" w14:textId="77777777" w:rsidR="00A454AE" w:rsidRPr="001427AF" w:rsidRDefault="00A454AE" w:rsidP="00CA5853">
      <w:pPr>
        <w:pStyle w:val="Default"/>
        <w:numPr>
          <w:ilvl w:val="0"/>
          <w:numId w:val="8"/>
        </w:numPr>
        <w:contextualSpacing/>
        <w:rPr>
          <w:rFonts w:ascii="Arial" w:hAnsi="Arial" w:cs="Arial"/>
        </w:rPr>
      </w:pPr>
      <w:r w:rsidRPr="001427AF">
        <w:rPr>
          <w:rFonts w:ascii="Arial" w:hAnsi="Arial" w:cs="Arial"/>
        </w:rPr>
        <w:t xml:space="preserve">Students who take biology assessments prior to grade 9 have the score banked to grade 9 for calculations. Banked biology scores are not included in the school where the student took the assessment at grade 8 unless it is the same school in grade 9. </w:t>
      </w:r>
    </w:p>
    <w:p w14:paraId="50ABBD74" w14:textId="77777777" w:rsidR="00A454AE" w:rsidRPr="001427AF" w:rsidRDefault="00A454AE" w:rsidP="00CA5853">
      <w:pPr>
        <w:pStyle w:val="Default"/>
        <w:numPr>
          <w:ilvl w:val="0"/>
          <w:numId w:val="8"/>
        </w:numPr>
        <w:contextualSpacing/>
        <w:rPr>
          <w:rFonts w:ascii="Arial" w:hAnsi="Arial" w:cs="Arial"/>
        </w:rPr>
      </w:pPr>
      <w:r w:rsidRPr="001427AF">
        <w:rPr>
          <w:rFonts w:ascii="Arial" w:hAnsi="Arial" w:cs="Arial"/>
        </w:rPr>
        <w:t xml:space="preserve">Students with a medical exemption approved by the Office of Accountability and Testing are excluded from all relevant proficiency calculations. </w:t>
      </w:r>
    </w:p>
    <w:p w14:paraId="35969314" w14:textId="77777777" w:rsidR="00BE5D6B" w:rsidRPr="001427AF" w:rsidRDefault="00BE5D6B" w:rsidP="00BE5D6B">
      <w:pPr>
        <w:pStyle w:val="Default"/>
        <w:contextualSpacing/>
        <w:rPr>
          <w:rFonts w:ascii="Arial" w:hAnsi="Arial" w:cs="Arial"/>
        </w:rPr>
      </w:pPr>
      <w:r w:rsidRPr="001427AF">
        <w:rPr>
          <w:rFonts w:ascii="Arial" w:hAnsi="Arial" w:cs="Arial"/>
        </w:rPr>
        <w:t xml:space="preserve"> </w:t>
      </w:r>
    </w:p>
    <w:p w14:paraId="6EF0669D" w14:textId="77777777" w:rsidR="00437271" w:rsidRPr="001427AF" w:rsidRDefault="00437271" w:rsidP="00CA5853">
      <w:pPr>
        <w:pStyle w:val="Default"/>
        <w:numPr>
          <w:ilvl w:val="0"/>
          <w:numId w:val="31"/>
        </w:numPr>
        <w:contextualSpacing/>
        <w:rPr>
          <w:rFonts w:ascii="Arial" w:hAnsi="Arial" w:cs="Arial"/>
        </w:rPr>
      </w:pPr>
      <w:r w:rsidRPr="001427AF">
        <w:rPr>
          <w:rFonts w:ascii="Arial" w:hAnsi="Arial" w:cs="Arial"/>
        </w:rPr>
        <w:t xml:space="preserve">The numerator is based on the number of students scoring at Grade-Level Proficient. Annual assessments (current year) for SPGs are calculated by determining the percentage of students who score at Level 3 or higher. </w:t>
      </w:r>
    </w:p>
    <w:p w14:paraId="179D8235" w14:textId="00C59CA8" w:rsidR="00437271" w:rsidRPr="00BB35D1" w:rsidRDefault="00437271" w:rsidP="00CA5853">
      <w:pPr>
        <w:pStyle w:val="Default"/>
        <w:numPr>
          <w:ilvl w:val="0"/>
          <w:numId w:val="9"/>
        </w:numPr>
        <w:contextualSpacing/>
        <w:rPr>
          <w:rFonts w:ascii="Arial" w:hAnsi="Arial" w:cs="Arial"/>
        </w:rPr>
      </w:pPr>
      <w:r w:rsidRPr="00BB35D1">
        <w:rPr>
          <w:rFonts w:ascii="Arial" w:hAnsi="Arial" w:cs="Arial"/>
        </w:rPr>
        <w:t>If two valid scores are received in the same accountability year for a student enrolled in a course that requires an EOC</w:t>
      </w:r>
      <w:r w:rsidR="00406157" w:rsidRPr="00871410">
        <w:rPr>
          <w:rFonts w:ascii="Arial" w:hAnsi="Arial" w:cs="Arial"/>
        </w:rPr>
        <w:t xml:space="preserve"> (i.e.</w:t>
      </w:r>
      <w:r w:rsidRPr="00BB35D1">
        <w:rPr>
          <w:rFonts w:ascii="Arial" w:hAnsi="Arial" w:cs="Arial"/>
        </w:rPr>
        <w:t>,</w:t>
      </w:r>
      <w:r w:rsidR="00406157" w:rsidRPr="00871410">
        <w:rPr>
          <w:rFonts w:ascii="Arial" w:hAnsi="Arial" w:cs="Arial"/>
        </w:rPr>
        <w:t xml:space="preserve"> repeat course for credit), </w:t>
      </w:r>
      <w:r w:rsidRPr="00BB35D1">
        <w:rPr>
          <w:rFonts w:ascii="Arial" w:hAnsi="Arial" w:cs="Arial"/>
        </w:rPr>
        <w:t xml:space="preserve">the higher score is used for proficiency calculations. </w:t>
      </w:r>
    </w:p>
    <w:p w14:paraId="1098F7C2" w14:textId="77777777" w:rsidR="00437271" w:rsidRPr="001427AF" w:rsidRDefault="00437271" w:rsidP="00CA5853">
      <w:pPr>
        <w:pStyle w:val="Default"/>
        <w:numPr>
          <w:ilvl w:val="0"/>
          <w:numId w:val="9"/>
        </w:numPr>
        <w:contextualSpacing/>
        <w:rPr>
          <w:rFonts w:ascii="Arial" w:hAnsi="Arial" w:cs="Arial"/>
        </w:rPr>
      </w:pPr>
      <w:r w:rsidRPr="001427AF">
        <w:rPr>
          <w:rFonts w:ascii="Arial" w:hAnsi="Arial" w:cs="Arial"/>
        </w:rPr>
        <w:t xml:space="preserve">If two valid scores are received in different accountability years for a student enrolled in the same EOC course, the most recent score is used for proficiency calculations. </w:t>
      </w:r>
    </w:p>
    <w:p w14:paraId="57659269" w14:textId="06E6C2DE" w:rsidR="00437271" w:rsidRPr="001427AF" w:rsidDel="00963069" w:rsidRDefault="00437271" w:rsidP="00CA5853">
      <w:pPr>
        <w:pStyle w:val="Default"/>
        <w:numPr>
          <w:ilvl w:val="0"/>
          <w:numId w:val="33"/>
        </w:numPr>
        <w:ind w:left="720"/>
        <w:contextualSpacing/>
        <w:rPr>
          <w:rFonts w:ascii="Arial" w:hAnsi="Arial" w:cs="Arial"/>
        </w:rPr>
      </w:pPr>
      <w:r w:rsidRPr="001427AF">
        <w:rPr>
          <w:rFonts w:ascii="Arial" w:hAnsi="Arial" w:cs="Arial"/>
        </w:rPr>
        <w:t xml:space="preserve">Summer school EOC tests scores (after </w:t>
      </w:r>
      <w:r w:rsidR="00B34B66">
        <w:rPr>
          <w:rFonts w:ascii="Arial" w:hAnsi="Arial" w:cs="Arial"/>
        </w:rPr>
        <w:t>July 6</w:t>
      </w:r>
      <w:r w:rsidRPr="001427AF">
        <w:rPr>
          <w:rFonts w:ascii="Arial" w:hAnsi="Arial" w:cs="Arial"/>
        </w:rPr>
        <w:t>) are used in accountability calculations for the subsequent school year.</w:t>
      </w:r>
    </w:p>
    <w:p w14:paraId="5C45050C" w14:textId="77777777" w:rsidR="003F56A9" w:rsidRPr="001427AF" w:rsidRDefault="00437271" w:rsidP="00CA5853">
      <w:pPr>
        <w:pStyle w:val="Default"/>
        <w:numPr>
          <w:ilvl w:val="0"/>
          <w:numId w:val="9"/>
        </w:numPr>
        <w:contextualSpacing/>
        <w:rPr>
          <w:rFonts w:ascii="Arial" w:hAnsi="Arial" w:cs="Arial"/>
        </w:rPr>
      </w:pPr>
      <w:r w:rsidRPr="001427AF">
        <w:rPr>
          <w:rFonts w:ascii="Arial" w:hAnsi="Arial" w:cs="Arial"/>
        </w:rPr>
        <w:t xml:space="preserve">Students earning credit through the Credit by Demonstrated Mastery program in a course that administers an EOC assessment is counted as proficient. </w:t>
      </w:r>
    </w:p>
    <w:p w14:paraId="79C6D9E4" w14:textId="784B3386" w:rsidR="00CB36A9" w:rsidRPr="00BB35D1" w:rsidRDefault="00CB36A9" w:rsidP="00CA5853">
      <w:pPr>
        <w:pStyle w:val="Default"/>
        <w:numPr>
          <w:ilvl w:val="0"/>
          <w:numId w:val="9"/>
        </w:numPr>
        <w:contextualSpacing/>
        <w:rPr>
          <w:rFonts w:ascii="Arial" w:hAnsi="Arial" w:cs="Arial"/>
        </w:rPr>
      </w:pPr>
      <w:r w:rsidRPr="00BB35D1">
        <w:rPr>
          <w:rFonts w:ascii="Arial" w:hAnsi="Arial" w:cs="Arial"/>
        </w:rPr>
        <w:t xml:space="preserve">Students who score below Level 3 on </w:t>
      </w:r>
      <w:r w:rsidRPr="00BB35D1" w:rsidDel="002677C6">
        <w:rPr>
          <w:rFonts w:ascii="Arial" w:hAnsi="Arial" w:cs="Arial"/>
        </w:rPr>
        <w:t xml:space="preserve">an </w:t>
      </w:r>
      <w:r w:rsidRPr="00BB35D1">
        <w:rPr>
          <w:rFonts w:ascii="Arial" w:hAnsi="Arial" w:cs="Arial"/>
        </w:rPr>
        <w:t xml:space="preserve">EOC or the related NCEXTEND1 assessment in the current school year and obtain a higher score </w:t>
      </w:r>
      <w:r w:rsidR="00D36C72">
        <w:rPr>
          <w:rFonts w:ascii="Arial" w:hAnsi="Arial" w:cs="Arial"/>
        </w:rPr>
        <w:t xml:space="preserve">when </w:t>
      </w:r>
      <w:r w:rsidR="00BB35D1" w:rsidRPr="00871410">
        <w:rPr>
          <w:rFonts w:ascii="Arial" w:hAnsi="Arial" w:cs="Arial"/>
        </w:rPr>
        <w:t>retesting</w:t>
      </w:r>
      <w:r w:rsidRPr="00BB35D1">
        <w:rPr>
          <w:rFonts w:ascii="Arial" w:hAnsi="Arial" w:cs="Arial"/>
        </w:rPr>
        <w:t xml:space="preserve"> prior to the end of the accountability year, have the higher score replace the lower score in their performance </w:t>
      </w:r>
      <w:r w:rsidR="00BB35D1" w:rsidRPr="00871410">
        <w:rPr>
          <w:rFonts w:ascii="Arial" w:hAnsi="Arial" w:cs="Arial"/>
        </w:rPr>
        <w:t>calculations</w:t>
      </w:r>
      <w:r w:rsidRPr="00BB35D1">
        <w:rPr>
          <w:rFonts w:ascii="Arial" w:hAnsi="Arial" w:cs="Arial"/>
        </w:rPr>
        <w:t xml:space="preserve">. </w:t>
      </w:r>
    </w:p>
    <w:p w14:paraId="526DE208" w14:textId="77777777" w:rsidR="00437271" w:rsidRPr="001427AF" w:rsidRDefault="00437271" w:rsidP="00437271">
      <w:pPr>
        <w:pStyle w:val="Default"/>
        <w:contextualSpacing/>
        <w:rPr>
          <w:rFonts w:ascii="Arial" w:hAnsi="Arial" w:cs="Arial"/>
          <w:b/>
          <w:bCs/>
          <w:i/>
          <w:iCs/>
        </w:rPr>
      </w:pPr>
    </w:p>
    <w:p w14:paraId="58FDF956" w14:textId="46B9A7BA" w:rsidR="00367F3E" w:rsidRPr="001427AF" w:rsidRDefault="00195A32" w:rsidP="001514C3">
      <w:pPr>
        <w:pStyle w:val="Heading2"/>
      </w:pPr>
      <w:bookmarkStart w:id="300" w:name="_Toc135812509"/>
      <w:bookmarkStart w:id="301" w:name="_Toc136418890"/>
      <w:bookmarkStart w:id="302" w:name="_Toc136419146"/>
      <w:bookmarkStart w:id="303" w:name="_Toc225404959"/>
      <w:r w:rsidRPr="001427AF">
        <w:t xml:space="preserve">Combined </w:t>
      </w:r>
      <w:r w:rsidR="004A3B82" w:rsidRPr="001427AF">
        <w:t xml:space="preserve">The </w:t>
      </w:r>
      <w:r w:rsidR="00367F3E" w:rsidRPr="001427AF">
        <w:t>ACT</w:t>
      </w:r>
      <w:r w:rsidR="001E066C" w:rsidRPr="001427AF">
        <w:t>/</w:t>
      </w:r>
      <w:r w:rsidR="00367F3E" w:rsidRPr="001427AF">
        <w:t xml:space="preserve">WorkKeys </w:t>
      </w:r>
      <w:r w:rsidR="003449C1" w:rsidRPr="001427AF">
        <w:t>Proficiency Calculation</w:t>
      </w:r>
      <w:r w:rsidRPr="001427AF">
        <w:t xml:space="preserve"> </w:t>
      </w:r>
      <w:r w:rsidR="00934B7A" w:rsidRPr="001427AF">
        <w:t>(Grade Twelve)</w:t>
      </w:r>
      <w:bookmarkEnd w:id="300"/>
      <w:bookmarkEnd w:id="301"/>
      <w:bookmarkEnd w:id="302"/>
      <w:bookmarkEnd w:id="303"/>
    </w:p>
    <w:p w14:paraId="7D7D3D63" w14:textId="77777777" w:rsidR="00FA760D" w:rsidRPr="001427AF" w:rsidRDefault="00FA760D" w:rsidP="00CA5853">
      <w:pPr>
        <w:pStyle w:val="Default"/>
        <w:numPr>
          <w:ilvl w:val="0"/>
          <w:numId w:val="30"/>
        </w:numPr>
        <w:contextualSpacing/>
        <w:rPr>
          <w:rFonts w:ascii="Arial" w:hAnsi="Arial" w:cs="Arial"/>
        </w:rPr>
      </w:pPr>
      <w:r w:rsidRPr="001427AF">
        <w:rPr>
          <w:rFonts w:ascii="Arial" w:hAnsi="Arial" w:cs="Arial"/>
        </w:rPr>
        <w:t xml:space="preserve">The denominator is the number of grade 12 students who (1) have a valid score on the state administration of The ACT from grade 11, or (2) have a WorkKeys score and are </w:t>
      </w:r>
      <w:bookmarkStart w:id="304" w:name="_Int_EOZhvlQZ"/>
      <w:r w:rsidRPr="001427AF">
        <w:rPr>
          <w:rFonts w:ascii="Arial" w:hAnsi="Arial" w:cs="Arial"/>
        </w:rPr>
        <w:t>Career Technical Education [CTE</w:t>
      </w:r>
      <w:bookmarkEnd w:id="304"/>
      <w:r w:rsidRPr="001427AF">
        <w:rPr>
          <w:rFonts w:ascii="Arial" w:hAnsi="Arial" w:cs="Arial"/>
        </w:rPr>
        <w:t xml:space="preserve">] Concentrators. </w:t>
      </w:r>
    </w:p>
    <w:p w14:paraId="48A90BE8" w14:textId="77777777" w:rsidR="00FA760D" w:rsidRPr="001427AF" w:rsidRDefault="00FA760D" w:rsidP="00CA5853">
      <w:pPr>
        <w:pStyle w:val="Default"/>
        <w:numPr>
          <w:ilvl w:val="0"/>
          <w:numId w:val="146"/>
        </w:numPr>
        <w:contextualSpacing/>
        <w:rPr>
          <w:rFonts w:ascii="Arial" w:hAnsi="Arial" w:cs="Arial"/>
        </w:rPr>
      </w:pPr>
      <w:r w:rsidRPr="001427AF">
        <w:rPr>
          <w:rFonts w:ascii="Arial" w:hAnsi="Arial" w:cs="Arial"/>
        </w:rPr>
        <w:t xml:space="preserve">Students with an approved exception for The ACT or WorkKeys are included in the denominator. </w:t>
      </w:r>
    </w:p>
    <w:p w14:paraId="183A9063" w14:textId="77777777" w:rsidR="00FA760D" w:rsidRPr="001427AF" w:rsidRDefault="00FA760D" w:rsidP="00CA5853">
      <w:pPr>
        <w:pStyle w:val="Default"/>
        <w:numPr>
          <w:ilvl w:val="0"/>
          <w:numId w:val="146"/>
        </w:numPr>
        <w:contextualSpacing/>
        <w:rPr>
          <w:rFonts w:ascii="Arial" w:hAnsi="Arial" w:cs="Arial"/>
        </w:rPr>
      </w:pPr>
      <w:r w:rsidRPr="001427AF">
        <w:rPr>
          <w:rFonts w:ascii="Arial" w:hAnsi="Arial" w:cs="Arial"/>
        </w:rPr>
        <w:t xml:space="preserve">Grade 12 students enrolled on the first day of spring testing or mid-year graduates who are in grade 12 on the first day of fall testing are included in the denominator. </w:t>
      </w:r>
    </w:p>
    <w:p w14:paraId="19C1D5EC" w14:textId="26113614" w:rsidR="00FA760D" w:rsidRPr="001427AF" w:rsidDel="000B069B" w:rsidRDefault="003A2E7E" w:rsidP="00CA5853">
      <w:pPr>
        <w:pStyle w:val="Default"/>
        <w:numPr>
          <w:ilvl w:val="0"/>
          <w:numId w:val="146"/>
        </w:numPr>
        <w:contextualSpacing/>
        <w:rPr>
          <w:rFonts w:ascii="Arial" w:hAnsi="Arial" w:cs="Arial"/>
        </w:rPr>
      </w:pPr>
      <w:r>
        <w:rPr>
          <w:rFonts w:ascii="Arial" w:hAnsi="Arial" w:cs="Arial"/>
        </w:rPr>
        <w:t xml:space="preserve">Identified </w:t>
      </w:r>
      <w:r w:rsidR="00FA760D" w:rsidRPr="001427AF" w:rsidDel="000B069B">
        <w:rPr>
          <w:rFonts w:ascii="Arial" w:hAnsi="Arial" w:cs="Arial"/>
        </w:rPr>
        <w:t>E</w:t>
      </w:r>
      <w:r w:rsidR="00FA760D" w:rsidRPr="001427AF">
        <w:rPr>
          <w:rFonts w:ascii="Arial" w:hAnsi="Arial" w:cs="Arial"/>
        </w:rPr>
        <w:t>L</w:t>
      </w:r>
      <w:r w:rsidR="00FA760D" w:rsidRPr="001427AF" w:rsidDel="000B069B">
        <w:rPr>
          <w:rFonts w:ascii="Arial" w:hAnsi="Arial" w:cs="Arial"/>
        </w:rPr>
        <w:t>s who take both assessments during their first or second year in a U</w:t>
      </w:r>
      <w:r w:rsidR="00FA760D" w:rsidRPr="001427AF">
        <w:rPr>
          <w:rFonts w:ascii="Arial" w:hAnsi="Arial" w:cs="Arial"/>
        </w:rPr>
        <w:t>.</w:t>
      </w:r>
      <w:r w:rsidR="00FA760D" w:rsidRPr="001427AF" w:rsidDel="000B069B">
        <w:rPr>
          <w:rFonts w:ascii="Arial" w:hAnsi="Arial" w:cs="Arial"/>
        </w:rPr>
        <w:t>S</w:t>
      </w:r>
      <w:r w:rsidR="00FA760D" w:rsidRPr="001427AF">
        <w:rPr>
          <w:rFonts w:ascii="Arial" w:hAnsi="Arial" w:cs="Arial"/>
        </w:rPr>
        <w:t>.</w:t>
      </w:r>
      <w:r w:rsidR="00FA760D" w:rsidRPr="001427AF" w:rsidDel="000B069B">
        <w:rPr>
          <w:rFonts w:ascii="Arial" w:hAnsi="Arial" w:cs="Arial"/>
        </w:rPr>
        <w:t xml:space="preserve"> school</w:t>
      </w:r>
      <w:r>
        <w:rPr>
          <w:rFonts w:ascii="Arial" w:hAnsi="Arial" w:cs="Arial"/>
        </w:rPr>
        <w:t xml:space="preserve"> </w:t>
      </w:r>
      <w:r w:rsidR="00FA760D" w:rsidRPr="001427AF" w:rsidDel="000B069B">
        <w:rPr>
          <w:rFonts w:ascii="Arial" w:hAnsi="Arial" w:cs="Arial"/>
        </w:rPr>
        <w:t>are not included</w:t>
      </w:r>
      <w:r>
        <w:rPr>
          <w:rFonts w:ascii="Arial" w:hAnsi="Arial" w:cs="Arial"/>
        </w:rPr>
        <w:t xml:space="preserve"> in the proficiency calculation</w:t>
      </w:r>
      <w:r w:rsidR="00FA760D" w:rsidRPr="001427AF" w:rsidDel="000B069B">
        <w:rPr>
          <w:rFonts w:ascii="Arial" w:hAnsi="Arial" w:cs="Arial"/>
        </w:rPr>
        <w:t xml:space="preserve">. </w:t>
      </w:r>
    </w:p>
    <w:p w14:paraId="3C387BCD" w14:textId="77777777" w:rsidR="00FA760D" w:rsidRPr="001427AF" w:rsidRDefault="00FA760D" w:rsidP="00CA5853">
      <w:pPr>
        <w:pStyle w:val="Default"/>
        <w:numPr>
          <w:ilvl w:val="0"/>
          <w:numId w:val="146"/>
        </w:numPr>
        <w:contextualSpacing/>
        <w:rPr>
          <w:rFonts w:ascii="Arial" w:hAnsi="Arial" w:cs="Arial"/>
        </w:rPr>
      </w:pPr>
      <w:r w:rsidRPr="001427AF">
        <w:rPr>
          <w:rFonts w:ascii="Arial" w:hAnsi="Arial" w:cs="Arial"/>
        </w:rPr>
        <w:t xml:space="preserve">Students who do not have a valid state administration of The ACT or WorkKeys score are not included in the denominator. This includes: </w:t>
      </w:r>
    </w:p>
    <w:p w14:paraId="5DF242BC" w14:textId="77777777" w:rsidR="00FA760D" w:rsidRPr="001427AF" w:rsidRDefault="00FA760D" w:rsidP="00CA5853">
      <w:pPr>
        <w:pStyle w:val="Default"/>
        <w:numPr>
          <w:ilvl w:val="1"/>
          <w:numId w:val="146"/>
        </w:numPr>
        <w:contextualSpacing/>
        <w:rPr>
          <w:rFonts w:ascii="Arial" w:hAnsi="Arial" w:cs="Arial"/>
        </w:rPr>
      </w:pPr>
      <w:r w:rsidRPr="001427AF">
        <w:rPr>
          <w:rFonts w:ascii="Arial" w:hAnsi="Arial" w:cs="Arial"/>
        </w:rPr>
        <w:t xml:space="preserve">Students who are instructed on the NC Extended Content Standards and participate in the NCEXTEND1 at grade 11. </w:t>
      </w:r>
    </w:p>
    <w:p w14:paraId="31F70947" w14:textId="77777777" w:rsidR="00FA760D" w:rsidRPr="001427AF" w:rsidRDefault="00FA760D" w:rsidP="00CA5853">
      <w:pPr>
        <w:pStyle w:val="Default"/>
        <w:numPr>
          <w:ilvl w:val="1"/>
          <w:numId w:val="146"/>
        </w:numPr>
        <w:contextualSpacing/>
        <w:rPr>
          <w:rFonts w:ascii="Arial" w:hAnsi="Arial" w:cs="Arial"/>
        </w:rPr>
      </w:pPr>
      <w:r w:rsidRPr="001427AF">
        <w:rPr>
          <w:rFonts w:ascii="Arial" w:hAnsi="Arial" w:cs="Arial"/>
        </w:rPr>
        <w:lastRenderedPageBreak/>
        <w:t xml:space="preserve">Students with a medical exception approved by the Office of Accountability and Testing. </w:t>
      </w:r>
    </w:p>
    <w:p w14:paraId="6E31FA49" w14:textId="77777777" w:rsidR="006254B1" w:rsidRDefault="00FA760D" w:rsidP="00CA5853">
      <w:pPr>
        <w:pStyle w:val="Default"/>
        <w:numPr>
          <w:ilvl w:val="1"/>
          <w:numId w:val="146"/>
        </w:numPr>
        <w:contextualSpacing/>
        <w:rPr>
          <w:rFonts w:ascii="Arial" w:hAnsi="Arial" w:cs="Arial"/>
        </w:rPr>
      </w:pPr>
      <w:r w:rsidRPr="006254B1">
        <w:rPr>
          <w:rFonts w:ascii="Arial" w:hAnsi="Arial" w:cs="Arial"/>
        </w:rPr>
        <w:t>Students who take the College and Career Readiness Alternate Assessment (CCRAA)</w:t>
      </w:r>
      <w:r w:rsidRPr="006254B1" w:rsidDel="008C0F0C">
        <w:rPr>
          <w:rFonts w:ascii="Arial" w:hAnsi="Arial" w:cs="Arial"/>
        </w:rPr>
        <w:t>.</w:t>
      </w:r>
    </w:p>
    <w:p w14:paraId="3C95AAA5" w14:textId="0C4FFB76" w:rsidR="00C751BE" w:rsidRPr="006254B1" w:rsidRDefault="00BA26E1" w:rsidP="00CA5853">
      <w:pPr>
        <w:pStyle w:val="Default"/>
        <w:numPr>
          <w:ilvl w:val="1"/>
          <w:numId w:val="146"/>
        </w:numPr>
        <w:contextualSpacing/>
        <w:rPr>
          <w:rFonts w:ascii="Arial" w:hAnsi="Arial" w:cs="Arial"/>
        </w:rPr>
      </w:pPr>
      <w:r>
        <w:rPr>
          <w:rFonts w:ascii="Arial" w:hAnsi="Arial" w:cs="Arial"/>
        </w:rPr>
        <w:t xml:space="preserve">Identified </w:t>
      </w:r>
      <w:r w:rsidR="00FA760D" w:rsidRPr="006254B1" w:rsidDel="00DE3266">
        <w:rPr>
          <w:rFonts w:ascii="Arial" w:hAnsi="Arial" w:cs="Arial"/>
        </w:rPr>
        <w:t>E</w:t>
      </w:r>
      <w:r w:rsidR="00FA760D" w:rsidRPr="006254B1">
        <w:rPr>
          <w:rFonts w:ascii="Arial" w:hAnsi="Arial" w:cs="Arial"/>
        </w:rPr>
        <w:t>Ls</w:t>
      </w:r>
      <w:r w:rsidR="00FA760D" w:rsidRPr="006254B1" w:rsidDel="00DE3266">
        <w:rPr>
          <w:rFonts w:ascii="Arial" w:hAnsi="Arial" w:cs="Arial"/>
        </w:rPr>
        <w:t xml:space="preserve"> who are enrolled in their first or second year in a U</w:t>
      </w:r>
      <w:r w:rsidR="00FA760D" w:rsidRPr="006254B1">
        <w:rPr>
          <w:rFonts w:ascii="Arial" w:hAnsi="Arial" w:cs="Arial"/>
        </w:rPr>
        <w:t>.</w:t>
      </w:r>
      <w:r w:rsidR="00FA760D" w:rsidRPr="006254B1" w:rsidDel="00DE3266">
        <w:rPr>
          <w:rFonts w:ascii="Arial" w:hAnsi="Arial" w:cs="Arial"/>
        </w:rPr>
        <w:t>S</w:t>
      </w:r>
      <w:r w:rsidR="00FA760D" w:rsidRPr="006254B1">
        <w:rPr>
          <w:rFonts w:ascii="Arial" w:hAnsi="Arial" w:cs="Arial"/>
        </w:rPr>
        <w:t>.</w:t>
      </w:r>
      <w:r w:rsidR="00FA760D" w:rsidRPr="006254B1" w:rsidDel="00DE3266">
        <w:rPr>
          <w:rFonts w:ascii="Arial" w:hAnsi="Arial" w:cs="Arial"/>
        </w:rPr>
        <w:t xml:space="preserve"> school</w:t>
      </w:r>
      <w:r w:rsidR="00FA760D" w:rsidRPr="006254B1">
        <w:rPr>
          <w:rFonts w:ascii="Arial" w:hAnsi="Arial" w:cs="Arial"/>
        </w:rPr>
        <w:t>.</w:t>
      </w:r>
    </w:p>
    <w:p w14:paraId="3CE54FA7" w14:textId="77777777" w:rsidR="00FA760D" w:rsidRPr="001427AF" w:rsidRDefault="00FA760D" w:rsidP="00FA760D">
      <w:pPr>
        <w:pStyle w:val="Default"/>
        <w:ind w:left="1440"/>
        <w:contextualSpacing/>
        <w:rPr>
          <w:rFonts w:ascii="Arial" w:hAnsi="Arial" w:cs="Arial"/>
          <w:b/>
          <w:bCs/>
          <w:i/>
          <w:iCs/>
        </w:rPr>
      </w:pPr>
    </w:p>
    <w:p w14:paraId="716E9507" w14:textId="3515C33E" w:rsidR="00776E14" w:rsidRDefault="00BC7375" w:rsidP="00CA5853">
      <w:pPr>
        <w:pStyle w:val="Default"/>
        <w:numPr>
          <w:ilvl w:val="0"/>
          <w:numId w:val="146"/>
        </w:numPr>
        <w:contextualSpacing/>
        <w:rPr>
          <w:rFonts w:ascii="Arial" w:hAnsi="Arial" w:cs="Arial"/>
        </w:rPr>
      </w:pPr>
      <w:r w:rsidRPr="00776E14">
        <w:rPr>
          <w:rFonts w:ascii="Arial" w:hAnsi="Arial" w:cs="Arial"/>
        </w:rPr>
        <w:t xml:space="preserve">The numerator is the number of students who either achieved a composite score of </w:t>
      </w:r>
      <w:r w:rsidR="00776E14" w:rsidRPr="00776E14">
        <w:rPr>
          <w:rFonts w:ascii="Arial" w:hAnsi="Arial" w:cs="Arial"/>
        </w:rPr>
        <w:t>seventeen</w:t>
      </w:r>
      <w:r w:rsidRPr="00776E14">
        <w:rPr>
          <w:rFonts w:ascii="Arial" w:hAnsi="Arial" w:cs="Arial"/>
        </w:rPr>
        <w:t xml:space="preserve"> or higher on The ACT or achieved a Silver, Gold, or Platinum certificate on the WorkKeys assessment. </w:t>
      </w:r>
    </w:p>
    <w:p w14:paraId="3E1EE825" w14:textId="133E85F9" w:rsidR="0054429E" w:rsidRPr="00776E14" w:rsidRDefault="0054429E" w:rsidP="00CA5853">
      <w:pPr>
        <w:pStyle w:val="Default"/>
        <w:numPr>
          <w:ilvl w:val="0"/>
          <w:numId w:val="146"/>
        </w:numPr>
        <w:contextualSpacing/>
        <w:rPr>
          <w:rFonts w:ascii="Arial" w:hAnsi="Arial" w:cs="Arial"/>
        </w:rPr>
      </w:pPr>
      <w:r w:rsidRPr="00776E14">
        <w:rPr>
          <w:rFonts w:ascii="Arial" w:hAnsi="Arial" w:cs="Arial"/>
        </w:rPr>
        <w:t>Students with an approved exception for The ACT or WorkKeys are included in the numerator. See subsections 2.</w:t>
      </w:r>
      <w:r w:rsidR="00133334">
        <w:rPr>
          <w:rFonts w:ascii="Arial" w:hAnsi="Arial" w:cs="Arial"/>
        </w:rPr>
        <w:t>9</w:t>
      </w:r>
      <w:r w:rsidRPr="00776E14">
        <w:rPr>
          <w:rFonts w:ascii="Arial" w:hAnsi="Arial" w:cs="Arial"/>
        </w:rPr>
        <w:t>.1 and 2.</w:t>
      </w:r>
      <w:r w:rsidR="00EB69AF">
        <w:rPr>
          <w:rFonts w:ascii="Arial" w:hAnsi="Arial" w:cs="Arial"/>
        </w:rPr>
        <w:t>10</w:t>
      </w:r>
      <w:r w:rsidRPr="00776E14">
        <w:rPr>
          <w:rFonts w:ascii="Arial" w:hAnsi="Arial" w:cs="Arial"/>
        </w:rPr>
        <w:t xml:space="preserve"> of this guide for more information on exceptions.</w:t>
      </w:r>
    </w:p>
    <w:p w14:paraId="42BC9707" w14:textId="77777777" w:rsidR="0054429E" w:rsidRPr="001427AF" w:rsidRDefault="0054429E" w:rsidP="00CA5853">
      <w:pPr>
        <w:pStyle w:val="Default"/>
        <w:numPr>
          <w:ilvl w:val="0"/>
          <w:numId w:val="146"/>
        </w:numPr>
        <w:contextualSpacing/>
        <w:rPr>
          <w:rFonts w:ascii="Arial" w:hAnsi="Arial" w:cs="Arial"/>
        </w:rPr>
      </w:pPr>
      <w:r w:rsidRPr="001427AF">
        <w:rPr>
          <w:rFonts w:ascii="Arial" w:hAnsi="Arial" w:cs="Arial"/>
        </w:rPr>
        <w:t xml:space="preserve">When an eligible EL takes the WorkKeys assessment in their third year in a U.S. school, the score is included. </w:t>
      </w:r>
    </w:p>
    <w:p w14:paraId="57FABB3D" w14:textId="1F17CC40" w:rsidR="0054429E" w:rsidRPr="001427AF" w:rsidRDefault="0054429E" w:rsidP="00CA5853">
      <w:pPr>
        <w:pStyle w:val="Default"/>
        <w:numPr>
          <w:ilvl w:val="0"/>
          <w:numId w:val="146"/>
        </w:numPr>
        <w:contextualSpacing/>
        <w:rPr>
          <w:rFonts w:ascii="Arial" w:hAnsi="Arial" w:cs="Arial"/>
        </w:rPr>
      </w:pPr>
      <w:r w:rsidRPr="001427AF">
        <w:rPr>
          <w:rFonts w:ascii="Arial" w:hAnsi="Arial" w:cs="Arial"/>
        </w:rPr>
        <w:t xml:space="preserve">If the WorkKeys assessment is not proficient (i.e., </w:t>
      </w:r>
      <w:proofErr w:type="gramStart"/>
      <w:r w:rsidRPr="001427AF">
        <w:rPr>
          <w:rFonts w:ascii="Arial" w:hAnsi="Arial" w:cs="Arial"/>
        </w:rPr>
        <w:t>Bronze</w:t>
      </w:r>
      <w:proofErr w:type="gramEnd"/>
      <w:r w:rsidRPr="001427AF">
        <w:rPr>
          <w:rFonts w:ascii="Arial" w:hAnsi="Arial" w:cs="Arial"/>
        </w:rPr>
        <w:t xml:space="preserve"> certificate or no certificate awarded), The ACT score is reviewed, and if it is proficient (composite </w:t>
      </w:r>
      <w:r w:rsidR="00616FFC">
        <w:rPr>
          <w:rFonts w:ascii="Arial" w:hAnsi="Arial" w:cs="Arial"/>
        </w:rPr>
        <w:t>seventeen</w:t>
      </w:r>
      <w:r w:rsidRPr="001427AF">
        <w:rPr>
          <w:rFonts w:ascii="Arial" w:hAnsi="Arial" w:cs="Arial"/>
        </w:rPr>
        <w:t xml:space="preserve"> or higher), the student is included in the numerator. </w:t>
      </w:r>
    </w:p>
    <w:p w14:paraId="4CE75E5D" w14:textId="77777777" w:rsidR="0014336F" w:rsidRPr="001427AF" w:rsidRDefault="0054429E" w:rsidP="00CA5853">
      <w:pPr>
        <w:pStyle w:val="Default"/>
        <w:numPr>
          <w:ilvl w:val="0"/>
          <w:numId w:val="146"/>
        </w:numPr>
        <w:contextualSpacing/>
        <w:rPr>
          <w:rFonts w:ascii="Arial" w:hAnsi="Arial" w:cs="Arial"/>
        </w:rPr>
      </w:pPr>
      <w:r w:rsidRPr="001427AF">
        <w:rPr>
          <w:rFonts w:ascii="Arial" w:hAnsi="Arial" w:cs="Arial"/>
        </w:rPr>
        <w:t>A student’s WorkKeys score is only considered for inclusion in the numerator if the student is</w:t>
      </w:r>
      <w:r w:rsidRPr="001427AF" w:rsidDel="008C0F0C">
        <w:rPr>
          <w:rFonts w:ascii="Arial" w:hAnsi="Arial" w:cs="Arial"/>
        </w:rPr>
        <w:t xml:space="preserve"> </w:t>
      </w:r>
      <w:r w:rsidRPr="001427AF">
        <w:rPr>
          <w:rFonts w:ascii="Arial" w:hAnsi="Arial" w:cs="Arial"/>
        </w:rPr>
        <w:t>also a CTE concentrator.</w:t>
      </w:r>
    </w:p>
    <w:p w14:paraId="65483C5D" w14:textId="77777777" w:rsidR="008E5AB8" w:rsidRPr="001427AF" w:rsidRDefault="008E5AB8" w:rsidP="008E5AB8">
      <w:pPr>
        <w:pStyle w:val="Default"/>
        <w:contextualSpacing/>
        <w:rPr>
          <w:rFonts w:ascii="Arial" w:hAnsi="Arial" w:cs="Arial"/>
          <w:b/>
          <w:bCs/>
          <w:i/>
          <w:iCs/>
        </w:rPr>
      </w:pPr>
    </w:p>
    <w:p w14:paraId="126AB287" w14:textId="661F9948" w:rsidR="008E5AB8" w:rsidRPr="001427AF" w:rsidRDefault="008E5AB8" w:rsidP="00840D41">
      <w:pPr>
        <w:pStyle w:val="Default"/>
        <w:contextualSpacing/>
        <w:rPr>
          <w:rFonts w:ascii="Arial" w:hAnsi="Arial" w:cs="Arial"/>
        </w:rPr>
      </w:pPr>
      <w:r w:rsidRPr="001427AF">
        <w:rPr>
          <w:rFonts w:ascii="Arial" w:hAnsi="Arial" w:cs="Arial"/>
          <w:b/>
          <w:bCs/>
          <w:i/>
          <w:iCs/>
        </w:rPr>
        <w:t xml:space="preserve">Non-College Reportable Accommodations for </w:t>
      </w:r>
      <w:proofErr w:type="gramStart"/>
      <w:r w:rsidRPr="001427AF">
        <w:rPr>
          <w:rFonts w:ascii="Arial" w:hAnsi="Arial" w:cs="Arial"/>
          <w:b/>
          <w:bCs/>
          <w:i/>
          <w:iCs/>
        </w:rPr>
        <w:t>The</w:t>
      </w:r>
      <w:proofErr w:type="gramEnd"/>
      <w:r w:rsidRPr="001427AF">
        <w:rPr>
          <w:rFonts w:ascii="Arial" w:hAnsi="Arial" w:cs="Arial"/>
          <w:b/>
          <w:bCs/>
          <w:i/>
          <w:iCs/>
        </w:rPr>
        <w:t xml:space="preserve"> ACT. </w:t>
      </w:r>
      <w:r w:rsidRPr="001427AF">
        <w:rPr>
          <w:rFonts w:ascii="Arial" w:hAnsi="Arial" w:cs="Arial"/>
        </w:rPr>
        <w:t xml:space="preserve">Non-college reportable </w:t>
      </w:r>
      <w:proofErr w:type="gramStart"/>
      <w:r w:rsidRPr="001427AF">
        <w:rPr>
          <w:rFonts w:ascii="Arial" w:hAnsi="Arial" w:cs="Arial"/>
        </w:rPr>
        <w:t>accommodations are</w:t>
      </w:r>
      <w:proofErr w:type="gramEnd"/>
      <w:r w:rsidRPr="001427AF">
        <w:rPr>
          <w:rFonts w:ascii="Arial" w:hAnsi="Arial" w:cs="Arial"/>
        </w:rPr>
        <w:t xml:space="preserve"> available to students who are not eligible for the ACT approved accommodations and students who are not approved by ACT to receive accommodations. The ACT sends the students’ scores to the NCDPI. All scores are used regardless of accommodations.</w:t>
      </w:r>
    </w:p>
    <w:p w14:paraId="0FBCDACD" w14:textId="3FD93BCF" w:rsidR="00D3592A" w:rsidRPr="001427AF" w:rsidRDefault="00697F48" w:rsidP="00840D41">
      <w:pPr>
        <w:pStyle w:val="Default"/>
        <w:contextualSpacing/>
        <w:rPr>
          <w:rFonts w:ascii="Arial" w:hAnsi="Arial" w:cs="Arial"/>
        </w:rPr>
      </w:pPr>
      <w:r w:rsidRPr="001427AF">
        <w:rPr>
          <w:rFonts w:ascii="Arial" w:hAnsi="Arial" w:cs="Arial"/>
        </w:rPr>
        <w:t xml:space="preserve"> </w:t>
      </w:r>
    </w:p>
    <w:p w14:paraId="2902226B" w14:textId="3ADC214E" w:rsidR="008B0A88" w:rsidRPr="001427AF" w:rsidRDefault="001878D2" w:rsidP="00840D41">
      <w:pPr>
        <w:pStyle w:val="Heading3"/>
        <w:spacing w:before="0"/>
      </w:pPr>
      <w:bookmarkStart w:id="305" w:name="_Toc135812510"/>
      <w:bookmarkStart w:id="306" w:name="_Toc136418891"/>
      <w:bookmarkStart w:id="307" w:name="_Toc136419147"/>
      <w:bookmarkStart w:id="308" w:name="_Toc225404960"/>
      <w:r w:rsidRPr="001427AF">
        <w:t xml:space="preserve">The </w:t>
      </w:r>
      <w:r w:rsidR="00D3592A" w:rsidRPr="001427AF">
        <w:t xml:space="preserve">ACT </w:t>
      </w:r>
      <w:r w:rsidR="008B0A88" w:rsidRPr="001427AF">
        <w:t>E</w:t>
      </w:r>
      <w:r w:rsidR="00D3592A" w:rsidRPr="001427AF">
        <w:t>xception</w:t>
      </w:r>
      <w:bookmarkEnd w:id="305"/>
      <w:bookmarkEnd w:id="306"/>
      <w:bookmarkEnd w:id="307"/>
      <w:bookmarkEnd w:id="308"/>
      <w:r w:rsidR="0010677A" w:rsidRPr="001427AF">
        <w:t xml:space="preserve"> </w:t>
      </w:r>
    </w:p>
    <w:p w14:paraId="37119560" w14:textId="6AF496C2" w:rsidR="00D326C4" w:rsidRPr="001427AF" w:rsidRDefault="00D326C4" w:rsidP="00840D41">
      <w:pPr>
        <w:pStyle w:val="Default"/>
        <w:contextualSpacing/>
        <w:rPr>
          <w:rFonts w:ascii="Arial" w:hAnsi="Arial" w:cs="Arial"/>
        </w:rPr>
      </w:pPr>
      <w:r w:rsidRPr="001427AF">
        <w:rPr>
          <w:rFonts w:ascii="Arial" w:hAnsi="Arial" w:cs="Arial"/>
        </w:rPr>
        <w:t xml:space="preserve">Students may submit The ACT exception request if they have previously met the Scholastic Aptitude Test (SAT) or The ACT college readiness benchmark standards. These students must have previously taken The ACT or the SAT prior to the state administration window and met the eligibility criteria to be exempt from taking </w:t>
      </w:r>
      <w:r w:rsidR="00CE7B8E" w:rsidRPr="001427AF">
        <w:rPr>
          <w:rFonts w:ascii="Arial" w:hAnsi="Arial" w:cs="Arial"/>
        </w:rPr>
        <w:t>T</w:t>
      </w:r>
      <w:r w:rsidRPr="001427AF">
        <w:rPr>
          <w:rFonts w:ascii="Arial" w:hAnsi="Arial" w:cs="Arial"/>
        </w:rPr>
        <w:t xml:space="preserve">he ACT during the state administration. </w:t>
      </w:r>
    </w:p>
    <w:p w14:paraId="389C59F8" w14:textId="77777777" w:rsidR="00D326C4" w:rsidRPr="001427AF" w:rsidRDefault="00D326C4" w:rsidP="00D326C4">
      <w:pPr>
        <w:pStyle w:val="Default"/>
        <w:contextualSpacing/>
        <w:rPr>
          <w:rFonts w:ascii="Arial" w:hAnsi="Arial" w:cs="Arial"/>
        </w:rPr>
      </w:pPr>
      <w:r w:rsidRPr="001427AF">
        <w:rPr>
          <w:rFonts w:ascii="Arial" w:hAnsi="Arial" w:cs="Arial"/>
        </w:rPr>
        <w:t xml:space="preserve"> </w:t>
      </w:r>
    </w:p>
    <w:p w14:paraId="61344D9E" w14:textId="77777777" w:rsidR="00D326C4" w:rsidRPr="001427AF" w:rsidRDefault="00D326C4" w:rsidP="00D326C4">
      <w:pPr>
        <w:pStyle w:val="Default"/>
        <w:contextualSpacing/>
        <w:rPr>
          <w:rFonts w:ascii="Arial" w:hAnsi="Arial" w:cs="Arial"/>
        </w:rPr>
      </w:pPr>
      <w:r w:rsidRPr="001427AF">
        <w:rPr>
          <w:rFonts w:ascii="Arial" w:hAnsi="Arial" w:cs="Arial"/>
        </w:rPr>
        <w:t xml:space="preserve">To meet the eligibility criteria, students must have either SAT or The ACT test scores that meet the following college readiness benchmarks:  </w:t>
      </w:r>
    </w:p>
    <w:p w14:paraId="2E928E07" w14:textId="77777777" w:rsidR="00D326C4" w:rsidRPr="001427AF" w:rsidRDefault="00D326C4" w:rsidP="00D326C4">
      <w:pPr>
        <w:pStyle w:val="Default"/>
        <w:contextualSpacing/>
        <w:rPr>
          <w:rFonts w:ascii="Arial" w:hAnsi="Arial" w:cs="Arial"/>
        </w:rPr>
      </w:pPr>
      <w:r w:rsidRPr="001427AF">
        <w:rPr>
          <w:rFonts w:ascii="Arial" w:hAnsi="Arial" w:cs="Arial"/>
        </w:rPr>
        <w:t xml:space="preserve"> </w:t>
      </w:r>
    </w:p>
    <w:p w14:paraId="475F5E09" w14:textId="528763D9" w:rsidR="00D326C4" w:rsidRPr="001427AF" w:rsidRDefault="00D51A35" w:rsidP="00D326C4">
      <w:pPr>
        <w:pStyle w:val="Default"/>
        <w:contextualSpacing/>
        <w:rPr>
          <w:rFonts w:ascii="Arial" w:hAnsi="Arial" w:cs="Arial"/>
        </w:rPr>
      </w:pPr>
      <w:r w:rsidRPr="001427AF">
        <w:rPr>
          <w:rFonts w:ascii="Arial" w:hAnsi="Arial" w:cs="Arial"/>
        </w:rPr>
        <w:t xml:space="preserve">The </w:t>
      </w:r>
      <w:r w:rsidR="00D326C4" w:rsidRPr="001427AF">
        <w:rPr>
          <w:rFonts w:ascii="Arial" w:hAnsi="Arial" w:cs="Arial"/>
        </w:rPr>
        <w:t xml:space="preserve">college readiness benchmark scores </w:t>
      </w:r>
      <w:r w:rsidRPr="001427AF">
        <w:rPr>
          <w:rFonts w:ascii="Arial" w:hAnsi="Arial" w:cs="Arial"/>
        </w:rPr>
        <w:t xml:space="preserve">for the SAT </w:t>
      </w:r>
      <w:r w:rsidR="00D326C4" w:rsidRPr="001427AF">
        <w:rPr>
          <w:rFonts w:ascii="Arial" w:hAnsi="Arial" w:cs="Arial"/>
        </w:rPr>
        <w:t xml:space="preserve">subtests </w:t>
      </w:r>
      <w:r w:rsidRPr="001427AF">
        <w:rPr>
          <w:rFonts w:ascii="Arial" w:hAnsi="Arial" w:cs="Arial"/>
        </w:rPr>
        <w:t xml:space="preserve">are </w:t>
      </w:r>
      <w:r w:rsidR="00D326C4" w:rsidRPr="001427AF">
        <w:rPr>
          <w:rFonts w:ascii="Arial" w:hAnsi="Arial" w:cs="Arial"/>
        </w:rPr>
        <w:t xml:space="preserve">indicated in </w:t>
      </w:r>
      <w:r w:rsidR="00815CC8" w:rsidRPr="001427AF">
        <w:rPr>
          <w:rFonts w:ascii="Arial" w:hAnsi="Arial" w:cs="Arial"/>
        </w:rPr>
        <w:t>t</w:t>
      </w:r>
      <w:r w:rsidR="00D326C4" w:rsidRPr="001427AF">
        <w:rPr>
          <w:rFonts w:ascii="Arial" w:hAnsi="Arial" w:cs="Arial"/>
        </w:rPr>
        <w:t>able 2.</w:t>
      </w:r>
      <w:r w:rsidR="0074609F" w:rsidRPr="001427AF">
        <w:rPr>
          <w:rFonts w:ascii="Arial" w:hAnsi="Arial" w:cs="Arial"/>
        </w:rPr>
        <w:t>9</w:t>
      </w:r>
      <w:r w:rsidR="00D326C4" w:rsidRPr="001427AF">
        <w:rPr>
          <w:rFonts w:ascii="Arial" w:hAnsi="Arial" w:cs="Arial"/>
        </w:rPr>
        <w:t>.1.</w:t>
      </w:r>
    </w:p>
    <w:p w14:paraId="50C2F9E0" w14:textId="33A40A77" w:rsidR="00D51A35" w:rsidRPr="001427AF" w:rsidRDefault="00D51A35" w:rsidP="00D326C4">
      <w:pPr>
        <w:pStyle w:val="Default"/>
        <w:contextualSpacing/>
        <w:rPr>
          <w:rFonts w:ascii="Arial" w:hAnsi="Arial" w:cs="Arial"/>
          <w:i/>
          <w:szCs w:val="20"/>
        </w:rPr>
      </w:pPr>
    </w:p>
    <w:p w14:paraId="205A0A1A" w14:textId="565DBD9C" w:rsidR="00D326C4" w:rsidRPr="001427AF" w:rsidRDefault="00D326C4" w:rsidP="00D326C4">
      <w:pPr>
        <w:pStyle w:val="TableHead"/>
        <w:spacing w:after="0" w:line="240" w:lineRule="auto"/>
        <w:ind w:left="0"/>
        <w:contextualSpacing/>
        <w:rPr>
          <w:rFonts w:ascii="Arial" w:hAnsi="Arial" w:cs="Arial"/>
          <w:i w:val="0"/>
          <w:szCs w:val="24"/>
        </w:rPr>
      </w:pPr>
      <w:r w:rsidRPr="001427AF">
        <w:rPr>
          <w:rFonts w:ascii="Arial" w:hAnsi="Arial" w:cs="Arial"/>
          <w:i w:val="0"/>
          <w:sz w:val="20"/>
        </w:rPr>
        <w:t>TABLE 2.</w:t>
      </w:r>
      <w:r w:rsidR="0074609F" w:rsidRPr="001427AF">
        <w:rPr>
          <w:rFonts w:ascii="Arial" w:hAnsi="Arial" w:cs="Arial"/>
          <w:i w:val="0"/>
          <w:sz w:val="20"/>
        </w:rPr>
        <w:t>9</w:t>
      </w:r>
      <w:r w:rsidRPr="001427AF">
        <w:rPr>
          <w:rFonts w:ascii="Arial" w:hAnsi="Arial" w:cs="Arial"/>
          <w:i w:val="0"/>
          <w:sz w:val="20"/>
        </w:rPr>
        <w:t>.1. SAT college readiness benchmark scores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620"/>
      </w:tblGrid>
      <w:tr w:rsidR="00D326C4" w:rsidRPr="001427AF" w14:paraId="72EE3A9F" w14:textId="77777777" w:rsidTr="00191AD4">
        <w:tc>
          <w:tcPr>
            <w:tcW w:w="3415" w:type="dxa"/>
            <w:shd w:val="clear" w:color="auto" w:fill="ACB9CA" w:themeFill="text2" w:themeFillTint="66"/>
          </w:tcPr>
          <w:p w14:paraId="39425765" w14:textId="77777777" w:rsidR="00D326C4" w:rsidRPr="001427AF" w:rsidRDefault="00D326C4">
            <w:pPr>
              <w:pStyle w:val="Default"/>
              <w:contextualSpacing/>
              <w:rPr>
                <w:rFonts w:ascii="Arial" w:hAnsi="Arial" w:cs="Arial"/>
                <w:b/>
                <w:bCs/>
                <w:sz w:val="20"/>
                <w:szCs w:val="20"/>
              </w:rPr>
            </w:pPr>
            <w:r w:rsidRPr="001427AF">
              <w:rPr>
                <w:rFonts w:ascii="Arial" w:hAnsi="Arial" w:cs="Arial"/>
                <w:b/>
                <w:bCs/>
                <w:sz w:val="20"/>
                <w:szCs w:val="20"/>
              </w:rPr>
              <w:t>Subtest</w:t>
            </w:r>
          </w:p>
        </w:tc>
        <w:tc>
          <w:tcPr>
            <w:tcW w:w="1620" w:type="dxa"/>
            <w:shd w:val="clear" w:color="auto" w:fill="ACB9CA" w:themeFill="text2" w:themeFillTint="66"/>
          </w:tcPr>
          <w:p w14:paraId="411F9043" w14:textId="77777777" w:rsidR="00D326C4" w:rsidRPr="001427AF" w:rsidRDefault="00D326C4">
            <w:pPr>
              <w:pStyle w:val="Default"/>
              <w:contextualSpacing/>
              <w:jc w:val="center"/>
              <w:rPr>
                <w:rFonts w:ascii="Arial" w:hAnsi="Arial" w:cs="Arial"/>
                <w:b/>
                <w:bCs/>
                <w:sz w:val="20"/>
                <w:szCs w:val="20"/>
              </w:rPr>
            </w:pPr>
            <w:r w:rsidRPr="001427AF">
              <w:rPr>
                <w:rFonts w:ascii="Arial" w:hAnsi="Arial" w:cs="Arial"/>
                <w:b/>
                <w:bCs/>
                <w:sz w:val="20"/>
                <w:szCs w:val="20"/>
              </w:rPr>
              <w:t>Score</w:t>
            </w:r>
          </w:p>
        </w:tc>
      </w:tr>
      <w:tr w:rsidR="00D326C4" w:rsidRPr="001427AF" w14:paraId="732521EF" w14:textId="77777777" w:rsidTr="00191AD4">
        <w:tc>
          <w:tcPr>
            <w:tcW w:w="3415" w:type="dxa"/>
          </w:tcPr>
          <w:p w14:paraId="384BCF43" w14:textId="77777777" w:rsidR="00D326C4" w:rsidRPr="001427AF" w:rsidRDefault="00D326C4">
            <w:pPr>
              <w:pStyle w:val="Default"/>
              <w:ind w:right="-107"/>
              <w:contextualSpacing/>
              <w:rPr>
                <w:rFonts w:ascii="Arial" w:hAnsi="Arial" w:cs="Arial"/>
                <w:sz w:val="20"/>
                <w:szCs w:val="20"/>
              </w:rPr>
            </w:pPr>
            <w:r w:rsidRPr="001427AF">
              <w:rPr>
                <w:rFonts w:ascii="Arial" w:hAnsi="Arial" w:cs="Arial"/>
                <w:sz w:val="20"/>
                <w:szCs w:val="20"/>
              </w:rPr>
              <w:t>Evidence-Based Reading and Writing</w:t>
            </w:r>
          </w:p>
        </w:tc>
        <w:tc>
          <w:tcPr>
            <w:tcW w:w="1620" w:type="dxa"/>
          </w:tcPr>
          <w:p w14:paraId="4F5B0D96" w14:textId="77777777" w:rsidR="00D326C4" w:rsidRPr="001427AF" w:rsidRDefault="00D326C4">
            <w:pPr>
              <w:pStyle w:val="Default"/>
              <w:contextualSpacing/>
              <w:jc w:val="center"/>
              <w:rPr>
                <w:rFonts w:ascii="Arial" w:hAnsi="Arial" w:cs="Arial"/>
                <w:sz w:val="20"/>
                <w:szCs w:val="20"/>
              </w:rPr>
            </w:pPr>
            <w:r w:rsidRPr="001427AF">
              <w:rPr>
                <w:rFonts w:ascii="Arial" w:hAnsi="Arial" w:cs="Arial"/>
                <w:sz w:val="20"/>
                <w:szCs w:val="20"/>
              </w:rPr>
              <w:t>530</w:t>
            </w:r>
          </w:p>
        </w:tc>
      </w:tr>
      <w:tr w:rsidR="00D326C4" w:rsidRPr="001427AF" w14:paraId="0C5CEDF8" w14:textId="77777777" w:rsidTr="00191AD4">
        <w:tc>
          <w:tcPr>
            <w:tcW w:w="3415" w:type="dxa"/>
          </w:tcPr>
          <w:p w14:paraId="7293C3FC" w14:textId="77777777" w:rsidR="00D326C4" w:rsidRPr="001427AF" w:rsidRDefault="00D326C4">
            <w:pPr>
              <w:pStyle w:val="Default"/>
              <w:contextualSpacing/>
              <w:rPr>
                <w:rFonts w:ascii="Arial" w:hAnsi="Arial" w:cs="Arial"/>
                <w:sz w:val="20"/>
                <w:szCs w:val="20"/>
              </w:rPr>
            </w:pPr>
            <w:r w:rsidRPr="001427AF">
              <w:rPr>
                <w:rFonts w:ascii="Arial" w:hAnsi="Arial" w:cs="Arial"/>
                <w:sz w:val="20"/>
                <w:szCs w:val="20"/>
              </w:rPr>
              <w:t>Mathematics</w:t>
            </w:r>
          </w:p>
        </w:tc>
        <w:tc>
          <w:tcPr>
            <w:tcW w:w="1620" w:type="dxa"/>
          </w:tcPr>
          <w:p w14:paraId="29D2859F" w14:textId="77777777" w:rsidR="00D326C4" w:rsidRPr="001427AF" w:rsidRDefault="00D326C4">
            <w:pPr>
              <w:pStyle w:val="Default"/>
              <w:contextualSpacing/>
              <w:jc w:val="center"/>
              <w:rPr>
                <w:rFonts w:ascii="Arial" w:hAnsi="Arial" w:cs="Arial"/>
                <w:sz w:val="20"/>
                <w:szCs w:val="20"/>
              </w:rPr>
            </w:pPr>
            <w:r w:rsidRPr="001427AF">
              <w:rPr>
                <w:rFonts w:ascii="Arial" w:hAnsi="Arial" w:cs="Arial"/>
                <w:sz w:val="20"/>
                <w:szCs w:val="20"/>
              </w:rPr>
              <w:t>540</w:t>
            </w:r>
          </w:p>
        </w:tc>
      </w:tr>
    </w:tbl>
    <w:p w14:paraId="08A65210" w14:textId="6E0AC5D9" w:rsidR="00D326C4" w:rsidRPr="001427AF" w:rsidRDefault="00D326C4" w:rsidP="00D326C4">
      <w:pPr>
        <w:pStyle w:val="Default"/>
        <w:contextualSpacing/>
        <w:rPr>
          <w:rFonts w:ascii="Arial" w:hAnsi="Arial" w:cs="Arial"/>
          <w:color w:val="auto"/>
        </w:rPr>
      </w:pPr>
      <w:r w:rsidRPr="001427AF">
        <w:rPr>
          <w:rFonts w:ascii="Arial" w:hAnsi="Arial" w:cs="Arial"/>
          <w:color w:val="auto"/>
        </w:rPr>
        <w:t>The</w:t>
      </w:r>
      <w:r w:rsidRPr="001427AF" w:rsidDel="00D51A35">
        <w:rPr>
          <w:rFonts w:ascii="Arial" w:hAnsi="Arial" w:cs="Arial"/>
          <w:color w:val="auto"/>
        </w:rPr>
        <w:t xml:space="preserve"> </w:t>
      </w:r>
      <w:r w:rsidRPr="001427AF">
        <w:rPr>
          <w:rFonts w:ascii="Arial" w:hAnsi="Arial" w:cs="Arial"/>
          <w:color w:val="auto"/>
        </w:rPr>
        <w:t xml:space="preserve">college readiness benchmark scores </w:t>
      </w:r>
      <w:r w:rsidR="00D51A35" w:rsidRPr="001427AF">
        <w:rPr>
          <w:rFonts w:ascii="Arial" w:hAnsi="Arial" w:cs="Arial"/>
          <w:color w:val="auto"/>
        </w:rPr>
        <w:t xml:space="preserve">for The ACT </w:t>
      </w:r>
      <w:r w:rsidRPr="001427AF">
        <w:rPr>
          <w:rFonts w:ascii="Arial" w:hAnsi="Arial" w:cs="Arial"/>
          <w:color w:val="auto"/>
        </w:rPr>
        <w:t>subtest</w:t>
      </w:r>
      <w:r w:rsidR="00D51A35" w:rsidRPr="001427AF">
        <w:rPr>
          <w:rFonts w:ascii="Arial" w:hAnsi="Arial" w:cs="Arial"/>
          <w:color w:val="auto"/>
        </w:rPr>
        <w:t>s are</w:t>
      </w:r>
      <w:r w:rsidRPr="001427AF">
        <w:rPr>
          <w:rFonts w:ascii="Arial" w:hAnsi="Arial" w:cs="Arial"/>
          <w:color w:val="auto"/>
        </w:rPr>
        <w:t xml:space="preserve"> indicated in </w:t>
      </w:r>
      <w:r w:rsidR="00B70081" w:rsidRPr="001427AF">
        <w:rPr>
          <w:rFonts w:ascii="Arial" w:hAnsi="Arial" w:cs="Arial"/>
          <w:color w:val="auto"/>
        </w:rPr>
        <w:t>t</w:t>
      </w:r>
      <w:r w:rsidRPr="001427AF">
        <w:rPr>
          <w:rFonts w:ascii="Arial" w:hAnsi="Arial" w:cs="Arial"/>
          <w:color w:val="auto"/>
        </w:rPr>
        <w:t>able 2.</w:t>
      </w:r>
      <w:r w:rsidR="005D4F52" w:rsidRPr="001427AF">
        <w:rPr>
          <w:rFonts w:ascii="Arial" w:hAnsi="Arial" w:cs="Arial"/>
          <w:color w:val="auto"/>
        </w:rPr>
        <w:t>9</w:t>
      </w:r>
      <w:r w:rsidRPr="001427AF">
        <w:rPr>
          <w:rFonts w:ascii="Arial" w:hAnsi="Arial" w:cs="Arial"/>
          <w:color w:val="auto"/>
        </w:rPr>
        <w:t xml:space="preserve">.1.1.  </w:t>
      </w:r>
    </w:p>
    <w:p w14:paraId="6FA6F797" w14:textId="77777777" w:rsidR="00D326C4" w:rsidRPr="001427AF" w:rsidRDefault="00D326C4" w:rsidP="00D326C4">
      <w:pPr>
        <w:pStyle w:val="Default"/>
        <w:contextualSpacing/>
        <w:rPr>
          <w:rFonts w:ascii="Arial" w:hAnsi="Arial" w:cs="Arial"/>
          <w:sz w:val="20"/>
          <w:szCs w:val="20"/>
        </w:rPr>
      </w:pPr>
    </w:p>
    <w:p w14:paraId="73755C81" w14:textId="0DB1B1AF" w:rsidR="00D326C4" w:rsidRPr="001427AF" w:rsidRDefault="00D326C4" w:rsidP="00D326C4">
      <w:pPr>
        <w:pStyle w:val="TableHead"/>
        <w:spacing w:after="0" w:line="240" w:lineRule="auto"/>
        <w:ind w:left="0"/>
        <w:contextualSpacing/>
        <w:rPr>
          <w:rFonts w:ascii="Arial" w:hAnsi="Arial" w:cs="Arial"/>
          <w:i w:val="0"/>
          <w:sz w:val="20"/>
        </w:rPr>
      </w:pPr>
      <w:r w:rsidRPr="001427AF">
        <w:rPr>
          <w:rFonts w:ascii="Arial" w:hAnsi="Arial" w:cs="Arial"/>
          <w:i w:val="0"/>
          <w:sz w:val="20"/>
        </w:rPr>
        <w:t>TABLE</w:t>
      </w:r>
      <w:r w:rsidRPr="001427AF" w:rsidDel="00686FC8">
        <w:rPr>
          <w:rFonts w:ascii="Arial" w:hAnsi="Arial" w:cs="Arial"/>
          <w:i w:val="0"/>
          <w:sz w:val="20"/>
        </w:rPr>
        <w:t xml:space="preserve"> </w:t>
      </w:r>
      <w:r w:rsidRPr="001427AF">
        <w:rPr>
          <w:rFonts w:ascii="Arial" w:hAnsi="Arial" w:cs="Arial"/>
          <w:i w:val="0"/>
          <w:sz w:val="20"/>
        </w:rPr>
        <w:t>2.</w:t>
      </w:r>
      <w:r w:rsidR="005D4F52" w:rsidRPr="001427AF">
        <w:rPr>
          <w:rFonts w:ascii="Arial" w:hAnsi="Arial" w:cs="Arial"/>
          <w:i w:val="0"/>
          <w:sz w:val="20"/>
        </w:rPr>
        <w:t>9</w:t>
      </w:r>
      <w:r w:rsidRPr="001427AF">
        <w:rPr>
          <w:rFonts w:ascii="Arial" w:hAnsi="Arial" w:cs="Arial"/>
          <w:i w:val="0"/>
          <w:sz w:val="20"/>
        </w:rPr>
        <w:t>.1.1. The ACT subtest</w:t>
      </w:r>
      <w:r w:rsidR="00700AF1" w:rsidRPr="001427AF">
        <w:rPr>
          <w:rFonts w:ascii="Arial" w:hAnsi="Arial" w:cs="Arial"/>
          <w:i w:val="0"/>
          <w:sz w:val="20"/>
        </w:rPr>
        <w:t>s</w:t>
      </w:r>
      <w:r w:rsidRPr="001427AF">
        <w:rPr>
          <w:rFonts w:ascii="Arial" w:hAnsi="Arial" w:cs="Arial"/>
          <w:i w:val="0"/>
          <w:sz w:val="20"/>
        </w:rPr>
        <w:t xml:space="preserve"> and college readiness benchmark scores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340"/>
      </w:tblGrid>
      <w:tr w:rsidR="00D326C4" w:rsidRPr="001427AF" w14:paraId="5DD3EAF2" w14:textId="77777777" w:rsidTr="00191AD4">
        <w:trPr>
          <w:tblHeader/>
        </w:trPr>
        <w:tc>
          <w:tcPr>
            <w:tcW w:w="1975" w:type="dxa"/>
            <w:shd w:val="clear" w:color="auto" w:fill="ACB9CA" w:themeFill="text2" w:themeFillTint="66"/>
          </w:tcPr>
          <w:p w14:paraId="786ABC6B" w14:textId="77777777" w:rsidR="00D326C4" w:rsidRPr="001427AF" w:rsidRDefault="00D326C4">
            <w:pPr>
              <w:pStyle w:val="Default"/>
              <w:contextualSpacing/>
              <w:rPr>
                <w:rFonts w:ascii="Arial" w:hAnsi="Arial" w:cs="Arial"/>
                <w:b/>
                <w:bCs/>
                <w:sz w:val="20"/>
                <w:szCs w:val="20"/>
              </w:rPr>
            </w:pPr>
            <w:r w:rsidRPr="001427AF">
              <w:rPr>
                <w:rFonts w:ascii="Arial" w:hAnsi="Arial" w:cs="Arial"/>
                <w:b/>
                <w:bCs/>
                <w:sz w:val="20"/>
                <w:szCs w:val="20"/>
              </w:rPr>
              <w:t>Subtest</w:t>
            </w:r>
          </w:p>
        </w:tc>
        <w:tc>
          <w:tcPr>
            <w:tcW w:w="2340" w:type="dxa"/>
            <w:shd w:val="clear" w:color="auto" w:fill="ACB9CA" w:themeFill="text2" w:themeFillTint="66"/>
          </w:tcPr>
          <w:p w14:paraId="31CB42F1" w14:textId="77777777" w:rsidR="00D326C4" w:rsidRPr="001427AF" w:rsidRDefault="00D326C4">
            <w:pPr>
              <w:pStyle w:val="Default"/>
              <w:contextualSpacing/>
              <w:jc w:val="center"/>
              <w:rPr>
                <w:rFonts w:ascii="Arial" w:hAnsi="Arial" w:cs="Arial"/>
                <w:b/>
                <w:bCs/>
                <w:sz w:val="20"/>
                <w:szCs w:val="20"/>
              </w:rPr>
            </w:pPr>
            <w:r w:rsidRPr="001427AF">
              <w:rPr>
                <w:rFonts w:ascii="Arial" w:hAnsi="Arial" w:cs="Arial"/>
                <w:b/>
                <w:bCs/>
                <w:sz w:val="20"/>
                <w:szCs w:val="20"/>
              </w:rPr>
              <w:t>The ACT Score</w:t>
            </w:r>
          </w:p>
        </w:tc>
      </w:tr>
      <w:tr w:rsidR="00D326C4" w:rsidRPr="001427AF" w14:paraId="49B0211D" w14:textId="77777777" w:rsidTr="00191AD4">
        <w:tc>
          <w:tcPr>
            <w:tcW w:w="1975" w:type="dxa"/>
          </w:tcPr>
          <w:p w14:paraId="25E92620" w14:textId="77777777" w:rsidR="00D326C4" w:rsidRPr="001427AF" w:rsidRDefault="00D326C4">
            <w:pPr>
              <w:pStyle w:val="Default"/>
              <w:contextualSpacing/>
              <w:rPr>
                <w:rFonts w:ascii="Arial" w:hAnsi="Arial" w:cs="Arial"/>
                <w:sz w:val="20"/>
                <w:szCs w:val="20"/>
              </w:rPr>
            </w:pPr>
            <w:r w:rsidRPr="001427AF">
              <w:rPr>
                <w:rFonts w:ascii="Arial" w:hAnsi="Arial" w:cs="Arial"/>
                <w:sz w:val="20"/>
                <w:szCs w:val="20"/>
              </w:rPr>
              <w:t>English</w:t>
            </w:r>
          </w:p>
        </w:tc>
        <w:tc>
          <w:tcPr>
            <w:tcW w:w="2340" w:type="dxa"/>
          </w:tcPr>
          <w:p w14:paraId="7C6855CA" w14:textId="77777777" w:rsidR="00D326C4" w:rsidRPr="001427AF" w:rsidRDefault="00D326C4">
            <w:pPr>
              <w:pStyle w:val="Default"/>
              <w:contextualSpacing/>
              <w:jc w:val="center"/>
              <w:rPr>
                <w:rFonts w:ascii="Arial" w:hAnsi="Arial" w:cs="Arial"/>
                <w:sz w:val="20"/>
                <w:szCs w:val="20"/>
              </w:rPr>
            </w:pPr>
            <w:r w:rsidRPr="001427AF">
              <w:rPr>
                <w:rFonts w:ascii="Arial" w:hAnsi="Arial" w:cs="Arial"/>
                <w:sz w:val="20"/>
                <w:szCs w:val="20"/>
              </w:rPr>
              <w:t>18</w:t>
            </w:r>
          </w:p>
        </w:tc>
      </w:tr>
      <w:tr w:rsidR="00D326C4" w:rsidRPr="001427AF" w14:paraId="262F2183" w14:textId="77777777" w:rsidTr="00191AD4">
        <w:tc>
          <w:tcPr>
            <w:tcW w:w="1975" w:type="dxa"/>
          </w:tcPr>
          <w:p w14:paraId="04F343C2" w14:textId="77777777" w:rsidR="00D326C4" w:rsidRPr="001427AF" w:rsidRDefault="00D326C4">
            <w:pPr>
              <w:pStyle w:val="Default"/>
              <w:contextualSpacing/>
              <w:rPr>
                <w:rFonts w:ascii="Arial" w:hAnsi="Arial" w:cs="Arial"/>
                <w:sz w:val="20"/>
                <w:szCs w:val="20"/>
              </w:rPr>
            </w:pPr>
            <w:r w:rsidRPr="001427AF">
              <w:rPr>
                <w:rFonts w:ascii="Arial" w:hAnsi="Arial" w:cs="Arial"/>
                <w:sz w:val="20"/>
                <w:szCs w:val="20"/>
              </w:rPr>
              <w:t>Reading</w:t>
            </w:r>
          </w:p>
        </w:tc>
        <w:tc>
          <w:tcPr>
            <w:tcW w:w="2340" w:type="dxa"/>
          </w:tcPr>
          <w:p w14:paraId="037B2460" w14:textId="77777777" w:rsidR="00D326C4" w:rsidRPr="001427AF" w:rsidRDefault="00D326C4">
            <w:pPr>
              <w:pStyle w:val="Default"/>
              <w:contextualSpacing/>
              <w:jc w:val="center"/>
              <w:rPr>
                <w:rFonts w:ascii="Arial" w:hAnsi="Arial" w:cs="Arial"/>
                <w:sz w:val="20"/>
                <w:szCs w:val="20"/>
              </w:rPr>
            </w:pPr>
            <w:r w:rsidRPr="001427AF">
              <w:rPr>
                <w:rFonts w:ascii="Arial" w:hAnsi="Arial" w:cs="Arial"/>
                <w:sz w:val="20"/>
                <w:szCs w:val="20"/>
              </w:rPr>
              <w:t>22</w:t>
            </w:r>
          </w:p>
        </w:tc>
      </w:tr>
      <w:tr w:rsidR="00D326C4" w:rsidRPr="001427AF" w14:paraId="09306783" w14:textId="77777777" w:rsidTr="00191AD4">
        <w:tc>
          <w:tcPr>
            <w:tcW w:w="1975" w:type="dxa"/>
          </w:tcPr>
          <w:p w14:paraId="79255FA0" w14:textId="77777777" w:rsidR="00D326C4" w:rsidRPr="001427AF" w:rsidRDefault="00D326C4">
            <w:pPr>
              <w:pStyle w:val="Default"/>
              <w:contextualSpacing/>
              <w:rPr>
                <w:rFonts w:ascii="Arial" w:hAnsi="Arial" w:cs="Arial"/>
                <w:sz w:val="20"/>
                <w:szCs w:val="20"/>
              </w:rPr>
            </w:pPr>
            <w:r w:rsidRPr="001427AF">
              <w:rPr>
                <w:rFonts w:ascii="Arial" w:hAnsi="Arial" w:cs="Arial"/>
                <w:sz w:val="20"/>
                <w:szCs w:val="20"/>
              </w:rPr>
              <w:t>Mathematics</w:t>
            </w:r>
          </w:p>
        </w:tc>
        <w:tc>
          <w:tcPr>
            <w:tcW w:w="2340" w:type="dxa"/>
          </w:tcPr>
          <w:p w14:paraId="29D27071" w14:textId="77777777" w:rsidR="00D326C4" w:rsidRPr="001427AF" w:rsidRDefault="00D326C4">
            <w:pPr>
              <w:pStyle w:val="Default"/>
              <w:contextualSpacing/>
              <w:jc w:val="center"/>
              <w:rPr>
                <w:rFonts w:ascii="Arial" w:hAnsi="Arial" w:cs="Arial"/>
                <w:sz w:val="20"/>
                <w:szCs w:val="20"/>
              </w:rPr>
            </w:pPr>
            <w:r w:rsidRPr="001427AF">
              <w:rPr>
                <w:rFonts w:ascii="Arial" w:hAnsi="Arial" w:cs="Arial"/>
                <w:sz w:val="20"/>
                <w:szCs w:val="20"/>
              </w:rPr>
              <w:t>22</w:t>
            </w:r>
          </w:p>
        </w:tc>
      </w:tr>
    </w:tbl>
    <w:p w14:paraId="11A85662" w14:textId="1DD7BDC4" w:rsidR="00D3592A" w:rsidDel="00EC2112" w:rsidRDefault="00D3592A" w:rsidP="002105D5"/>
    <w:p w14:paraId="79DFDC51" w14:textId="282BB1CD" w:rsidR="0008707D" w:rsidRPr="001427AF" w:rsidRDefault="00D3592A" w:rsidP="001514C3">
      <w:pPr>
        <w:pStyle w:val="Heading2"/>
      </w:pPr>
      <w:bookmarkStart w:id="309" w:name="_Toc135812511"/>
      <w:bookmarkStart w:id="310" w:name="_Toc136418892"/>
      <w:bookmarkStart w:id="311" w:name="_Toc136419148"/>
      <w:bookmarkStart w:id="312" w:name="_Toc225404961"/>
      <w:r w:rsidRPr="001427AF">
        <w:t xml:space="preserve">WorkKeys </w:t>
      </w:r>
      <w:r w:rsidR="0008707D" w:rsidRPr="001427AF">
        <w:t>E</w:t>
      </w:r>
      <w:r w:rsidRPr="001427AF">
        <w:t>xception</w:t>
      </w:r>
      <w:bookmarkEnd w:id="309"/>
      <w:bookmarkEnd w:id="310"/>
      <w:bookmarkEnd w:id="311"/>
      <w:bookmarkEnd w:id="312"/>
      <w:r w:rsidR="004501EB" w:rsidRPr="001427AF">
        <w:t xml:space="preserve"> </w:t>
      </w:r>
    </w:p>
    <w:p w14:paraId="58E5C625" w14:textId="77777777" w:rsidR="001A0F0C" w:rsidRPr="002464A4" w:rsidRDefault="00A13630" w:rsidP="00F51F2F">
      <w:pPr>
        <w:pStyle w:val="Default"/>
        <w:contextualSpacing/>
        <w:rPr>
          <w:rFonts w:ascii="Arial" w:hAnsi="Arial" w:cs="Arial"/>
        </w:rPr>
      </w:pPr>
      <w:r w:rsidRPr="002464A4">
        <w:rPr>
          <w:rFonts w:ascii="Arial" w:hAnsi="Arial" w:cs="Arial"/>
        </w:rPr>
        <w:t>Students who submit a</w:t>
      </w:r>
      <w:r w:rsidR="008C4B5F" w:rsidRPr="002464A4">
        <w:rPr>
          <w:rFonts w:ascii="Arial" w:hAnsi="Arial" w:cs="Arial"/>
        </w:rPr>
        <w:t>n ex</w:t>
      </w:r>
      <w:r w:rsidR="007E3617" w:rsidRPr="002464A4">
        <w:rPr>
          <w:rFonts w:ascii="Arial" w:hAnsi="Arial" w:cs="Arial"/>
        </w:rPr>
        <w:t>ce</w:t>
      </w:r>
      <w:r w:rsidR="008C4B5F" w:rsidRPr="002464A4">
        <w:rPr>
          <w:rFonts w:ascii="Arial" w:hAnsi="Arial" w:cs="Arial"/>
        </w:rPr>
        <w:t xml:space="preserve">ption </w:t>
      </w:r>
      <w:r w:rsidRPr="002464A4">
        <w:rPr>
          <w:rFonts w:ascii="Arial" w:hAnsi="Arial" w:cs="Arial"/>
        </w:rPr>
        <w:t>request</w:t>
      </w:r>
      <w:r w:rsidR="008C4B5F" w:rsidRPr="002464A4">
        <w:rPr>
          <w:rFonts w:ascii="Arial" w:hAnsi="Arial" w:cs="Arial"/>
        </w:rPr>
        <w:t xml:space="preserve"> </w:t>
      </w:r>
      <w:r w:rsidRPr="002464A4">
        <w:rPr>
          <w:rFonts w:ascii="Arial" w:hAnsi="Arial" w:cs="Arial"/>
        </w:rPr>
        <w:t>may not be required to participate in the WorkKeys assessment</w:t>
      </w:r>
      <w:r w:rsidR="005017CF" w:rsidRPr="002464A4">
        <w:rPr>
          <w:rFonts w:ascii="Arial" w:hAnsi="Arial" w:cs="Arial"/>
        </w:rPr>
        <w:t>s</w:t>
      </w:r>
      <w:r w:rsidRPr="002464A4">
        <w:rPr>
          <w:rFonts w:ascii="Arial" w:hAnsi="Arial" w:cs="Arial"/>
        </w:rPr>
        <w:t xml:space="preserve"> because they previously took th</w:t>
      </w:r>
      <w:r w:rsidR="008C4B5F" w:rsidRPr="002464A4">
        <w:rPr>
          <w:rFonts w:ascii="Arial" w:hAnsi="Arial" w:cs="Arial"/>
        </w:rPr>
        <w:t>e</w:t>
      </w:r>
      <w:r w:rsidRPr="002464A4">
        <w:rPr>
          <w:rFonts w:ascii="Arial" w:hAnsi="Arial" w:cs="Arial"/>
        </w:rPr>
        <w:t xml:space="preserve"> assessment</w:t>
      </w:r>
      <w:r w:rsidR="008C4B5F" w:rsidRPr="002464A4">
        <w:rPr>
          <w:rFonts w:ascii="Arial" w:hAnsi="Arial" w:cs="Arial"/>
        </w:rPr>
        <w:t>s</w:t>
      </w:r>
      <w:r w:rsidRPr="002464A4">
        <w:rPr>
          <w:rFonts w:ascii="Arial" w:hAnsi="Arial" w:cs="Arial"/>
        </w:rPr>
        <w:t xml:space="preserve"> prior to the state administration window(s) and met the eligibility criteria to be exempt from taking WorkKeys during </w:t>
      </w:r>
      <w:proofErr w:type="gramStart"/>
      <w:r w:rsidRPr="002464A4">
        <w:rPr>
          <w:rFonts w:ascii="Arial" w:hAnsi="Arial" w:cs="Arial"/>
        </w:rPr>
        <w:t>the state</w:t>
      </w:r>
      <w:proofErr w:type="gramEnd"/>
      <w:r w:rsidRPr="002464A4">
        <w:rPr>
          <w:rFonts w:ascii="Arial" w:hAnsi="Arial" w:cs="Arial"/>
        </w:rPr>
        <w:t xml:space="preserve"> administration. Documentation must be provided indicating the student </w:t>
      </w:r>
      <w:proofErr w:type="gramStart"/>
      <w:r w:rsidRPr="002464A4">
        <w:rPr>
          <w:rFonts w:ascii="Arial" w:hAnsi="Arial" w:cs="Arial"/>
        </w:rPr>
        <w:t>received</w:t>
      </w:r>
      <w:proofErr w:type="gramEnd"/>
      <w:r w:rsidRPr="002464A4">
        <w:rPr>
          <w:rFonts w:ascii="Arial" w:hAnsi="Arial" w:cs="Arial"/>
        </w:rPr>
        <w:t xml:space="preserve"> a Silver, Gold, or Platinum WorkKeys certificate. </w:t>
      </w:r>
    </w:p>
    <w:p w14:paraId="5C3A1358" w14:textId="77777777" w:rsidR="007B2E14" w:rsidRDefault="007B2E14" w:rsidP="00F51F2F">
      <w:pPr>
        <w:pStyle w:val="Default"/>
        <w:contextualSpacing/>
        <w:rPr>
          <w:rFonts w:ascii="Arial" w:hAnsi="Arial" w:cs="Arial"/>
          <w:highlight w:val="yellow"/>
        </w:rPr>
      </w:pPr>
    </w:p>
    <w:p w14:paraId="556A13BA" w14:textId="21D0D40C" w:rsidR="00CC0364" w:rsidRPr="00EE14D5" w:rsidRDefault="00CC0364" w:rsidP="001514C3">
      <w:pPr>
        <w:pStyle w:val="Heading2"/>
      </w:pPr>
      <w:bookmarkStart w:id="313" w:name="_Toc225404962"/>
      <w:r w:rsidRPr="00EE14D5">
        <w:t xml:space="preserve">How Retests are Used </w:t>
      </w:r>
      <w:proofErr w:type="gramStart"/>
      <w:r w:rsidRPr="00EE14D5">
        <w:t>in for</w:t>
      </w:r>
      <w:proofErr w:type="gramEnd"/>
      <w:r w:rsidRPr="00EE14D5">
        <w:t xml:space="preserve"> Accountability</w:t>
      </w:r>
      <w:bookmarkEnd w:id="313"/>
      <w:r w:rsidRPr="00EE14D5">
        <w:t xml:space="preserve"> </w:t>
      </w:r>
    </w:p>
    <w:p w14:paraId="55219E41" w14:textId="72AF9813" w:rsidR="0093529E" w:rsidRPr="00EE14D5" w:rsidRDefault="007D5E56" w:rsidP="00F51F2F">
      <w:pPr>
        <w:pStyle w:val="Default"/>
        <w:contextualSpacing/>
        <w:rPr>
          <w:rFonts w:ascii="Arial" w:hAnsi="Arial" w:cs="Arial"/>
        </w:rPr>
      </w:pPr>
      <w:r w:rsidRPr="00EE14D5">
        <w:rPr>
          <w:rFonts w:ascii="Arial" w:hAnsi="Arial" w:cs="Arial"/>
        </w:rPr>
        <w:t>M</w:t>
      </w:r>
      <w:r w:rsidR="00433F39" w:rsidRPr="00EE14D5">
        <w:rPr>
          <w:rFonts w:ascii="Arial" w:hAnsi="Arial" w:cs="Arial"/>
        </w:rPr>
        <w:t>athematics and science</w:t>
      </w:r>
      <w:r w:rsidR="00C2551E" w:rsidRPr="00EE14D5">
        <w:rPr>
          <w:rFonts w:ascii="Arial" w:hAnsi="Arial" w:cs="Arial"/>
        </w:rPr>
        <w:t xml:space="preserve"> </w:t>
      </w:r>
      <w:r w:rsidR="008A0077" w:rsidRPr="00EE14D5">
        <w:rPr>
          <w:rFonts w:ascii="Arial" w:hAnsi="Arial" w:cs="Arial"/>
        </w:rPr>
        <w:t xml:space="preserve">EOC, EOG, </w:t>
      </w:r>
      <w:r w:rsidR="0036225D" w:rsidRPr="00EE14D5">
        <w:rPr>
          <w:rFonts w:ascii="Arial" w:hAnsi="Arial" w:cs="Arial"/>
        </w:rPr>
        <w:t>or</w:t>
      </w:r>
      <w:r w:rsidR="00321F91" w:rsidRPr="00EE14D5">
        <w:rPr>
          <w:rFonts w:ascii="Arial" w:hAnsi="Arial" w:cs="Arial"/>
        </w:rPr>
        <w:t xml:space="preserve"> </w:t>
      </w:r>
      <w:r w:rsidR="000A4074" w:rsidRPr="00EE14D5">
        <w:rPr>
          <w:rFonts w:ascii="Arial" w:hAnsi="Arial" w:cs="Arial"/>
        </w:rPr>
        <w:t>associated</w:t>
      </w:r>
      <w:r w:rsidR="00153C09" w:rsidRPr="00EE14D5">
        <w:rPr>
          <w:rFonts w:ascii="Arial" w:hAnsi="Arial" w:cs="Arial"/>
        </w:rPr>
        <w:t xml:space="preserve"> alternate </w:t>
      </w:r>
      <w:r w:rsidR="000A4074" w:rsidRPr="00EE14D5">
        <w:rPr>
          <w:rFonts w:ascii="Arial" w:hAnsi="Arial" w:cs="Arial"/>
        </w:rPr>
        <w:t>assessment</w:t>
      </w:r>
      <w:r w:rsidR="00153C09" w:rsidRPr="00EE14D5">
        <w:rPr>
          <w:rFonts w:ascii="Arial" w:hAnsi="Arial" w:cs="Arial"/>
        </w:rPr>
        <w:t xml:space="preserve"> are eligible for retesting</w:t>
      </w:r>
      <w:r w:rsidR="000A4074" w:rsidRPr="00EE14D5">
        <w:rPr>
          <w:rFonts w:ascii="Arial" w:hAnsi="Arial" w:cs="Arial"/>
        </w:rPr>
        <w:t xml:space="preserve"> per the guidelines </w:t>
      </w:r>
      <w:r w:rsidR="00321F91" w:rsidRPr="00EE14D5">
        <w:rPr>
          <w:rFonts w:ascii="Arial" w:hAnsi="Arial" w:cs="Arial"/>
        </w:rPr>
        <w:t xml:space="preserve">published </w:t>
      </w:r>
      <w:r w:rsidR="00CB352E" w:rsidRPr="00EE14D5">
        <w:rPr>
          <w:rFonts w:ascii="Arial" w:hAnsi="Arial" w:cs="Arial"/>
        </w:rPr>
        <w:t xml:space="preserve">in the </w:t>
      </w:r>
      <w:r w:rsidR="009F68BA" w:rsidRPr="00EE14D5">
        <w:rPr>
          <w:rFonts w:ascii="Arial" w:hAnsi="Arial" w:cs="Arial"/>
        </w:rPr>
        <w:t>r</w:t>
      </w:r>
      <w:r w:rsidR="00CB352E" w:rsidRPr="00EE14D5">
        <w:rPr>
          <w:rFonts w:ascii="Arial" w:hAnsi="Arial" w:cs="Arial"/>
        </w:rPr>
        <w:t xml:space="preserve">etest </w:t>
      </w:r>
      <w:r w:rsidR="009F68BA" w:rsidRPr="00EE14D5">
        <w:rPr>
          <w:rFonts w:ascii="Arial" w:hAnsi="Arial" w:cs="Arial"/>
        </w:rPr>
        <w:t>m</w:t>
      </w:r>
      <w:r w:rsidR="00CB352E" w:rsidRPr="00EE14D5">
        <w:rPr>
          <w:rFonts w:ascii="Arial" w:hAnsi="Arial" w:cs="Arial"/>
        </w:rPr>
        <w:t xml:space="preserve">emo dated </w:t>
      </w:r>
      <w:r w:rsidR="008D5B03" w:rsidRPr="00EE14D5">
        <w:rPr>
          <w:rFonts w:ascii="Arial" w:hAnsi="Arial" w:cs="Arial"/>
        </w:rPr>
        <w:t>September 25, 20</w:t>
      </w:r>
      <w:r w:rsidR="00CB352E" w:rsidRPr="00EE14D5">
        <w:rPr>
          <w:rFonts w:ascii="Arial" w:hAnsi="Arial" w:cs="Arial"/>
        </w:rPr>
        <w:t>25. The following list provides how these scores are used in the accountability model</w:t>
      </w:r>
      <w:r w:rsidR="0093529E" w:rsidRPr="00EE14D5">
        <w:rPr>
          <w:rFonts w:ascii="Arial" w:hAnsi="Arial" w:cs="Arial"/>
        </w:rPr>
        <w:t xml:space="preserve">. </w:t>
      </w:r>
    </w:p>
    <w:p w14:paraId="412E292B" w14:textId="0C7FD05A" w:rsidR="001667D3" w:rsidRPr="00EE14D5" w:rsidRDefault="0093529E" w:rsidP="00CA5853">
      <w:pPr>
        <w:pStyle w:val="Default"/>
        <w:numPr>
          <w:ilvl w:val="0"/>
          <w:numId w:val="137"/>
        </w:numPr>
        <w:contextualSpacing/>
        <w:rPr>
          <w:rFonts w:ascii="Arial" w:hAnsi="Arial" w:cs="Arial"/>
        </w:rPr>
      </w:pPr>
      <w:r w:rsidRPr="00EE14D5">
        <w:rPr>
          <w:rFonts w:ascii="Arial" w:hAnsi="Arial" w:cs="Arial"/>
        </w:rPr>
        <w:t xml:space="preserve">Student retesting within year will have the higher test score applied to </w:t>
      </w:r>
      <w:r w:rsidR="004A2444" w:rsidRPr="00EE14D5">
        <w:rPr>
          <w:rFonts w:ascii="Arial" w:hAnsi="Arial" w:cs="Arial"/>
        </w:rPr>
        <w:t xml:space="preserve">achievement and growth. </w:t>
      </w:r>
    </w:p>
    <w:p w14:paraId="6FF4DFF0" w14:textId="524D25CC" w:rsidR="004A2444" w:rsidRPr="00EE14D5" w:rsidRDefault="004A2444" w:rsidP="00CA5853">
      <w:pPr>
        <w:pStyle w:val="Default"/>
        <w:numPr>
          <w:ilvl w:val="0"/>
          <w:numId w:val="137"/>
        </w:numPr>
        <w:contextualSpacing/>
        <w:rPr>
          <w:rFonts w:ascii="Arial" w:hAnsi="Arial" w:cs="Arial"/>
        </w:rPr>
      </w:pPr>
      <w:r w:rsidRPr="00EE14D5">
        <w:rPr>
          <w:rFonts w:ascii="Arial" w:hAnsi="Arial" w:cs="Arial"/>
        </w:rPr>
        <w:t>Student retesting during summer program</w:t>
      </w:r>
      <w:r w:rsidR="009434AA" w:rsidRPr="00EE14D5">
        <w:rPr>
          <w:rFonts w:ascii="Arial" w:hAnsi="Arial" w:cs="Arial"/>
        </w:rPr>
        <w:t xml:space="preserve">, </w:t>
      </w:r>
      <w:r w:rsidRPr="00EE14D5">
        <w:rPr>
          <w:rFonts w:ascii="Arial" w:hAnsi="Arial" w:cs="Arial"/>
        </w:rPr>
        <w:t>after the school year has concluded</w:t>
      </w:r>
      <w:r w:rsidR="009434AA" w:rsidRPr="00EE14D5">
        <w:rPr>
          <w:rFonts w:ascii="Arial" w:hAnsi="Arial" w:cs="Arial"/>
        </w:rPr>
        <w:t>,</w:t>
      </w:r>
      <w:r w:rsidRPr="00EE14D5">
        <w:rPr>
          <w:rFonts w:ascii="Arial" w:hAnsi="Arial" w:cs="Arial"/>
        </w:rPr>
        <w:t xml:space="preserve"> will have the higher test </w:t>
      </w:r>
      <w:r w:rsidR="000975E1" w:rsidRPr="00EE14D5">
        <w:rPr>
          <w:rFonts w:ascii="Arial" w:hAnsi="Arial" w:cs="Arial"/>
        </w:rPr>
        <w:t xml:space="preserve">score </w:t>
      </w:r>
      <w:r w:rsidRPr="00EE14D5">
        <w:rPr>
          <w:rFonts w:ascii="Arial" w:hAnsi="Arial" w:cs="Arial"/>
        </w:rPr>
        <w:t xml:space="preserve">applied to achievement but not growth. </w:t>
      </w:r>
    </w:p>
    <w:p w14:paraId="5DBBDA03" w14:textId="77777777" w:rsidR="00851E0A" w:rsidRPr="00EE14D5" w:rsidRDefault="00851E0A" w:rsidP="009F3658">
      <w:pPr>
        <w:rPr>
          <w:rFonts w:ascii="Arial" w:hAnsi="Arial" w:cs="Arial"/>
        </w:rPr>
      </w:pPr>
    </w:p>
    <w:p w14:paraId="5629C9B8" w14:textId="1050BC5C" w:rsidR="00851E0A" w:rsidRPr="009F3658" w:rsidRDefault="00851E0A" w:rsidP="009F3658">
      <w:pPr>
        <w:rPr>
          <w:rFonts w:ascii="Arial" w:hAnsi="Arial" w:cs="Arial"/>
        </w:rPr>
      </w:pPr>
      <w:r w:rsidRPr="00EE14D5">
        <w:rPr>
          <w:rFonts w:ascii="Arial" w:hAnsi="Arial" w:cs="Arial"/>
          <w:b/>
          <w:bCs/>
        </w:rPr>
        <w:t>Retesting for Third Grade Students</w:t>
      </w:r>
      <w:r w:rsidR="0031154B" w:rsidRPr="00EE14D5">
        <w:rPr>
          <w:rFonts w:ascii="Arial" w:hAnsi="Arial" w:cs="Arial"/>
          <w:b/>
          <w:bCs/>
        </w:rPr>
        <w:t>.</w:t>
      </w:r>
      <w:r w:rsidR="0031154B" w:rsidRPr="00EE14D5">
        <w:rPr>
          <w:rFonts w:ascii="Arial" w:hAnsi="Arial" w:cs="Arial"/>
        </w:rPr>
        <w:t xml:space="preserve"> </w:t>
      </w:r>
      <w:r w:rsidR="00ED6B08" w:rsidRPr="00EE14D5">
        <w:rPr>
          <w:rFonts w:ascii="Arial" w:hAnsi="Arial" w:cs="Arial"/>
        </w:rPr>
        <w:t xml:space="preserve">Students </w:t>
      </w:r>
      <w:r w:rsidR="001034CA" w:rsidRPr="00EE14D5">
        <w:rPr>
          <w:rFonts w:ascii="Arial" w:hAnsi="Arial" w:cs="Arial"/>
        </w:rPr>
        <w:t xml:space="preserve">in third grade </w:t>
      </w:r>
      <w:r w:rsidR="00C2551E" w:rsidRPr="00EE14D5">
        <w:rPr>
          <w:rFonts w:ascii="Arial" w:hAnsi="Arial" w:cs="Arial"/>
        </w:rPr>
        <w:t xml:space="preserve">that are not proficient </w:t>
      </w:r>
      <w:proofErr w:type="gramStart"/>
      <w:r w:rsidR="00C2551E" w:rsidRPr="00EE14D5">
        <w:rPr>
          <w:rFonts w:ascii="Arial" w:hAnsi="Arial" w:cs="Arial"/>
        </w:rPr>
        <w:t>on</w:t>
      </w:r>
      <w:proofErr w:type="gramEnd"/>
      <w:r w:rsidR="009F3658" w:rsidRPr="00EE14D5">
        <w:rPr>
          <w:rFonts w:ascii="Arial" w:hAnsi="Arial" w:cs="Arial"/>
        </w:rPr>
        <w:t xml:space="preserve"> </w:t>
      </w:r>
      <w:proofErr w:type="gramStart"/>
      <w:r w:rsidR="00C2551E" w:rsidRPr="00EE14D5">
        <w:rPr>
          <w:rFonts w:ascii="Arial" w:hAnsi="Arial" w:cs="Arial"/>
        </w:rPr>
        <w:t>the reading</w:t>
      </w:r>
      <w:proofErr w:type="gramEnd"/>
      <w:r w:rsidR="00C2551E" w:rsidRPr="00EE14D5">
        <w:rPr>
          <w:rFonts w:ascii="Arial" w:hAnsi="Arial" w:cs="Arial"/>
        </w:rPr>
        <w:t xml:space="preserve"> EOG </w:t>
      </w:r>
      <w:r w:rsidR="00B4422A" w:rsidRPr="00EE14D5">
        <w:rPr>
          <w:rFonts w:ascii="Arial" w:hAnsi="Arial" w:cs="Arial"/>
        </w:rPr>
        <w:t xml:space="preserve">assessment may </w:t>
      </w:r>
      <w:r w:rsidR="00695545" w:rsidRPr="00EE14D5">
        <w:rPr>
          <w:rFonts w:ascii="Arial" w:hAnsi="Arial" w:cs="Arial"/>
        </w:rPr>
        <w:t xml:space="preserve">participate in within year retesting (third grade EOG retest, </w:t>
      </w:r>
      <w:proofErr w:type="spellStart"/>
      <w:r w:rsidR="00695545" w:rsidRPr="00EE14D5">
        <w:rPr>
          <w:rFonts w:ascii="Arial" w:hAnsi="Arial" w:cs="Arial"/>
        </w:rPr>
        <w:t>RtA</w:t>
      </w:r>
      <w:proofErr w:type="spellEnd"/>
      <w:r w:rsidR="00695545" w:rsidRPr="00EE14D5">
        <w:rPr>
          <w:rFonts w:ascii="Arial" w:hAnsi="Arial" w:cs="Arial"/>
        </w:rPr>
        <w:t xml:space="preserve"> test, or both) or </w:t>
      </w:r>
      <w:r w:rsidR="00BF2E91" w:rsidRPr="00EE14D5">
        <w:rPr>
          <w:rFonts w:ascii="Arial" w:hAnsi="Arial" w:cs="Arial"/>
        </w:rPr>
        <w:t xml:space="preserve">retesting at the end of </w:t>
      </w:r>
      <w:r w:rsidR="00695545" w:rsidRPr="00EE14D5">
        <w:rPr>
          <w:rFonts w:ascii="Arial" w:hAnsi="Arial" w:cs="Arial"/>
        </w:rPr>
        <w:t>summer program</w:t>
      </w:r>
      <w:r w:rsidR="00BF2E91" w:rsidRPr="00EE14D5">
        <w:rPr>
          <w:rFonts w:ascii="Arial" w:hAnsi="Arial" w:cs="Arial"/>
        </w:rPr>
        <w:t xml:space="preserve"> (third grade EOG retest, </w:t>
      </w:r>
      <w:proofErr w:type="spellStart"/>
      <w:r w:rsidR="00BF2E91" w:rsidRPr="00EE14D5">
        <w:rPr>
          <w:rFonts w:ascii="Arial" w:hAnsi="Arial" w:cs="Arial"/>
        </w:rPr>
        <w:t>RtA</w:t>
      </w:r>
      <w:proofErr w:type="spellEnd"/>
      <w:r w:rsidR="00BF2E91" w:rsidRPr="00EE14D5">
        <w:rPr>
          <w:rFonts w:ascii="Arial" w:hAnsi="Arial" w:cs="Arial"/>
        </w:rPr>
        <w:t xml:space="preserve"> test, or both)</w:t>
      </w:r>
      <w:r w:rsidR="00965091" w:rsidRPr="00EE14D5">
        <w:rPr>
          <w:rFonts w:ascii="Arial" w:hAnsi="Arial" w:cs="Arial"/>
        </w:rPr>
        <w:t xml:space="preserve">. </w:t>
      </w:r>
      <w:r w:rsidR="00F02992" w:rsidRPr="00EE14D5">
        <w:rPr>
          <w:rFonts w:ascii="Arial" w:hAnsi="Arial" w:cs="Arial"/>
        </w:rPr>
        <w:t>Though students may participate in both assessments, only the first test administered after the initial reading EOG will be considered for inclusion in achievement and growth analyses for the accountability reports.</w:t>
      </w:r>
    </w:p>
    <w:p w14:paraId="6BB1CB4B" w14:textId="77777777" w:rsidR="002D16B6" w:rsidRPr="002D16B6" w:rsidRDefault="002D16B6" w:rsidP="00E577D7">
      <w:pPr>
        <w:pStyle w:val="BodyText"/>
        <w:spacing w:after="0" w:line="240" w:lineRule="auto"/>
      </w:pPr>
    </w:p>
    <w:p w14:paraId="2F5DE33B" w14:textId="6615345C" w:rsidR="002D6725" w:rsidRPr="001427AF" w:rsidRDefault="002D6725" w:rsidP="001514C3">
      <w:pPr>
        <w:pStyle w:val="Heading2"/>
      </w:pPr>
      <w:bookmarkStart w:id="314" w:name="_Toc135812512"/>
      <w:bookmarkStart w:id="315" w:name="_Toc136418893"/>
      <w:bookmarkStart w:id="316" w:name="_Toc136419149"/>
      <w:bookmarkStart w:id="317" w:name="_Toc225404963"/>
      <w:r w:rsidRPr="001427AF">
        <w:t xml:space="preserve">English </w:t>
      </w:r>
      <w:r w:rsidR="004501EB" w:rsidRPr="001427AF">
        <w:t>L</w:t>
      </w:r>
      <w:r w:rsidRPr="001427AF">
        <w:t xml:space="preserve">earner </w:t>
      </w:r>
      <w:r w:rsidR="004501EB" w:rsidRPr="001427AF">
        <w:t>P</w:t>
      </w:r>
      <w:r w:rsidRPr="001427AF">
        <w:t xml:space="preserve">rogress </w:t>
      </w:r>
      <w:r w:rsidR="00ED60F1" w:rsidRPr="001427AF">
        <w:t>Calculation</w:t>
      </w:r>
      <w:bookmarkEnd w:id="314"/>
      <w:bookmarkEnd w:id="315"/>
      <w:bookmarkEnd w:id="316"/>
      <w:bookmarkEnd w:id="317"/>
    </w:p>
    <w:p w14:paraId="26545D98" w14:textId="2154033E" w:rsidR="00F03189" w:rsidRPr="001427AF" w:rsidRDefault="00F03189" w:rsidP="00CA5853">
      <w:pPr>
        <w:pStyle w:val="Default"/>
        <w:numPr>
          <w:ilvl w:val="0"/>
          <w:numId w:val="27"/>
        </w:numPr>
        <w:ind w:left="360"/>
        <w:contextualSpacing/>
        <w:rPr>
          <w:rFonts w:ascii="Arial" w:hAnsi="Arial" w:cs="Arial"/>
        </w:rPr>
      </w:pPr>
      <w:r w:rsidRPr="001427AF">
        <w:rPr>
          <w:rFonts w:ascii="Arial" w:hAnsi="Arial" w:cs="Arial"/>
        </w:rPr>
        <w:t xml:space="preserve">The denominator is the number of ELs in grades </w:t>
      </w:r>
      <w:r w:rsidR="00B0510D" w:rsidRPr="001427AF">
        <w:rPr>
          <w:rFonts w:ascii="Arial" w:hAnsi="Arial" w:cs="Arial"/>
        </w:rPr>
        <w:t>3–8</w:t>
      </w:r>
      <w:r w:rsidRPr="001427AF">
        <w:rPr>
          <w:rFonts w:ascii="Arial" w:hAnsi="Arial" w:cs="Arial"/>
        </w:rPr>
        <w:t xml:space="preserve"> and </w:t>
      </w:r>
      <w:r w:rsidR="00B0510D" w:rsidRPr="001427AF">
        <w:rPr>
          <w:rFonts w:ascii="Arial" w:hAnsi="Arial" w:cs="Arial"/>
        </w:rPr>
        <w:t>10</w:t>
      </w:r>
      <w:r w:rsidRPr="001427AF">
        <w:rPr>
          <w:rFonts w:ascii="Arial" w:hAnsi="Arial" w:cs="Arial"/>
        </w:rPr>
        <w:t xml:space="preserve">. </w:t>
      </w:r>
    </w:p>
    <w:p w14:paraId="0D9768DD" w14:textId="7D7BC2C8" w:rsidR="00F03189" w:rsidRPr="00573538" w:rsidRDefault="00F03189" w:rsidP="00CA5853">
      <w:pPr>
        <w:pStyle w:val="Default"/>
        <w:numPr>
          <w:ilvl w:val="0"/>
          <w:numId w:val="27"/>
        </w:numPr>
        <w:ind w:left="360"/>
        <w:contextualSpacing/>
        <w:rPr>
          <w:rFonts w:ascii="Arial" w:hAnsi="Arial" w:cs="Arial"/>
        </w:rPr>
      </w:pPr>
      <w:r w:rsidRPr="001427AF">
        <w:rPr>
          <w:rFonts w:ascii="Arial" w:hAnsi="Arial" w:cs="Arial"/>
        </w:rPr>
        <w:t xml:space="preserve">The numerator is the number of ELs who met North Carolina’s definition of progress toward English language attainment as demonstrated on the language proficiency test, including exiting the </w:t>
      </w:r>
      <w:r w:rsidR="00E01839" w:rsidRPr="001427AF">
        <w:rPr>
          <w:rFonts w:ascii="Arial" w:hAnsi="Arial" w:cs="Arial"/>
        </w:rPr>
        <w:t>EL</w:t>
      </w:r>
      <w:r w:rsidRPr="001427AF">
        <w:rPr>
          <w:rFonts w:ascii="Arial" w:hAnsi="Arial" w:cs="Arial"/>
        </w:rPr>
        <w:t xml:space="preserve"> status. See Section 6 </w:t>
      </w:r>
      <w:r w:rsidR="00CE7B8E" w:rsidRPr="001427AF">
        <w:rPr>
          <w:rFonts w:ascii="Arial" w:hAnsi="Arial" w:cs="Arial"/>
        </w:rPr>
        <w:t xml:space="preserve">of this guide </w:t>
      </w:r>
      <w:r w:rsidRPr="001427AF">
        <w:rPr>
          <w:rFonts w:ascii="Arial" w:hAnsi="Arial" w:cs="Arial"/>
        </w:rPr>
        <w:t xml:space="preserve">for more details. </w:t>
      </w:r>
    </w:p>
    <w:p w14:paraId="01C3F5B5" w14:textId="77777777" w:rsidR="002D6725" w:rsidRPr="00573538" w:rsidRDefault="002D6725" w:rsidP="00E568CE">
      <w:pPr>
        <w:pStyle w:val="Default"/>
        <w:contextualSpacing/>
        <w:rPr>
          <w:rFonts w:ascii="Arial" w:hAnsi="Arial" w:cs="Arial"/>
        </w:rPr>
      </w:pPr>
      <w:r w:rsidRPr="00573538">
        <w:rPr>
          <w:rFonts w:ascii="Arial" w:hAnsi="Arial" w:cs="Arial"/>
        </w:rPr>
        <w:t xml:space="preserve"> </w:t>
      </w:r>
    </w:p>
    <w:p w14:paraId="07AD58DF" w14:textId="00D6FA06" w:rsidR="00CF7CB7" w:rsidRPr="00573538" w:rsidRDefault="00CF7CB7" w:rsidP="001514C3">
      <w:pPr>
        <w:pStyle w:val="Heading2"/>
      </w:pPr>
      <w:bookmarkStart w:id="318" w:name="_Toc135812513"/>
      <w:bookmarkStart w:id="319" w:name="_Toc136418894"/>
      <w:bookmarkStart w:id="320" w:name="_Toc136419150"/>
      <w:bookmarkStart w:id="321" w:name="_Toc225404964"/>
      <w:r w:rsidRPr="00573538">
        <w:t>Four</w:t>
      </w:r>
      <w:r w:rsidR="00B55A9F" w:rsidRPr="00573538">
        <w:t>-Year Cohort Graduation Rate</w:t>
      </w:r>
      <w:r w:rsidR="00E67F8E" w:rsidRPr="00573538">
        <w:t xml:space="preserve"> Calculation</w:t>
      </w:r>
      <w:bookmarkEnd w:id="318"/>
      <w:bookmarkEnd w:id="319"/>
      <w:bookmarkEnd w:id="320"/>
      <w:bookmarkEnd w:id="321"/>
      <w:r w:rsidR="00B55A9F" w:rsidRPr="00573538">
        <w:t xml:space="preserve"> </w:t>
      </w:r>
    </w:p>
    <w:p w14:paraId="66297C61" w14:textId="77777777" w:rsidR="001F355F" w:rsidRPr="001427AF" w:rsidRDefault="001F355F" w:rsidP="001F355F">
      <w:pPr>
        <w:pStyle w:val="Default"/>
        <w:contextualSpacing/>
        <w:rPr>
          <w:rFonts w:ascii="Arial" w:hAnsi="Arial" w:cs="Arial"/>
        </w:rPr>
      </w:pPr>
      <w:r w:rsidRPr="001427AF">
        <w:rPr>
          <w:rFonts w:ascii="Arial" w:hAnsi="Arial" w:cs="Arial"/>
        </w:rPr>
        <w:t>The Cohort Graduation Rate is the number of students that are part of a designated cohort.</w:t>
      </w:r>
    </w:p>
    <w:p w14:paraId="60959404" w14:textId="77777777" w:rsidR="001F355F" w:rsidRPr="001427AF" w:rsidRDefault="001F355F" w:rsidP="00CA5853">
      <w:pPr>
        <w:pStyle w:val="Default"/>
        <w:numPr>
          <w:ilvl w:val="0"/>
          <w:numId w:val="56"/>
        </w:numPr>
        <w:ind w:left="360"/>
        <w:contextualSpacing/>
        <w:rPr>
          <w:rFonts w:ascii="Arial" w:hAnsi="Arial" w:cs="Arial"/>
        </w:rPr>
      </w:pPr>
      <w:r w:rsidRPr="001427AF">
        <w:rPr>
          <w:rFonts w:ascii="Arial" w:hAnsi="Arial" w:cs="Arial"/>
        </w:rPr>
        <w:t>The denominator is the total number of students in the current year’s cohort expected to graduate in four years or less.</w:t>
      </w:r>
    </w:p>
    <w:p w14:paraId="655C442E" w14:textId="50E7FD79" w:rsidR="001F355F" w:rsidRPr="001427AF" w:rsidRDefault="001F355F" w:rsidP="00CA5853">
      <w:pPr>
        <w:pStyle w:val="Default"/>
        <w:numPr>
          <w:ilvl w:val="0"/>
          <w:numId w:val="56"/>
        </w:numPr>
        <w:ind w:left="360"/>
        <w:contextualSpacing/>
        <w:rPr>
          <w:rFonts w:ascii="Arial" w:hAnsi="Arial" w:cs="Arial"/>
        </w:rPr>
      </w:pPr>
      <w:r w:rsidRPr="001427AF">
        <w:rPr>
          <w:rFonts w:ascii="Arial" w:hAnsi="Arial" w:cs="Arial"/>
        </w:rPr>
        <w:t>The numerator is the number of students who graduate (</w:t>
      </w:r>
      <w:r w:rsidR="00CE7B8E" w:rsidRPr="001427AF">
        <w:rPr>
          <w:rFonts w:ascii="Arial" w:hAnsi="Arial" w:cs="Arial"/>
        </w:rPr>
        <w:t xml:space="preserve">i.e., </w:t>
      </w:r>
      <w:r w:rsidRPr="001427AF">
        <w:rPr>
          <w:rFonts w:ascii="Arial" w:hAnsi="Arial" w:cs="Arial"/>
        </w:rPr>
        <w:t xml:space="preserve">earned a high school diploma) in four years or less, as defined by the designated cohort. </w:t>
      </w:r>
    </w:p>
    <w:p w14:paraId="208C3D62" w14:textId="12BEE8FF" w:rsidR="00B55A9F" w:rsidRPr="001427AF" w:rsidRDefault="00B55A9F" w:rsidP="00E568CE">
      <w:pPr>
        <w:pStyle w:val="Default"/>
        <w:contextualSpacing/>
        <w:rPr>
          <w:rFonts w:ascii="Arial" w:hAnsi="Arial" w:cs="Arial"/>
        </w:rPr>
      </w:pPr>
    </w:p>
    <w:p w14:paraId="04D818B1" w14:textId="6C15328B" w:rsidR="000430BE" w:rsidRPr="001427AF" w:rsidRDefault="007431DD" w:rsidP="001514C3">
      <w:pPr>
        <w:pStyle w:val="Heading2"/>
      </w:pPr>
      <w:bookmarkStart w:id="322" w:name="_Toc135812514"/>
      <w:bookmarkStart w:id="323" w:name="_Toc136418895"/>
      <w:bookmarkStart w:id="324" w:name="_Toc136419151"/>
      <w:bookmarkStart w:id="325" w:name="_Toc225404965"/>
      <w:r w:rsidRPr="001427AF">
        <w:t xml:space="preserve">Math </w:t>
      </w:r>
      <w:r w:rsidR="000430BE" w:rsidRPr="001427AF">
        <w:t>Course Rigor</w:t>
      </w:r>
      <w:r w:rsidR="00E662B2" w:rsidRPr="001427AF">
        <w:t xml:space="preserve"> Calculation</w:t>
      </w:r>
      <w:bookmarkStart w:id="326" w:name="MathCourseRigor"/>
      <w:bookmarkEnd w:id="322"/>
      <w:bookmarkEnd w:id="323"/>
      <w:bookmarkEnd w:id="324"/>
      <w:bookmarkEnd w:id="325"/>
      <w:r w:rsidR="000430BE" w:rsidRPr="001427AF">
        <w:t xml:space="preserve"> </w:t>
      </w:r>
    </w:p>
    <w:bookmarkEnd w:id="326"/>
    <w:p w14:paraId="600C6B11" w14:textId="08738A29" w:rsidR="00711AE6" w:rsidRPr="001427AF" w:rsidRDefault="00711AE6" w:rsidP="00CA5853">
      <w:pPr>
        <w:pStyle w:val="Default"/>
        <w:numPr>
          <w:ilvl w:val="0"/>
          <w:numId w:val="26"/>
        </w:numPr>
        <w:contextualSpacing/>
        <w:rPr>
          <w:rFonts w:ascii="Arial" w:hAnsi="Arial" w:cs="Arial"/>
        </w:rPr>
      </w:pPr>
      <w:r w:rsidRPr="001427AF">
        <w:rPr>
          <w:rFonts w:ascii="Arial" w:hAnsi="Arial" w:cs="Arial"/>
        </w:rPr>
        <w:t xml:space="preserve">The denominator is based on all grade </w:t>
      </w:r>
      <w:r w:rsidR="00AF1649" w:rsidRPr="001427AF">
        <w:rPr>
          <w:rFonts w:ascii="Arial" w:hAnsi="Arial" w:cs="Arial"/>
        </w:rPr>
        <w:t>12</w:t>
      </w:r>
      <w:r w:rsidRPr="001427AF">
        <w:rPr>
          <w:rFonts w:ascii="Arial" w:hAnsi="Arial" w:cs="Arial"/>
        </w:rPr>
        <w:t xml:space="preserve"> students. Grade </w:t>
      </w:r>
      <w:r w:rsidR="008D7050" w:rsidRPr="001427AF">
        <w:rPr>
          <w:rFonts w:ascii="Arial" w:hAnsi="Arial" w:cs="Arial"/>
        </w:rPr>
        <w:t>12</w:t>
      </w:r>
      <w:r w:rsidRPr="001427AF">
        <w:rPr>
          <w:rFonts w:ascii="Arial" w:hAnsi="Arial" w:cs="Arial"/>
        </w:rPr>
        <w:t xml:space="preserve"> students are determined by the grade level at each school’s first day of spring data collection </w:t>
      </w:r>
      <w:r w:rsidRPr="001427AF">
        <w:rPr>
          <w:rFonts w:ascii="Arial" w:hAnsi="Arial" w:cs="Arial"/>
        </w:rPr>
        <w:lastRenderedPageBreak/>
        <w:t xml:space="preserve">along with mid-year graduates, or mid-year certificate earners who were also in grade </w:t>
      </w:r>
      <w:r w:rsidR="00887009" w:rsidRPr="001427AF">
        <w:rPr>
          <w:rFonts w:ascii="Arial" w:hAnsi="Arial" w:cs="Arial"/>
        </w:rPr>
        <w:t>12</w:t>
      </w:r>
      <w:r w:rsidRPr="001427AF">
        <w:rPr>
          <w:rFonts w:ascii="Arial" w:hAnsi="Arial" w:cs="Arial"/>
        </w:rPr>
        <w:t xml:space="preserve"> on the first day of fall data collection. </w:t>
      </w:r>
    </w:p>
    <w:p w14:paraId="5774563F" w14:textId="77777777" w:rsidR="00711AE6" w:rsidRPr="001427AF" w:rsidRDefault="00711AE6" w:rsidP="00CA5853">
      <w:pPr>
        <w:pStyle w:val="Default"/>
        <w:numPr>
          <w:ilvl w:val="0"/>
          <w:numId w:val="10"/>
        </w:numPr>
        <w:ind w:left="720"/>
        <w:contextualSpacing/>
        <w:rPr>
          <w:rFonts w:ascii="Arial" w:hAnsi="Arial" w:cs="Arial"/>
        </w:rPr>
      </w:pPr>
      <w:r w:rsidRPr="001427AF">
        <w:rPr>
          <w:rFonts w:ascii="Arial" w:hAnsi="Arial" w:cs="Arial"/>
        </w:rPr>
        <w:t xml:space="preserve">Students who transfer into a school are included in the denominator. </w:t>
      </w:r>
    </w:p>
    <w:p w14:paraId="251D9E62" w14:textId="6A149BB3" w:rsidR="00711AE6" w:rsidRPr="001427AF" w:rsidRDefault="00711AE6" w:rsidP="00CA5853">
      <w:pPr>
        <w:pStyle w:val="Default"/>
        <w:numPr>
          <w:ilvl w:val="0"/>
          <w:numId w:val="10"/>
        </w:numPr>
        <w:ind w:left="720"/>
        <w:rPr>
          <w:rFonts w:ascii="Arial" w:hAnsi="Arial" w:cs="Arial"/>
        </w:rPr>
      </w:pPr>
      <w:r w:rsidRPr="001427AF">
        <w:rPr>
          <w:rFonts w:ascii="Arial" w:hAnsi="Arial" w:cs="Arial"/>
        </w:rPr>
        <w:t xml:space="preserve">Students who are instructed in the NC Extended Content Standards or on the Occupational Course of </w:t>
      </w:r>
      <w:r w:rsidR="00CE7B8E" w:rsidRPr="001427AF">
        <w:rPr>
          <w:rFonts w:ascii="Arial" w:hAnsi="Arial" w:cs="Arial"/>
        </w:rPr>
        <w:t>S</w:t>
      </w:r>
      <w:r w:rsidRPr="001427AF">
        <w:rPr>
          <w:rFonts w:ascii="Arial" w:hAnsi="Arial" w:cs="Arial"/>
        </w:rPr>
        <w:t>tudy are included in the denominator.</w:t>
      </w:r>
    </w:p>
    <w:p w14:paraId="3DFFBE8A" w14:textId="77777777" w:rsidR="00711AE6" w:rsidRPr="001427AF" w:rsidRDefault="00711AE6" w:rsidP="00CA5853">
      <w:pPr>
        <w:pStyle w:val="Default"/>
        <w:numPr>
          <w:ilvl w:val="0"/>
          <w:numId w:val="26"/>
        </w:numPr>
        <w:rPr>
          <w:rFonts w:ascii="Arial" w:hAnsi="Arial" w:cs="Arial"/>
        </w:rPr>
      </w:pPr>
      <w:r w:rsidRPr="001427AF">
        <w:rPr>
          <w:rFonts w:ascii="Arial" w:hAnsi="Arial" w:cs="Arial"/>
        </w:rPr>
        <w:t xml:space="preserve">The numerator is the number of grade </w:t>
      </w:r>
      <w:r w:rsidR="009C216A" w:rsidRPr="001427AF">
        <w:rPr>
          <w:rFonts w:ascii="Arial" w:hAnsi="Arial" w:cs="Arial"/>
        </w:rPr>
        <w:t>12</w:t>
      </w:r>
      <w:r w:rsidRPr="001427AF">
        <w:rPr>
          <w:rFonts w:ascii="Arial" w:hAnsi="Arial" w:cs="Arial"/>
        </w:rPr>
        <w:t xml:space="preserve"> students who have earned credit in the NC Math 3 course.</w:t>
      </w:r>
    </w:p>
    <w:p w14:paraId="3128A7DC" w14:textId="77777777" w:rsidR="00AE5493" w:rsidRPr="001427AF" w:rsidRDefault="00AE5493" w:rsidP="00AE5493">
      <w:pPr>
        <w:pStyle w:val="Default"/>
        <w:rPr>
          <w:rFonts w:ascii="Arial" w:hAnsi="Arial" w:cs="Arial"/>
        </w:rPr>
      </w:pPr>
    </w:p>
    <w:p w14:paraId="1C60F7C3" w14:textId="77777777" w:rsidR="00AE5493" w:rsidRDefault="00AE5493" w:rsidP="00AE5493">
      <w:pPr>
        <w:pStyle w:val="Default"/>
        <w:rPr>
          <w:rFonts w:ascii="Arial" w:hAnsi="Arial" w:cs="Arial"/>
        </w:rPr>
      </w:pPr>
      <w:r w:rsidRPr="001427AF">
        <w:rPr>
          <w:rFonts w:ascii="Arial" w:hAnsi="Arial" w:cs="Arial"/>
          <w:i/>
          <w:iCs/>
        </w:rPr>
        <w:t>Note:</w:t>
      </w:r>
      <w:r w:rsidRPr="001427AF">
        <w:rPr>
          <w:rFonts w:ascii="Arial" w:hAnsi="Arial" w:cs="Arial"/>
        </w:rPr>
        <w:t xml:space="preserve"> If the student has earned credit in the course, they will count </w:t>
      </w:r>
      <w:proofErr w:type="gramStart"/>
      <w:r w:rsidRPr="001427AF">
        <w:rPr>
          <w:rFonts w:ascii="Arial" w:hAnsi="Arial" w:cs="Arial"/>
        </w:rPr>
        <w:t>in</w:t>
      </w:r>
      <w:proofErr w:type="gramEnd"/>
      <w:r w:rsidRPr="001427AF">
        <w:rPr>
          <w:rFonts w:ascii="Arial" w:hAnsi="Arial" w:cs="Arial"/>
        </w:rPr>
        <w:t xml:space="preserve"> the MCR calculation. NC Math 3 end-of-course test proficiency results are not part of the MCR calculation.  </w:t>
      </w:r>
    </w:p>
    <w:p w14:paraId="7F26E369" w14:textId="68CADE07" w:rsidR="00245559" w:rsidRPr="00573538" w:rsidRDefault="00245559" w:rsidP="00AE5493">
      <w:pPr>
        <w:pStyle w:val="Default"/>
        <w:rPr>
          <w:rFonts w:ascii="Arial" w:hAnsi="Arial" w:cs="Arial"/>
          <w:b/>
          <w:bCs/>
        </w:rPr>
        <w:sectPr w:rsidR="00245559" w:rsidRPr="00573538" w:rsidSect="0000038D">
          <w:headerReference w:type="even" r:id="rId23"/>
          <w:headerReference w:type="default" r:id="rId24"/>
          <w:headerReference w:type="first" r:id="rId25"/>
          <w:footerReference w:type="first" r:id="rId26"/>
          <w:footnotePr>
            <w:pos w:val="beneathText"/>
            <w:numRestart w:val="eachSect"/>
          </w:footnotePr>
          <w:pgSz w:w="12240" w:h="15840"/>
          <w:pgMar w:top="1440" w:right="1440" w:bottom="1440" w:left="1440" w:header="720" w:footer="432" w:gutter="0"/>
          <w:cols w:space="720"/>
          <w:noEndnote/>
          <w:docGrid w:linePitch="326"/>
        </w:sectPr>
      </w:pPr>
    </w:p>
    <w:p w14:paraId="3ACE50BF" w14:textId="19534EBA" w:rsidR="009D54CF" w:rsidRPr="00573538" w:rsidRDefault="00903EFC" w:rsidP="00D32024">
      <w:pPr>
        <w:pStyle w:val="Heading1"/>
        <w:rPr>
          <w:rStyle w:val="Emphasis"/>
          <w:bCs/>
          <w:caps w:val="0"/>
          <w:color w:val="000000"/>
          <w:kern w:val="0"/>
          <w:sz w:val="28"/>
          <w:szCs w:val="24"/>
        </w:rPr>
      </w:pPr>
      <w:bookmarkStart w:id="327" w:name="_Toc116913530"/>
      <w:bookmarkStart w:id="328" w:name="_Toc116913732"/>
      <w:bookmarkStart w:id="329" w:name="_Toc117160474"/>
      <w:bookmarkStart w:id="330" w:name="_Toc135812515"/>
      <w:bookmarkStart w:id="331" w:name="_Toc136418896"/>
      <w:bookmarkStart w:id="332" w:name="_Toc136419152"/>
      <w:bookmarkStart w:id="333" w:name="_Toc225404966"/>
      <w:bookmarkEnd w:id="327"/>
      <w:bookmarkEnd w:id="328"/>
      <w:bookmarkEnd w:id="329"/>
      <w:r w:rsidRPr="00573538">
        <w:rPr>
          <w:rStyle w:val="Emphasis"/>
          <w:bCs/>
          <w:caps w:val="0"/>
          <w:sz w:val="28"/>
        </w:rPr>
        <w:lastRenderedPageBreak/>
        <w:t xml:space="preserve">Participation Requirements for School Performance Grades and Long-Term </w:t>
      </w:r>
      <w:r w:rsidR="002E2546" w:rsidRPr="00573538">
        <w:rPr>
          <w:rStyle w:val="Emphasis"/>
          <w:bCs/>
          <w:caps w:val="0"/>
          <w:sz w:val="28"/>
        </w:rPr>
        <w:t>G</w:t>
      </w:r>
      <w:r w:rsidRPr="00573538">
        <w:rPr>
          <w:rStyle w:val="Emphasis"/>
          <w:bCs/>
          <w:caps w:val="0"/>
          <w:sz w:val="28"/>
        </w:rPr>
        <w:t>oals</w:t>
      </w:r>
      <w:bookmarkEnd w:id="330"/>
      <w:bookmarkEnd w:id="331"/>
      <w:bookmarkEnd w:id="332"/>
      <w:bookmarkEnd w:id="333"/>
      <w:r w:rsidR="0054650D" w:rsidRPr="00573538">
        <w:rPr>
          <w:rStyle w:val="Emphasis"/>
          <w:bCs/>
          <w:caps w:val="0"/>
          <w:sz w:val="28"/>
        </w:rPr>
        <w:fldChar w:fldCharType="begin"/>
      </w:r>
      <w:r w:rsidR="0054650D" w:rsidRPr="00573538">
        <w:rPr>
          <w:bCs/>
        </w:rPr>
        <w:instrText xml:space="preserve"> XE "</w:instrText>
      </w:r>
      <w:r w:rsidR="0054650D" w:rsidRPr="00573538">
        <w:rPr>
          <w:rStyle w:val="Emphasis"/>
          <w:bCs/>
          <w:caps w:val="0"/>
          <w:sz w:val="28"/>
        </w:rPr>
        <w:instrText>Participation Requirements for School Performance Grades and Long-Term Goals</w:instrText>
      </w:r>
      <w:r w:rsidR="0054650D" w:rsidRPr="00573538">
        <w:rPr>
          <w:bCs/>
        </w:rPr>
        <w:instrText xml:space="preserve">" </w:instrText>
      </w:r>
      <w:r w:rsidR="0054650D" w:rsidRPr="00573538">
        <w:rPr>
          <w:rStyle w:val="Emphasis"/>
          <w:bCs/>
          <w:caps w:val="0"/>
          <w:sz w:val="28"/>
        </w:rPr>
        <w:fldChar w:fldCharType="end"/>
      </w:r>
    </w:p>
    <w:p w14:paraId="64907254" w14:textId="77777777" w:rsidR="000D4D7F" w:rsidRPr="001427AF" w:rsidRDefault="000D4D7F" w:rsidP="00125190">
      <w:pPr>
        <w:rPr>
          <w:rStyle w:val="Emphasis"/>
          <w:rFonts w:ascii="Arial" w:hAnsi="Arial" w:cs="Arial"/>
          <w:caps w:val="0"/>
          <w:sz w:val="24"/>
        </w:rPr>
      </w:pPr>
    </w:p>
    <w:p w14:paraId="4C56D398" w14:textId="5640E5EE" w:rsidR="00CC7F73" w:rsidRPr="00B27809" w:rsidRDefault="002E2546" w:rsidP="001514C3">
      <w:pPr>
        <w:pStyle w:val="Heading2"/>
        <w:rPr>
          <w:rStyle w:val="Emphasis"/>
          <w:caps w:val="0"/>
          <w:kern w:val="16"/>
          <w:sz w:val="24"/>
          <w:szCs w:val="28"/>
        </w:rPr>
      </w:pPr>
      <w:bookmarkStart w:id="334" w:name="_Toc135812516"/>
      <w:bookmarkStart w:id="335" w:name="_Toc136418897"/>
      <w:bookmarkStart w:id="336" w:name="_Toc136419153"/>
      <w:bookmarkStart w:id="337" w:name="_Toc225404967"/>
      <w:r w:rsidRPr="00B27809">
        <w:rPr>
          <w:rStyle w:val="Emphasis"/>
          <w:caps w:val="0"/>
          <w:sz w:val="24"/>
        </w:rPr>
        <w:t xml:space="preserve">Participation Requirements </w:t>
      </w:r>
      <w:r w:rsidR="003D7112" w:rsidRPr="00B27809">
        <w:rPr>
          <w:rStyle w:val="Emphasis"/>
          <w:caps w:val="0"/>
          <w:sz w:val="24"/>
        </w:rPr>
        <w:t>u</w:t>
      </w:r>
      <w:r w:rsidRPr="00B27809">
        <w:rPr>
          <w:rStyle w:val="Emphasis"/>
          <w:caps w:val="0"/>
          <w:sz w:val="24"/>
        </w:rPr>
        <w:t xml:space="preserve">nder </w:t>
      </w:r>
      <w:r w:rsidR="00AE022C" w:rsidRPr="00B27809">
        <w:rPr>
          <w:rStyle w:val="Emphasis"/>
          <w:caps w:val="0"/>
          <w:sz w:val="24"/>
        </w:rPr>
        <w:t>Federal Law</w:t>
      </w:r>
      <w:bookmarkEnd w:id="334"/>
      <w:bookmarkEnd w:id="335"/>
      <w:bookmarkEnd w:id="336"/>
      <w:bookmarkEnd w:id="337"/>
      <w:r w:rsidR="00C27B95" w:rsidRPr="00B27809">
        <w:rPr>
          <w:rStyle w:val="Emphasis"/>
          <w:sz w:val="24"/>
        </w:rPr>
        <w:t xml:space="preserve"> </w:t>
      </w:r>
    </w:p>
    <w:p w14:paraId="48DF5125" w14:textId="77777777" w:rsidR="009F1B65" w:rsidRPr="001427AF" w:rsidRDefault="009F1B65" w:rsidP="009F1B65">
      <w:pPr>
        <w:pStyle w:val="paragraph"/>
        <w:spacing w:before="0" w:beforeAutospacing="0" w:after="0" w:afterAutospacing="0"/>
        <w:contextualSpacing/>
        <w:textAlignment w:val="baseline"/>
        <w:rPr>
          <w:rFonts w:ascii="Arial" w:hAnsi="Arial" w:cs="Arial"/>
        </w:rPr>
      </w:pPr>
      <w:r w:rsidRPr="001427AF">
        <w:rPr>
          <w:rStyle w:val="normaltextrun"/>
          <w:rFonts w:ascii="Arial" w:hAnsi="Arial" w:cs="Arial"/>
        </w:rPr>
        <w:t xml:space="preserve">Section 1111(c)(4)(E) of the </w:t>
      </w:r>
      <w:r w:rsidRPr="001427AF">
        <w:rPr>
          <w:rStyle w:val="normaltextrun"/>
          <w:rFonts w:ascii="Arial" w:hAnsi="Arial" w:cs="Arial"/>
          <w:i/>
        </w:rPr>
        <w:t>Elementary and Secondary Education Act</w:t>
      </w:r>
      <w:r w:rsidRPr="001427AF">
        <w:rPr>
          <w:rStyle w:val="normaltextrun"/>
          <w:rFonts w:ascii="Arial" w:hAnsi="Arial" w:cs="Arial"/>
        </w:rPr>
        <w:t xml:space="preserve"> (ESEA) of 1965 defines expectations for assessing all students in reading and mathematics as follows:</w:t>
      </w:r>
      <w:r w:rsidRPr="001427AF">
        <w:rPr>
          <w:rStyle w:val="eop"/>
          <w:rFonts w:ascii="Arial" w:hAnsi="Arial" w:cs="Arial"/>
        </w:rPr>
        <w:t> </w:t>
      </w:r>
    </w:p>
    <w:p w14:paraId="3A38C94A" w14:textId="77777777" w:rsidR="009F1B65" w:rsidRPr="001427AF" w:rsidRDefault="009F1B65" w:rsidP="009F1B65">
      <w:pPr>
        <w:pStyle w:val="paragraph"/>
        <w:spacing w:before="0" w:beforeAutospacing="0" w:after="0" w:afterAutospacing="0"/>
        <w:contextualSpacing/>
        <w:textAlignment w:val="baseline"/>
        <w:rPr>
          <w:rFonts w:ascii="Arial" w:hAnsi="Arial" w:cs="Arial"/>
        </w:rPr>
      </w:pPr>
      <w:r w:rsidRPr="001427AF">
        <w:rPr>
          <w:rStyle w:val="eop"/>
          <w:rFonts w:ascii="Arial" w:hAnsi="Arial" w:cs="Arial"/>
        </w:rPr>
        <w:t> </w:t>
      </w:r>
    </w:p>
    <w:p w14:paraId="2F8EF559" w14:textId="77777777" w:rsidR="009F1B65" w:rsidRPr="001427AF" w:rsidRDefault="009F1B65" w:rsidP="009F1B65">
      <w:pPr>
        <w:pStyle w:val="paragraph"/>
        <w:spacing w:before="0" w:beforeAutospacing="0" w:after="0" w:afterAutospacing="0"/>
        <w:contextualSpacing/>
        <w:textAlignment w:val="baseline"/>
        <w:rPr>
          <w:rFonts w:ascii="Arial" w:hAnsi="Arial" w:cs="Arial"/>
        </w:rPr>
      </w:pPr>
      <w:proofErr w:type="gramStart"/>
      <w:r w:rsidRPr="001427AF">
        <w:rPr>
          <w:rStyle w:val="normaltextrun"/>
          <w:rFonts w:ascii="Arial" w:hAnsi="Arial" w:cs="Arial"/>
        </w:rPr>
        <w:t>“(E) ANNUAL MEASUREMENT</w:t>
      </w:r>
      <w:proofErr w:type="gramEnd"/>
      <w:r w:rsidRPr="001427AF">
        <w:rPr>
          <w:rStyle w:val="normaltextrun"/>
          <w:rFonts w:ascii="Arial" w:hAnsi="Arial" w:cs="Arial"/>
        </w:rPr>
        <w:t xml:space="preserve"> OF ACHIEVEMENT—</w:t>
      </w:r>
    </w:p>
    <w:p w14:paraId="1A672C87" w14:textId="77777777" w:rsidR="009F1B65" w:rsidRPr="001427AF" w:rsidRDefault="009F1B65" w:rsidP="009F1B65">
      <w:pPr>
        <w:pStyle w:val="paragraph"/>
        <w:spacing w:before="0" w:beforeAutospacing="0" w:after="0" w:afterAutospacing="0"/>
        <w:ind w:left="705"/>
        <w:contextualSpacing/>
        <w:textAlignment w:val="baseline"/>
        <w:rPr>
          <w:rFonts w:ascii="Arial" w:hAnsi="Arial" w:cs="Arial"/>
        </w:rPr>
      </w:pPr>
      <w:r w:rsidRPr="001427AF">
        <w:rPr>
          <w:rStyle w:val="normaltextrun"/>
          <w:rFonts w:ascii="Arial" w:hAnsi="Arial" w:cs="Arial"/>
        </w:rPr>
        <w:t>(</w:t>
      </w:r>
      <w:proofErr w:type="spellStart"/>
      <w:r w:rsidRPr="001427AF">
        <w:rPr>
          <w:rStyle w:val="normaltextrun"/>
          <w:rFonts w:ascii="Arial" w:hAnsi="Arial" w:cs="Arial"/>
        </w:rPr>
        <w:t>i</w:t>
      </w:r>
      <w:proofErr w:type="spellEnd"/>
      <w:r w:rsidRPr="001427AF">
        <w:rPr>
          <w:rStyle w:val="normaltextrun"/>
          <w:rFonts w:ascii="Arial" w:hAnsi="Arial" w:cs="Arial"/>
        </w:rPr>
        <w:t>) Annually measure the achievement of not less than 95 percent of all students, and 95 percent of all students in each subgroup of students, who are enrolled in public schools on the assessments described under subsection (b)(2)(B)(v)(I).</w:t>
      </w:r>
    </w:p>
    <w:p w14:paraId="0323FEAE" w14:textId="77777777" w:rsidR="009F1B65" w:rsidRPr="001427AF" w:rsidRDefault="009F1B65" w:rsidP="009F1B65">
      <w:pPr>
        <w:pStyle w:val="paragraph"/>
        <w:spacing w:before="0" w:beforeAutospacing="0" w:after="0" w:afterAutospacing="0"/>
        <w:ind w:left="705"/>
        <w:contextualSpacing/>
        <w:textAlignment w:val="baseline"/>
        <w:rPr>
          <w:rFonts w:ascii="Arial" w:hAnsi="Arial" w:cs="Arial"/>
        </w:rPr>
      </w:pPr>
      <w:r w:rsidRPr="001427AF">
        <w:rPr>
          <w:rStyle w:val="normaltextrun"/>
          <w:rFonts w:ascii="Arial" w:hAnsi="Arial" w:cs="Arial"/>
        </w:rPr>
        <w:t>(ii) For the purpose of measuring, calculating, and reporting on the indicator described in subparagraph (B)(</w:t>
      </w:r>
      <w:proofErr w:type="spellStart"/>
      <w:r w:rsidRPr="001427AF">
        <w:rPr>
          <w:rStyle w:val="normaltextrun"/>
          <w:rFonts w:ascii="Arial" w:hAnsi="Arial" w:cs="Arial"/>
        </w:rPr>
        <w:t>i</w:t>
      </w:r>
      <w:proofErr w:type="spellEnd"/>
      <w:r w:rsidRPr="001427AF">
        <w:rPr>
          <w:rStyle w:val="normaltextrun"/>
          <w:rFonts w:ascii="Arial" w:hAnsi="Arial" w:cs="Arial"/>
        </w:rPr>
        <w:t>), include in the denominator the greater of—</w:t>
      </w:r>
    </w:p>
    <w:p w14:paraId="16EDFF34" w14:textId="77777777" w:rsidR="009F1B65" w:rsidRPr="001427AF" w:rsidRDefault="009F1B65" w:rsidP="009F1B65">
      <w:pPr>
        <w:pStyle w:val="paragraph"/>
        <w:spacing w:before="0" w:beforeAutospacing="0" w:after="0" w:afterAutospacing="0"/>
        <w:ind w:left="1425"/>
        <w:contextualSpacing/>
        <w:textAlignment w:val="baseline"/>
        <w:rPr>
          <w:rFonts w:ascii="Arial" w:hAnsi="Arial" w:cs="Arial"/>
        </w:rPr>
      </w:pPr>
      <w:r w:rsidRPr="001427AF">
        <w:rPr>
          <w:rStyle w:val="normaltextrun"/>
          <w:rFonts w:ascii="Arial" w:hAnsi="Arial" w:cs="Arial"/>
        </w:rPr>
        <w:t>(I) 95 percent of all such students, or 95 percent of all such students in the subgroup, as the case may be; or</w:t>
      </w:r>
    </w:p>
    <w:p w14:paraId="436424E4" w14:textId="77777777" w:rsidR="009F1B65" w:rsidRPr="001427AF" w:rsidRDefault="009F1B65" w:rsidP="009F1B65">
      <w:pPr>
        <w:pStyle w:val="paragraph"/>
        <w:spacing w:before="0" w:beforeAutospacing="0" w:after="0" w:afterAutospacing="0"/>
        <w:ind w:left="705" w:firstLine="720"/>
        <w:contextualSpacing/>
        <w:textAlignment w:val="baseline"/>
        <w:rPr>
          <w:rStyle w:val="normaltextrun"/>
          <w:rFonts w:ascii="Arial" w:hAnsi="Arial" w:cs="Arial"/>
        </w:rPr>
      </w:pPr>
      <w:r w:rsidRPr="001427AF">
        <w:rPr>
          <w:rStyle w:val="normaltextrun"/>
          <w:rFonts w:ascii="Arial" w:hAnsi="Arial" w:cs="Arial"/>
        </w:rPr>
        <w:t>(II) the number of students participating in the assessments.”</w:t>
      </w:r>
    </w:p>
    <w:p w14:paraId="73E815BE" w14:textId="77777777" w:rsidR="009F1B65" w:rsidRPr="001427AF" w:rsidRDefault="009F1B65" w:rsidP="009F1B65">
      <w:pPr>
        <w:pStyle w:val="paragraph"/>
        <w:spacing w:before="0" w:beforeAutospacing="0" w:after="0" w:afterAutospacing="0"/>
        <w:ind w:left="705" w:firstLine="720"/>
        <w:contextualSpacing/>
        <w:textAlignment w:val="baseline"/>
        <w:rPr>
          <w:rFonts w:ascii="Arial" w:hAnsi="Arial" w:cs="Arial"/>
        </w:rPr>
      </w:pPr>
    </w:p>
    <w:p w14:paraId="29970ED7" w14:textId="77777777" w:rsidR="009F1B65" w:rsidRPr="001427AF" w:rsidRDefault="009F1B65" w:rsidP="009F1B65">
      <w:pPr>
        <w:pStyle w:val="paragraph"/>
        <w:spacing w:before="0" w:beforeAutospacing="0" w:after="0" w:afterAutospacing="0"/>
        <w:contextualSpacing/>
        <w:textAlignment w:val="baseline"/>
        <w:rPr>
          <w:rStyle w:val="normaltextrun"/>
          <w:rFonts w:ascii="Arial" w:hAnsi="Arial" w:cs="Arial"/>
        </w:rPr>
      </w:pPr>
      <w:r w:rsidRPr="001427AF">
        <w:rPr>
          <w:rStyle w:val="normaltextrun"/>
          <w:rFonts w:ascii="Arial" w:hAnsi="Arial" w:cs="Arial"/>
        </w:rPr>
        <w:t xml:space="preserve">Subsection (b)(2)(B)(v)(I) states ‘‘in the case of mathematics and reading or language arts, be administered—(aa) in each of grades 3 through 8; and (bb) at least once in grades 9 through 12.” </w:t>
      </w:r>
    </w:p>
    <w:p w14:paraId="2321087A" w14:textId="77777777" w:rsidR="009F1B65" w:rsidRPr="001427AF" w:rsidRDefault="009F1B65" w:rsidP="009F1B65">
      <w:pPr>
        <w:pStyle w:val="paragraph"/>
        <w:spacing w:before="0" w:beforeAutospacing="0" w:after="0" w:afterAutospacing="0"/>
        <w:contextualSpacing/>
        <w:textAlignment w:val="baseline"/>
        <w:rPr>
          <w:rStyle w:val="normaltextrun"/>
          <w:rFonts w:ascii="Arial" w:hAnsi="Arial" w:cs="Arial"/>
        </w:rPr>
      </w:pPr>
    </w:p>
    <w:p w14:paraId="454EF6E7" w14:textId="0DFD8518" w:rsidR="009F1B65" w:rsidRPr="001427AF" w:rsidRDefault="009F1B65" w:rsidP="009F1B65">
      <w:pPr>
        <w:pStyle w:val="paragraph"/>
        <w:spacing w:before="0" w:beforeAutospacing="0" w:after="0" w:afterAutospacing="0"/>
        <w:contextualSpacing/>
        <w:textAlignment w:val="baseline"/>
        <w:rPr>
          <w:rFonts w:ascii="Arial" w:hAnsi="Arial" w:cs="Arial"/>
        </w:rPr>
      </w:pPr>
      <w:r w:rsidRPr="001427AF">
        <w:rPr>
          <w:rStyle w:val="normaltextrun"/>
          <w:rFonts w:ascii="Arial" w:hAnsi="Arial" w:cs="Arial"/>
        </w:rPr>
        <w:t>Subparagraph (B)(</w:t>
      </w:r>
      <w:proofErr w:type="spellStart"/>
      <w:r w:rsidRPr="001427AF" w:rsidDel="004948CE">
        <w:rPr>
          <w:rStyle w:val="normaltextrun"/>
          <w:rFonts w:ascii="Arial" w:hAnsi="Arial" w:cs="Arial"/>
        </w:rPr>
        <w:t>i</w:t>
      </w:r>
      <w:proofErr w:type="spellEnd"/>
      <w:r w:rsidRPr="001427AF">
        <w:rPr>
          <w:rStyle w:val="normaltextrun"/>
          <w:rFonts w:ascii="Arial" w:hAnsi="Arial" w:cs="Arial"/>
        </w:rPr>
        <w:t xml:space="preserve">) states “For all public schools in the State, based on the long-term goals established under subparagraph (A), academic achievement—(I) as measured by proficiency on the annual assessments required under subsection (b)(2)(B)(v)(I).” </w:t>
      </w:r>
      <w:r w:rsidRPr="001427AF">
        <w:rPr>
          <w:rStyle w:val="eop"/>
          <w:rFonts w:ascii="Arial" w:hAnsi="Arial" w:cs="Arial"/>
        </w:rPr>
        <w:t> </w:t>
      </w:r>
    </w:p>
    <w:p w14:paraId="0162D9CF" w14:textId="77777777" w:rsidR="009F1B65" w:rsidRPr="001427AF" w:rsidRDefault="009F1B65" w:rsidP="009F1B65">
      <w:pPr>
        <w:pStyle w:val="NormalWeb"/>
        <w:spacing w:before="0" w:beforeAutospacing="0" w:after="0" w:afterAutospacing="0"/>
        <w:contextualSpacing/>
        <w:rPr>
          <w:rFonts w:ascii="Arial" w:hAnsi="Arial" w:cs="Arial"/>
        </w:rPr>
      </w:pPr>
    </w:p>
    <w:p w14:paraId="107163B8" w14:textId="77777777" w:rsidR="00E51786" w:rsidRDefault="009F1B65" w:rsidP="009F1B65">
      <w:pPr>
        <w:pStyle w:val="NormalWeb"/>
        <w:spacing w:before="0" w:beforeAutospacing="0" w:after="0" w:afterAutospacing="0"/>
        <w:contextualSpacing/>
        <w:rPr>
          <w:rFonts w:ascii="Arial" w:hAnsi="Arial" w:cs="Arial"/>
        </w:rPr>
      </w:pPr>
      <w:r w:rsidRPr="001427AF">
        <w:rPr>
          <w:rFonts w:ascii="Arial" w:hAnsi="Arial" w:cs="Arial"/>
        </w:rPr>
        <w:t xml:space="preserve">To ensure that all students are included in the academic assessment accountability measures, schools are held accountable for testing at least 95% of eligible students on assessments of reading and mathematics. The minimum number of students required to report participation rates for the </w:t>
      </w:r>
      <w:bookmarkStart w:id="338" w:name="_Int_oiItOLZ8"/>
      <w:proofErr w:type="gramStart"/>
      <w:r w:rsidRPr="001427AF">
        <w:rPr>
          <w:rFonts w:ascii="Arial" w:hAnsi="Arial" w:cs="Arial"/>
        </w:rPr>
        <w:t>All Students</w:t>
      </w:r>
      <w:bookmarkEnd w:id="338"/>
      <w:proofErr w:type="gramEnd"/>
      <w:r w:rsidRPr="001427AF">
        <w:rPr>
          <w:rFonts w:ascii="Arial" w:hAnsi="Arial" w:cs="Arial"/>
        </w:rPr>
        <w:t xml:space="preserve"> group and each subgroup is thirty. Grade level eligible students are collected in the school’s first day of fall or first day of spring data collections. Participation rates of student groups with less than thirty students will be monitored but not reported. </w:t>
      </w:r>
      <w:r w:rsidR="0028608E">
        <w:rPr>
          <w:rFonts w:ascii="Arial" w:hAnsi="Arial" w:cs="Arial"/>
        </w:rPr>
        <w:t>For the purposes of accountability, p</w:t>
      </w:r>
      <w:r w:rsidR="00343BDC">
        <w:rPr>
          <w:rFonts w:ascii="Arial" w:hAnsi="Arial" w:cs="Arial"/>
        </w:rPr>
        <w:t xml:space="preserve">articipation rates that </w:t>
      </w:r>
      <w:proofErr w:type="gramStart"/>
      <w:r w:rsidR="00343BDC">
        <w:rPr>
          <w:rFonts w:ascii="Arial" w:hAnsi="Arial" w:cs="Arial"/>
        </w:rPr>
        <w:t>round</w:t>
      </w:r>
      <w:proofErr w:type="gramEnd"/>
      <w:r w:rsidR="00343BDC">
        <w:rPr>
          <w:rFonts w:ascii="Arial" w:hAnsi="Arial" w:cs="Arial"/>
        </w:rPr>
        <w:t xml:space="preserve"> to 95</w:t>
      </w:r>
      <w:r w:rsidR="0028608E">
        <w:rPr>
          <w:rFonts w:ascii="Arial" w:hAnsi="Arial" w:cs="Arial"/>
        </w:rPr>
        <w:t xml:space="preserve"> are considered met</w:t>
      </w:r>
      <w:r w:rsidR="004F475E">
        <w:rPr>
          <w:rFonts w:ascii="Arial" w:hAnsi="Arial" w:cs="Arial"/>
        </w:rPr>
        <w:t xml:space="preserve"> (</w:t>
      </w:r>
      <w:r w:rsidR="000F3E4C">
        <w:rPr>
          <w:rFonts w:ascii="Arial" w:hAnsi="Arial" w:cs="Arial"/>
        </w:rPr>
        <w:t xml:space="preserve">e.g., 94.6 </w:t>
      </w:r>
      <w:r w:rsidR="00E51786">
        <w:rPr>
          <w:rFonts w:ascii="Arial" w:hAnsi="Arial" w:cs="Arial"/>
        </w:rPr>
        <w:t xml:space="preserve">would round to 95.0), </w:t>
      </w:r>
    </w:p>
    <w:p w14:paraId="35FB30EE" w14:textId="77777777" w:rsidR="00E51786" w:rsidRDefault="00E51786" w:rsidP="009F1B65">
      <w:pPr>
        <w:pStyle w:val="NormalWeb"/>
        <w:spacing w:before="0" w:beforeAutospacing="0" w:after="0" w:afterAutospacing="0"/>
        <w:contextualSpacing/>
        <w:rPr>
          <w:rFonts w:ascii="Arial" w:hAnsi="Arial" w:cs="Arial"/>
        </w:rPr>
      </w:pPr>
    </w:p>
    <w:p w14:paraId="484A7E2A" w14:textId="5EB0A74D" w:rsidR="009F1B65" w:rsidRPr="001427AF" w:rsidRDefault="009F1B65" w:rsidP="009F1B65">
      <w:pPr>
        <w:pStyle w:val="NormalWeb"/>
        <w:spacing w:before="0" w:beforeAutospacing="0" w:after="0" w:afterAutospacing="0"/>
        <w:contextualSpacing/>
        <w:rPr>
          <w:rFonts w:ascii="Arial" w:hAnsi="Arial" w:cs="Arial"/>
        </w:rPr>
      </w:pPr>
      <w:r w:rsidRPr="001427AF">
        <w:rPr>
          <w:rFonts w:ascii="Arial" w:hAnsi="Arial" w:cs="Arial"/>
        </w:rPr>
        <w:t xml:space="preserve">Participation targets are set on the </w:t>
      </w:r>
      <w:r w:rsidR="00D3204B">
        <w:rPr>
          <w:rFonts w:ascii="Arial" w:hAnsi="Arial" w:cs="Arial"/>
        </w:rPr>
        <w:t>below</w:t>
      </w:r>
      <w:r w:rsidRPr="001427AF">
        <w:rPr>
          <w:rFonts w:ascii="Arial" w:hAnsi="Arial" w:cs="Arial"/>
        </w:rPr>
        <w:t xml:space="preserve"> assessments</w:t>
      </w:r>
      <w:r w:rsidR="00D3204B">
        <w:rPr>
          <w:rFonts w:ascii="Arial" w:hAnsi="Arial" w:cs="Arial"/>
        </w:rPr>
        <w:t>.</w:t>
      </w:r>
    </w:p>
    <w:p w14:paraId="1D84DCA9" w14:textId="77777777" w:rsidR="00AE4D66" w:rsidRPr="001427AF" w:rsidRDefault="00AE4D66" w:rsidP="00CA5853">
      <w:pPr>
        <w:pStyle w:val="NormalWeb"/>
        <w:numPr>
          <w:ilvl w:val="0"/>
          <w:numId w:val="147"/>
        </w:numPr>
        <w:spacing w:before="0" w:beforeAutospacing="0" w:after="0" w:afterAutospacing="0"/>
        <w:contextualSpacing/>
        <w:rPr>
          <w:rFonts w:ascii="Arial" w:hAnsi="Arial" w:cs="Arial"/>
        </w:rPr>
      </w:pPr>
      <w:r w:rsidRPr="001427AF">
        <w:rPr>
          <w:rFonts w:ascii="Arial" w:hAnsi="Arial" w:cs="Arial"/>
        </w:rPr>
        <w:t>EOG reading and NCEXTEND1 reading (grades 3–8)</w:t>
      </w:r>
    </w:p>
    <w:p w14:paraId="0D11FF63" w14:textId="77777777" w:rsidR="00AE4D66" w:rsidRPr="001427AF" w:rsidRDefault="00AE4D66" w:rsidP="00CA5853">
      <w:pPr>
        <w:pStyle w:val="NormalWeb"/>
        <w:numPr>
          <w:ilvl w:val="0"/>
          <w:numId w:val="147"/>
        </w:numPr>
        <w:spacing w:before="0" w:beforeAutospacing="0" w:after="0" w:afterAutospacing="0"/>
        <w:contextualSpacing/>
        <w:rPr>
          <w:rFonts w:ascii="Arial" w:hAnsi="Arial" w:cs="Arial"/>
        </w:rPr>
      </w:pPr>
      <w:r w:rsidRPr="001427AF">
        <w:rPr>
          <w:rFonts w:ascii="Arial" w:hAnsi="Arial" w:cs="Arial"/>
        </w:rPr>
        <w:t xml:space="preserve">EOG math and NCEXTEND1 math (grades 3–8) </w:t>
      </w:r>
    </w:p>
    <w:p w14:paraId="067F3117" w14:textId="533FEA4C" w:rsidR="00AE4D66" w:rsidRPr="001427AF" w:rsidRDefault="00AE4D66" w:rsidP="00CA5853">
      <w:pPr>
        <w:pStyle w:val="BodyText"/>
        <w:numPr>
          <w:ilvl w:val="0"/>
          <w:numId w:val="147"/>
        </w:numPr>
        <w:spacing w:after="0"/>
        <w:ind w:right="196"/>
        <w:contextualSpacing/>
        <w:rPr>
          <w:rFonts w:ascii="Arial" w:hAnsi="Arial" w:cs="Arial"/>
        </w:rPr>
      </w:pPr>
      <w:r w:rsidRPr="001427AF">
        <w:rPr>
          <w:rFonts w:ascii="Arial" w:hAnsi="Arial" w:cs="Arial"/>
        </w:rPr>
        <w:t xml:space="preserve">Student scores on </w:t>
      </w:r>
      <w:proofErr w:type="gramStart"/>
      <w:r w:rsidRPr="001427AF">
        <w:rPr>
          <w:rFonts w:ascii="Arial" w:hAnsi="Arial" w:cs="Arial"/>
        </w:rPr>
        <w:t>the grade</w:t>
      </w:r>
      <w:proofErr w:type="gramEnd"/>
      <w:r w:rsidRPr="001427AF">
        <w:rPr>
          <w:rFonts w:ascii="Arial" w:hAnsi="Arial" w:cs="Arial"/>
        </w:rPr>
        <w:t xml:space="preserve"> 8 mathematics EOG are used for accountability at grade 8. These students take the NC Math 1 course in high school, and the NC Math 1 EOC score </w:t>
      </w:r>
      <w:r w:rsidR="00B752EE">
        <w:rPr>
          <w:rFonts w:ascii="Arial" w:hAnsi="Arial" w:cs="Arial"/>
        </w:rPr>
        <w:t>is</w:t>
      </w:r>
      <w:r w:rsidRPr="001427AF">
        <w:rPr>
          <w:rFonts w:ascii="Arial" w:hAnsi="Arial" w:cs="Arial"/>
        </w:rPr>
        <w:t xml:space="preserve"> used for participation and long-term goals at the end of grade 11. The NC Math 1 EOC score </w:t>
      </w:r>
      <w:r w:rsidR="00B752EE">
        <w:rPr>
          <w:rFonts w:ascii="Arial" w:hAnsi="Arial" w:cs="Arial"/>
        </w:rPr>
        <w:t>is</w:t>
      </w:r>
      <w:r w:rsidRPr="001427AF">
        <w:rPr>
          <w:rFonts w:ascii="Arial" w:hAnsi="Arial" w:cs="Arial"/>
        </w:rPr>
        <w:t xml:space="preserve"> used in School Performance Grades for achievement and growth in the year the student takes the test.</w:t>
      </w:r>
    </w:p>
    <w:p w14:paraId="588AF4B4" w14:textId="77777777" w:rsidR="00AE4D66" w:rsidRPr="001427AF" w:rsidRDefault="00AE4D66" w:rsidP="00CA5853">
      <w:pPr>
        <w:pStyle w:val="BodyText"/>
        <w:numPr>
          <w:ilvl w:val="1"/>
          <w:numId w:val="147"/>
        </w:numPr>
        <w:spacing w:after="0" w:line="240" w:lineRule="auto"/>
        <w:ind w:right="202"/>
        <w:jc w:val="left"/>
        <w:rPr>
          <w:rFonts w:ascii="Arial" w:hAnsi="Arial" w:cs="Arial"/>
        </w:rPr>
      </w:pPr>
      <w:r w:rsidRPr="001427AF">
        <w:rPr>
          <w:rFonts w:ascii="Arial" w:hAnsi="Arial" w:cs="Arial"/>
        </w:rPr>
        <w:t xml:space="preserve">Students enrolled in earlier grades than </w:t>
      </w:r>
      <w:proofErr w:type="gramStart"/>
      <w:r w:rsidRPr="001427AF">
        <w:rPr>
          <w:rFonts w:ascii="Arial" w:hAnsi="Arial" w:cs="Arial"/>
        </w:rPr>
        <w:t>grade</w:t>
      </w:r>
      <w:proofErr w:type="gramEnd"/>
      <w:r w:rsidRPr="001427AF">
        <w:rPr>
          <w:rFonts w:ascii="Arial" w:hAnsi="Arial" w:cs="Arial"/>
        </w:rPr>
        <w:t xml:space="preserve"> 8 and in NC Math 1 must take both the NC Math 1 EOC and the current grade level EOG tests. For these students, the NC Math 1 EOC score is used for growth in the year </w:t>
      </w:r>
      <w:r w:rsidRPr="001427AF">
        <w:rPr>
          <w:rFonts w:ascii="Arial" w:hAnsi="Arial" w:cs="Arial"/>
        </w:rPr>
        <w:lastRenderedPageBreak/>
        <w:t>taken and when the student is in grade 8 the NC Math 1 EOC score is calculated as the student’s mathematics test for participation and proficiency.</w:t>
      </w:r>
    </w:p>
    <w:p w14:paraId="65DA83D1" w14:textId="7093EA12" w:rsidR="00AE4D66" w:rsidRPr="001427AF" w:rsidRDefault="00AE4D66" w:rsidP="00CA5853">
      <w:pPr>
        <w:pStyle w:val="BodyText"/>
        <w:numPr>
          <w:ilvl w:val="1"/>
          <w:numId w:val="147"/>
        </w:numPr>
        <w:spacing w:after="0" w:line="240" w:lineRule="auto"/>
        <w:ind w:right="202"/>
        <w:jc w:val="left"/>
        <w:rPr>
          <w:rFonts w:ascii="Arial" w:hAnsi="Arial" w:cs="Arial"/>
        </w:rPr>
      </w:pPr>
      <w:r w:rsidRPr="001427AF">
        <w:rPr>
          <w:rFonts w:ascii="Arial" w:hAnsi="Arial" w:cs="Arial"/>
        </w:rPr>
        <w:t>Students who took NC Math 1 in grade 8, or earlier, use their NC Math 3 EOC score for growth and proficiency in School Performance Grade calculations. Additionally, NC Math 3 EOC scores for students</w:t>
      </w:r>
      <w:r w:rsidRPr="001427AF">
        <w:rPr>
          <w:rFonts w:ascii="Arial" w:hAnsi="Arial" w:cs="Arial"/>
          <w:spacing w:val="-1"/>
        </w:rPr>
        <w:t xml:space="preserve"> </w:t>
      </w:r>
      <w:r w:rsidRPr="001427AF">
        <w:rPr>
          <w:rFonts w:ascii="Arial" w:hAnsi="Arial" w:cs="Arial"/>
        </w:rPr>
        <w:t>who</w:t>
      </w:r>
      <w:r w:rsidRPr="001427AF">
        <w:rPr>
          <w:rFonts w:ascii="Arial" w:hAnsi="Arial" w:cs="Arial"/>
          <w:spacing w:val="-1"/>
        </w:rPr>
        <w:t xml:space="preserve"> </w:t>
      </w:r>
      <w:r w:rsidRPr="001427AF">
        <w:rPr>
          <w:rFonts w:ascii="Arial" w:hAnsi="Arial" w:cs="Arial"/>
        </w:rPr>
        <w:t>took</w:t>
      </w:r>
      <w:r w:rsidRPr="001427AF">
        <w:rPr>
          <w:rFonts w:ascii="Arial" w:hAnsi="Arial" w:cs="Arial"/>
          <w:spacing w:val="-4"/>
        </w:rPr>
        <w:t xml:space="preserve"> </w:t>
      </w:r>
      <w:r w:rsidRPr="001427AF">
        <w:rPr>
          <w:rFonts w:ascii="Arial" w:hAnsi="Arial" w:cs="Arial"/>
        </w:rPr>
        <w:t>the</w:t>
      </w:r>
      <w:r w:rsidRPr="001427AF">
        <w:rPr>
          <w:rFonts w:ascii="Arial" w:hAnsi="Arial" w:cs="Arial"/>
          <w:spacing w:val="-1"/>
        </w:rPr>
        <w:t xml:space="preserve"> </w:t>
      </w:r>
      <w:r w:rsidRPr="001427AF">
        <w:rPr>
          <w:rFonts w:ascii="Arial" w:hAnsi="Arial" w:cs="Arial"/>
        </w:rPr>
        <w:t>NC</w:t>
      </w:r>
      <w:r w:rsidRPr="001427AF">
        <w:rPr>
          <w:rFonts w:ascii="Arial" w:hAnsi="Arial" w:cs="Arial"/>
          <w:spacing w:val="-5"/>
        </w:rPr>
        <w:t xml:space="preserve"> </w:t>
      </w:r>
      <w:r w:rsidRPr="001427AF">
        <w:rPr>
          <w:rFonts w:ascii="Arial" w:hAnsi="Arial" w:cs="Arial"/>
        </w:rPr>
        <w:t>Math</w:t>
      </w:r>
      <w:r w:rsidRPr="001427AF">
        <w:rPr>
          <w:rFonts w:ascii="Arial" w:hAnsi="Arial" w:cs="Arial"/>
          <w:spacing w:val="-4"/>
        </w:rPr>
        <w:t xml:space="preserve"> </w:t>
      </w:r>
      <w:r w:rsidRPr="001427AF">
        <w:rPr>
          <w:rFonts w:ascii="Arial" w:hAnsi="Arial" w:cs="Arial"/>
        </w:rPr>
        <w:t>1</w:t>
      </w:r>
      <w:r w:rsidRPr="001427AF">
        <w:rPr>
          <w:rFonts w:ascii="Arial" w:hAnsi="Arial" w:cs="Arial"/>
          <w:spacing w:val="-1"/>
        </w:rPr>
        <w:t xml:space="preserve"> </w:t>
      </w:r>
      <w:r w:rsidRPr="001427AF">
        <w:rPr>
          <w:rFonts w:ascii="Arial" w:hAnsi="Arial" w:cs="Arial"/>
        </w:rPr>
        <w:t>course</w:t>
      </w:r>
      <w:r w:rsidRPr="001427AF">
        <w:rPr>
          <w:rFonts w:ascii="Arial" w:hAnsi="Arial" w:cs="Arial"/>
          <w:spacing w:val="-1"/>
        </w:rPr>
        <w:t xml:space="preserve"> </w:t>
      </w:r>
      <w:r w:rsidRPr="001427AF">
        <w:rPr>
          <w:rFonts w:ascii="Arial" w:hAnsi="Arial" w:cs="Arial"/>
        </w:rPr>
        <w:t>in</w:t>
      </w:r>
      <w:r w:rsidRPr="001427AF">
        <w:rPr>
          <w:rFonts w:ascii="Arial" w:hAnsi="Arial" w:cs="Arial"/>
          <w:spacing w:val="-1"/>
        </w:rPr>
        <w:t xml:space="preserve"> </w:t>
      </w:r>
      <w:r w:rsidRPr="001427AF">
        <w:rPr>
          <w:rFonts w:ascii="Arial" w:hAnsi="Arial" w:cs="Arial"/>
        </w:rPr>
        <w:t>grade</w:t>
      </w:r>
      <w:r w:rsidRPr="001427AF">
        <w:rPr>
          <w:rFonts w:ascii="Arial" w:hAnsi="Arial" w:cs="Arial"/>
          <w:spacing w:val="-1"/>
        </w:rPr>
        <w:t xml:space="preserve"> </w:t>
      </w:r>
      <w:r w:rsidRPr="001427AF">
        <w:rPr>
          <w:rFonts w:ascii="Arial" w:hAnsi="Arial" w:cs="Arial"/>
        </w:rPr>
        <w:t>8,</w:t>
      </w:r>
      <w:r w:rsidRPr="001427AF">
        <w:rPr>
          <w:rFonts w:ascii="Arial" w:hAnsi="Arial" w:cs="Arial"/>
          <w:spacing w:val="-1"/>
        </w:rPr>
        <w:t xml:space="preserve"> </w:t>
      </w:r>
      <w:r w:rsidRPr="001427AF">
        <w:rPr>
          <w:rFonts w:ascii="Arial" w:hAnsi="Arial" w:cs="Arial"/>
        </w:rPr>
        <w:t>or earlier,</w:t>
      </w:r>
      <w:r w:rsidRPr="001427AF">
        <w:rPr>
          <w:rFonts w:ascii="Arial" w:hAnsi="Arial" w:cs="Arial"/>
          <w:spacing w:val="-1"/>
        </w:rPr>
        <w:t xml:space="preserve"> </w:t>
      </w:r>
      <w:r w:rsidR="00D23035">
        <w:rPr>
          <w:rFonts w:ascii="Arial" w:hAnsi="Arial" w:cs="Arial"/>
        </w:rPr>
        <w:t>are</w:t>
      </w:r>
      <w:r w:rsidRPr="001427AF">
        <w:rPr>
          <w:rFonts w:ascii="Arial" w:hAnsi="Arial" w:cs="Arial"/>
          <w:spacing w:val="-1"/>
        </w:rPr>
        <w:t xml:space="preserve"> </w:t>
      </w:r>
      <w:r w:rsidRPr="001427AF">
        <w:rPr>
          <w:rFonts w:ascii="Arial" w:hAnsi="Arial" w:cs="Arial"/>
        </w:rPr>
        <w:t>included</w:t>
      </w:r>
      <w:r w:rsidRPr="001427AF">
        <w:rPr>
          <w:rFonts w:ascii="Arial" w:hAnsi="Arial" w:cs="Arial"/>
          <w:spacing w:val="-4"/>
        </w:rPr>
        <w:t xml:space="preserve"> </w:t>
      </w:r>
      <w:r w:rsidRPr="001427AF">
        <w:rPr>
          <w:rFonts w:ascii="Arial" w:hAnsi="Arial" w:cs="Arial"/>
        </w:rPr>
        <w:t>in</w:t>
      </w:r>
      <w:r w:rsidRPr="001427AF">
        <w:rPr>
          <w:rFonts w:ascii="Arial" w:hAnsi="Arial" w:cs="Arial"/>
          <w:spacing w:val="-4"/>
        </w:rPr>
        <w:t xml:space="preserve"> </w:t>
      </w:r>
      <w:r w:rsidRPr="001427AF">
        <w:rPr>
          <w:rFonts w:ascii="Arial" w:hAnsi="Arial" w:cs="Arial"/>
        </w:rPr>
        <w:t>mathematics</w:t>
      </w:r>
      <w:r w:rsidRPr="001427AF">
        <w:rPr>
          <w:rFonts w:ascii="Arial" w:hAnsi="Arial" w:cs="Arial"/>
          <w:spacing w:val="-1"/>
        </w:rPr>
        <w:t xml:space="preserve"> </w:t>
      </w:r>
      <w:r w:rsidRPr="001427AF">
        <w:rPr>
          <w:rFonts w:ascii="Arial" w:hAnsi="Arial" w:cs="Arial"/>
        </w:rPr>
        <w:t>participation</w:t>
      </w:r>
      <w:r w:rsidRPr="001427AF">
        <w:rPr>
          <w:rFonts w:ascii="Arial" w:hAnsi="Arial" w:cs="Arial"/>
          <w:spacing w:val="-4"/>
        </w:rPr>
        <w:t xml:space="preserve"> </w:t>
      </w:r>
      <w:r w:rsidRPr="001427AF">
        <w:rPr>
          <w:rFonts w:ascii="Arial" w:hAnsi="Arial" w:cs="Arial"/>
        </w:rPr>
        <w:t>rates and long-term goals at grade 11.</w:t>
      </w:r>
    </w:p>
    <w:p w14:paraId="0AFFCE62" w14:textId="77777777" w:rsidR="00AE4D66" w:rsidRPr="001427AF" w:rsidRDefault="00AE4D66" w:rsidP="00CA5853">
      <w:pPr>
        <w:pStyle w:val="BodyText"/>
        <w:numPr>
          <w:ilvl w:val="0"/>
          <w:numId w:val="147"/>
        </w:numPr>
        <w:spacing w:after="0" w:line="240" w:lineRule="auto"/>
        <w:ind w:right="196"/>
        <w:contextualSpacing/>
        <w:jc w:val="left"/>
        <w:rPr>
          <w:rFonts w:ascii="Arial" w:hAnsi="Arial" w:cs="Arial"/>
        </w:rPr>
      </w:pPr>
      <w:r w:rsidRPr="001427AF">
        <w:rPr>
          <w:rFonts w:ascii="Arial" w:hAnsi="Arial" w:cs="Arial"/>
        </w:rPr>
        <w:t>EOC English II and NCEXTEND1 English II (banked until grade 10 for calculations)</w:t>
      </w:r>
    </w:p>
    <w:p w14:paraId="129D36D5" w14:textId="77777777" w:rsidR="00AE4D66" w:rsidRPr="001427AF" w:rsidRDefault="00AE4D66" w:rsidP="00CA5853">
      <w:pPr>
        <w:pStyle w:val="NormalWeb"/>
        <w:numPr>
          <w:ilvl w:val="0"/>
          <w:numId w:val="147"/>
        </w:numPr>
        <w:spacing w:before="0" w:beforeAutospacing="0" w:after="0" w:afterAutospacing="0"/>
        <w:contextualSpacing/>
        <w:rPr>
          <w:rFonts w:ascii="Arial" w:hAnsi="Arial" w:cs="Arial"/>
        </w:rPr>
      </w:pPr>
      <w:r w:rsidRPr="001427AF">
        <w:rPr>
          <w:rFonts w:ascii="Arial" w:hAnsi="Arial" w:cs="Arial"/>
        </w:rPr>
        <w:t>EOC NC Math 1, NC Math 3, and NCEXTEND1 Math (banked until grade 11 for calculations)</w:t>
      </w:r>
    </w:p>
    <w:p w14:paraId="74D8CD1B" w14:textId="77777777" w:rsidR="000370E8" w:rsidRPr="001427AF" w:rsidRDefault="000370E8" w:rsidP="000370E8">
      <w:pPr>
        <w:pStyle w:val="NormalWeb"/>
        <w:spacing w:before="0" w:beforeAutospacing="0" w:after="0" w:afterAutospacing="0"/>
        <w:ind w:left="360"/>
        <w:contextualSpacing/>
        <w:rPr>
          <w:rFonts w:ascii="Arial" w:hAnsi="Arial" w:cs="Arial"/>
        </w:rPr>
      </w:pPr>
    </w:p>
    <w:p w14:paraId="6F5B1070" w14:textId="7078F8A9" w:rsidR="009F1B65" w:rsidRPr="001427AF" w:rsidRDefault="009F1B65" w:rsidP="009F1B65">
      <w:pPr>
        <w:pStyle w:val="NormalWeb"/>
        <w:spacing w:before="0" w:beforeAutospacing="0" w:after="0" w:afterAutospacing="0"/>
        <w:contextualSpacing/>
        <w:rPr>
          <w:rFonts w:ascii="Arial" w:hAnsi="Arial" w:cs="Arial"/>
        </w:rPr>
      </w:pPr>
      <w:bookmarkStart w:id="339" w:name="_Toc102997738"/>
      <w:bookmarkStart w:id="340" w:name="_Toc102997844"/>
      <w:bookmarkStart w:id="341" w:name="_Toc102997950"/>
      <w:bookmarkStart w:id="342" w:name="_Toc106102869"/>
      <w:bookmarkStart w:id="343" w:name="_Toc106102974"/>
      <w:bookmarkEnd w:id="339"/>
      <w:bookmarkEnd w:id="340"/>
      <w:bookmarkEnd w:id="341"/>
      <w:bookmarkEnd w:id="342"/>
      <w:bookmarkEnd w:id="343"/>
      <w:r w:rsidRPr="001427AF">
        <w:rPr>
          <w:rFonts w:ascii="Arial" w:hAnsi="Arial" w:cs="Arial"/>
        </w:rPr>
        <w:t>The consequences of testing less than 95% of students in reading or mathematics do not apply when reporting test results outside the accountability system or long-term goals.</w:t>
      </w:r>
    </w:p>
    <w:p w14:paraId="5E551B4A" w14:textId="683BFF27" w:rsidR="006649C7" w:rsidRPr="001427AF" w:rsidRDefault="003C5B9B" w:rsidP="00B76243">
      <w:pPr>
        <w:pStyle w:val="Heading3"/>
      </w:pPr>
      <w:bookmarkStart w:id="344" w:name="_Toc116913533"/>
      <w:bookmarkStart w:id="345" w:name="_Toc116913735"/>
      <w:bookmarkStart w:id="346" w:name="_Toc117160477"/>
      <w:bookmarkStart w:id="347" w:name="_Toc135812517"/>
      <w:bookmarkStart w:id="348" w:name="_Toc136418898"/>
      <w:bookmarkStart w:id="349" w:name="_Toc136419154"/>
      <w:bookmarkStart w:id="350" w:name="_Toc225404968"/>
      <w:bookmarkEnd w:id="344"/>
      <w:bookmarkEnd w:id="345"/>
      <w:bookmarkEnd w:id="346"/>
      <w:r w:rsidRPr="001427AF">
        <w:t>Missing 95% End-of-Grade Participation Calculation</w:t>
      </w:r>
      <w:bookmarkEnd w:id="347"/>
      <w:bookmarkEnd w:id="348"/>
      <w:bookmarkEnd w:id="349"/>
      <w:bookmarkEnd w:id="350"/>
    </w:p>
    <w:p w14:paraId="45CEA663" w14:textId="7BE28B9A" w:rsidR="00A80D8F" w:rsidRPr="001427AF" w:rsidRDefault="00A80D8F" w:rsidP="00A80D8F">
      <w:pPr>
        <w:spacing w:line="240" w:lineRule="auto"/>
        <w:contextualSpacing/>
        <w:textAlignment w:val="baseline"/>
        <w:rPr>
          <w:rFonts w:ascii="Arial" w:hAnsi="Arial" w:cs="Arial"/>
          <w:color w:val="auto"/>
        </w:rPr>
      </w:pPr>
      <w:r w:rsidRPr="001427AF">
        <w:rPr>
          <w:rFonts w:ascii="Arial" w:hAnsi="Arial" w:cs="Arial"/>
          <w:color w:val="auto"/>
        </w:rPr>
        <w:t>Table 3.1.1</w:t>
      </w:r>
      <w:r w:rsidRPr="001427AF">
        <w:rPr>
          <w:rFonts w:ascii="Arial" w:hAnsi="Arial" w:cs="Arial"/>
          <w:i/>
          <w:color w:val="auto"/>
        </w:rPr>
        <w:t xml:space="preserve"> </w:t>
      </w:r>
      <w:r w:rsidRPr="001427AF">
        <w:rPr>
          <w:rFonts w:ascii="Arial" w:hAnsi="Arial" w:cs="Arial"/>
          <w:color w:val="auto"/>
        </w:rPr>
        <w:t xml:space="preserve">provides an example of a school </w:t>
      </w:r>
      <w:r w:rsidR="00A06934" w:rsidRPr="001427AF">
        <w:rPr>
          <w:rFonts w:ascii="Arial" w:hAnsi="Arial" w:cs="Arial"/>
          <w:color w:val="auto"/>
        </w:rPr>
        <w:t xml:space="preserve">that did not </w:t>
      </w:r>
      <w:r w:rsidRPr="001427AF">
        <w:rPr>
          <w:rFonts w:ascii="Arial" w:hAnsi="Arial" w:cs="Arial"/>
          <w:color w:val="auto"/>
        </w:rPr>
        <w:t xml:space="preserve">meet participation requirements. </w:t>
      </w:r>
      <w:r w:rsidR="0064043C" w:rsidRPr="001427AF">
        <w:rPr>
          <w:rFonts w:ascii="Arial" w:hAnsi="Arial" w:cs="Arial"/>
          <w:color w:val="auto"/>
        </w:rPr>
        <w:t>The table shows that o</w:t>
      </w:r>
      <w:r w:rsidRPr="001427AF">
        <w:rPr>
          <w:rFonts w:ascii="Arial" w:hAnsi="Arial" w:cs="Arial"/>
          <w:color w:val="auto"/>
        </w:rPr>
        <w:t xml:space="preserve">ne hundred students </w:t>
      </w:r>
      <w:r w:rsidR="00A06934" w:rsidRPr="001427AF">
        <w:rPr>
          <w:rFonts w:ascii="Arial" w:hAnsi="Arial" w:cs="Arial"/>
          <w:color w:val="auto"/>
        </w:rPr>
        <w:t xml:space="preserve">are </w:t>
      </w:r>
      <w:r w:rsidRPr="001427AF">
        <w:rPr>
          <w:rFonts w:ascii="Arial" w:hAnsi="Arial" w:cs="Arial"/>
          <w:color w:val="auto"/>
        </w:rPr>
        <w:t xml:space="preserve">expected to participate in the EOG </w:t>
      </w:r>
      <w:r w:rsidR="0064043C" w:rsidRPr="001427AF">
        <w:rPr>
          <w:rFonts w:ascii="Arial" w:hAnsi="Arial" w:cs="Arial"/>
          <w:color w:val="auto"/>
        </w:rPr>
        <w:t xml:space="preserve">reading </w:t>
      </w:r>
      <w:r w:rsidR="002123B4" w:rsidRPr="001427AF">
        <w:rPr>
          <w:rFonts w:ascii="Arial" w:hAnsi="Arial" w:cs="Arial"/>
          <w:color w:val="auto"/>
        </w:rPr>
        <w:t>test</w:t>
      </w:r>
      <w:r w:rsidRPr="001427AF">
        <w:rPr>
          <w:rFonts w:ascii="Arial" w:hAnsi="Arial" w:cs="Arial"/>
          <w:color w:val="auto"/>
        </w:rPr>
        <w:t xml:space="preserve">. </w:t>
      </w:r>
      <w:r w:rsidRPr="001427AF" w:rsidDel="002123B4">
        <w:rPr>
          <w:rFonts w:ascii="Arial" w:hAnsi="Arial" w:cs="Arial"/>
          <w:color w:val="auto"/>
        </w:rPr>
        <w:t xml:space="preserve">The </w:t>
      </w:r>
      <w:r w:rsidRPr="001427AF">
        <w:rPr>
          <w:rFonts w:ascii="Arial" w:hAnsi="Arial" w:cs="Arial"/>
          <w:color w:val="auto"/>
        </w:rPr>
        <w:t xml:space="preserve">number of students required </w:t>
      </w:r>
      <w:proofErr w:type="gramStart"/>
      <w:r w:rsidRPr="001427AF">
        <w:rPr>
          <w:rFonts w:ascii="Arial" w:hAnsi="Arial" w:cs="Arial"/>
          <w:color w:val="auto"/>
        </w:rPr>
        <w:t>to</w:t>
      </w:r>
      <w:proofErr w:type="gramEnd"/>
      <w:r w:rsidRPr="001427AF">
        <w:rPr>
          <w:rFonts w:ascii="Arial" w:hAnsi="Arial" w:cs="Arial"/>
          <w:color w:val="auto"/>
        </w:rPr>
        <w:t xml:space="preserve"> test</w:t>
      </w:r>
      <w:r w:rsidR="002123B4" w:rsidRPr="001427AF">
        <w:rPr>
          <w:rFonts w:ascii="Arial" w:hAnsi="Arial" w:cs="Arial"/>
          <w:color w:val="auto"/>
        </w:rPr>
        <w:t xml:space="preserve"> </w:t>
      </w:r>
      <w:proofErr w:type="gramStart"/>
      <w:r w:rsidR="002123B4" w:rsidRPr="001427AF">
        <w:rPr>
          <w:rFonts w:ascii="Arial" w:hAnsi="Arial" w:cs="Arial"/>
          <w:color w:val="auto"/>
        </w:rPr>
        <w:t>in order</w:t>
      </w:r>
      <w:r w:rsidRPr="001427AF">
        <w:rPr>
          <w:rFonts w:ascii="Arial" w:hAnsi="Arial" w:cs="Arial"/>
          <w:color w:val="auto"/>
        </w:rPr>
        <w:t xml:space="preserve"> to</w:t>
      </w:r>
      <w:proofErr w:type="gramEnd"/>
      <w:r w:rsidRPr="001427AF">
        <w:rPr>
          <w:rFonts w:ascii="Arial" w:hAnsi="Arial" w:cs="Arial"/>
          <w:color w:val="auto"/>
        </w:rPr>
        <w:t xml:space="preserve"> meet 95% participation</w:t>
      </w:r>
      <w:r w:rsidR="002123B4" w:rsidRPr="001427AF">
        <w:rPr>
          <w:rFonts w:ascii="Arial" w:hAnsi="Arial" w:cs="Arial"/>
          <w:color w:val="auto"/>
        </w:rPr>
        <w:t xml:space="preserve"> is 95</w:t>
      </w:r>
      <w:r w:rsidR="000A00A7" w:rsidRPr="001427AF">
        <w:rPr>
          <w:rFonts w:ascii="Arial" w:hAnsi="Arial" w:cs="Arial"/>
          <w:color w:val="auto"/>
        </w:rPr>
        <w:t xml:space="preserve">. The </w:t>
      </w:r>
      <w:r w:rsidRPr="001427AF">
        <w:rPr>
          <w:rFonts w:ascii="Arial" w:hAnsi="Arial" w:cs="Arial"/>
          <w:color w:val="auto"/>
        </w:rPr>
        <w:t xml:space="preserve">number of students who </w:t>
      </w:r>
      <w:proofErr w:type="gramStart"/>
      <w:r w:rsidR="002123B4" w:rsidRPr="001427AF">
        <w:rPr>
          <w:rFonts w:ascii="Arial" w:hAnsi="Arial" w:cs="Arial"/>
          <w:color w:val="auto"/>
        </w:rPr>
        <w:t xml:space="preserve">actually </w:t>
      </w:r>
      <w:r w:rsidRPr="001427AF">
        <w:rPr>
          <w:rFonts w:ascii="Arial" w:hAnsi="Arial" w:cs="Arial"/>
          <w:color w:val="auto"/>
        </w:rPr>
        <w:t>tested</w:t>
      </w:r>
      <w:proofErr w:type="gramEnd"/>
      <w:r w:rsidR="000A00A7" w:rsidRPr="001427AF">
        <w:rPr>
          <w:rFonts w:ascii="Arial" w:hAnsi="Arial" w:cs="Arial"/>
          <w:color w:val="auto"/>
        </w:rPr>
        <w:t xml:space="preserve"> was 90</w:t>
      </w:r>
      <w:r w:rsidR="002123B4" w:rsidRPr="001427AF">
        <w:rPr>
          <w:rFonts w:ascii="Arial" w:hAnsi="Arial" w:cs="Arial"/>
          <w:color w:val="auto"/>
        </w:rPr>
        <w:t>,</w:t>
      </w:r>
      <w:r w:rsidR="000A00A7" w:rsidRPr="001427AF">
        <w:rPr>
          <w:rFonts w:ascii="Arial" w:hAnsi="Arial" w:cs="Arial"/>
          <w:color w:val="auto"/>
        </w:rPr>
        <w:t xml:space="preserve"> leaving a difference of </w:t>
      </w:r>
      <w:r w:rsidRPr="001427AF">
        <w:rPr>
          <w:rFonts w:ascii="Arial" w:hAnsi="Arial" w:cs="Arial"/>
          <w:color w:val="auto"/>
        </w:rPr>
        <w:t>5</w:t>
      </w:r>
      <w:r w:rsidR="002123B4" w:rsidRPr="001427AF">
        <w:rPr>
          <w:rFonts w:ascii="Arial" w:hAnsi="Arial" w:cs="Arial"/>
          <w:color w:val="auto"/>
        </w:rPr>
        <w:t>.</w:t>
      </w:r>
      <w:r w:rsidR="000A00A7" w:rsidRPr="001427AF">
        <w:rPr>
          <w:rFonts w:ascii="Arial" w:hAnsi="Arial" w:cs="Arial"/>
          <w:color w:val="auto"/>
        </w:rPr>
        <w:t xml:space="preserve"> </w:t>
      </w:r>
    </w:p>
    <w:p w14:paraId="23D1EC0C" w14:textId="77777777" w:rsidR="00A80D8F" w:rsidRPr="001427AF" w:rsidRDefault="00A80D8F" w:rsidP="00A80D8F">
      <w:pPr>
        <w:spacing w:line="240" w:lineRule="auto"/>
        <w:contextualSpacing/>
        <w:textAlignment w:val="baseline"/>
        <w:rPr>
          <w:rFonts w:ascii="Arial" w:hAnsi="Arial" w:cs="Arial"/>
          <w:color w:val="auto"/>
        </w:rPr>
      </w:pPr>
    </w:p>
    <w:p w14:paraId="47595828" w14:textId="6522AB40" w:rsidR="00A80D8F" w:rsidRPr="001427AF" w:rsidRDefault="00A80D8F" w:rsidP="00A80D8F">
      <w:pPr>
        <w:spacing w:line="240" w:lineRule="auto"/>
        <w:contextualSpacing/>
        <w:textAlignment w:val="baseline"/>
        <w:rPr>
          <w:rFonts w:ascii="Arial" w:hAnsi="Arial" w:cs="Arial"/>
          <w:color w:val="auto"/>
          <w:szCs w:val="24"/>
        </w:rPr>
      </w:pPr>
      <w:r w:rsidRPr="001427AF">
        <w:rPr>
          <w:rFonts w:ascii="Arial" w:hAnsi="Arial" w:cs="Arial"/>
          <w:color w:val="auto"/>
          <w:szCs w:val="24"/>
        </w:rPr>
        <w:t xml:space="preserve">Since this school did not meet the 95% participation requirement, the proficiency denominator for school performance grades and the reading long-term goal </w:t>
      </w:r>
      <w:proofErr w:type="gramStart"/>
      <w:r w:rsidRPr="001427AF">
        <w:rPr>
          <w:rFonts w:ascii="Arial" w:hAnsi="Arial" w:cs="Arial"/>
          <w:color w:val="auto"/>
          <w:szCs w:val="24"/>
        </w:rPr>
        <w:t>increase</w:t>
      </w:r>
      <w:proofErr w:type="gramEnd"/>
      <w:r w:rsidRPr="001427AF" w:rsidDel="008B3D01">
        <w:rPr>
          <w:rFonts w:ascii="Arial" w:hAnsi="Arial" w:cs="Arial"/>
          <w:color w:val="auto"/>
          <w:szCs w:val="24"/>
        </w:rPr>
        <w:t xml:space="preserve"> </w:t>
      </w:r>
      <w:r w:rsidRPr="001427AF">
        <w:rPr>
          <w:rFonts w:ascii="Arial" w:hAnsi="Arial" w:cs="Arial"/>
          <w:color w:val="auto"/>
          <w:szCs w:val="24"/>
        </w:rPr>
        <w:t xml:space="preserve">by five. This adjustment causes a negative impact on proficiency in the accountability system and long-term goals, and the school </w:t>
      </w:r>
      <w:r w:rsidR="00C376B8">
        <w:rPr>
          <w:rFonts w:ascii="Arial" w:hAnsi="Arial" w:cs="Arial"/>
          <w:color w:val="auto"/>
          <w:szCs w:val="24"/>
        </w:rPr>
        <w:t>is</w:t>
      </w:r>
      <w:r w:rsidRPr="001427AF">
        <w:rPr>
          <w:rFonts w:ascii="Arial" w:hAnsi="Arial" w:cs="Arial"/>
          <w:color w:val="auto"/>
          <w:szCs w:val="24"/>
        </w:rPr>
        <w:t xml:space="preserve"> flagged as not meeting the participation requirement. </w:t>
      </w:r>
    </w:p>
    <w:p w14:paraId="4997E187" w14:textId="77777777" w:rsidR="00A80D8F" w:rsidRPr="001427AF" w:rsidRDefault="00A80D8F" w:rsidP="00A80D8F">
      <w:pPr>
        <w:spacing w:line="240" w:lineRule="auto"/>
        <w:contextualSpacing/>
        <w:textAlignment w:val="baseline"/>
        <w:rPr>
          <w:rFonts w:ascii="Arial" w:hAnsi="Arial" w:cs="Arial"/>
          <w:color w:val="auto"/>
          <w:sz w:val="21"/>
          <w:szCs w:val="21"/>
        </w:rPr>
      </w:pPr>
    </w:p>
    <w:p w14:paraId="62B3E091" w14:textId="67EBDF62" w:rsidR="00A80D8F" w:rsidRPr="001427AF" w:rsidRDefault="00A80D8F" w:rsidP="00A80D8F">
      <w:pPr>
        <w:spacing w:line="240" w:lineRule="auto"/>
        <w:contextualSpacing/>
        <w:textAlignment w:val="baseline"/>
        <w:rPr>
          <w:rFonts w:ascii="Arial" w:hAnsi="Arial" w:cs="Arial"/>
          <w:color w:val="auto"/>
          <w:sz w:val="20"/>
        </w:rPr>
      </w:pPr>
      <w:r w:rsidRPr="001427AF">
        <w:rPr>
          <w:rFonts w:ascii="Arial" w:hAnsi="Arial" w:cs="Arial"/>
          <w:color w:val="auto"/>
          <w:sz w:val="20"/>
        </w:rPr>
        <w:t>TABLE</w:t>
      </w:r>
      <w:r w:rsidRPr="001427AF" w:rsidDel="00686FC8">
        <w:rPr>
          <w:rFonts w:ascii="Arial" w:hAnsi="Arial" w:cs="Arial"/>
          <w:color w:val="auto"/>
          <w:sz w:val="20"/>
        </w:rPr>
        <w:t xml:space="preserve"> </w:t>
      </w:r>
      <w:r w:rsidRPr="001427AF">
        <w:rPr>
          <w:rFonts w:ascii="Arial" w:hAnsi="Arial" w:cs="Arial"/>
          <w:color w:val="auto"/>
          <w:sz w:val="20"/>
        </w:rPr>
        <w:t xml:space="preserve">3.1.1. Example of a school not meeting EOG participation </w:t>
      </w:r>
    </w:p>
    <w:tbl>
      <w:tblPr>
        <w:tblW w:w="99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Example of a school not meeting End of Grade participation."/>
      </w:tblPr>
      <w:tblGrid>
        <w:gridCol w:w="1581"/>
        <w:gridCol w:w="1584"/>
        <w:gridCol w:w="1585"/>
        <w:gridCol w:w="1590"/>
        <w:gridCol w:w="2201"/>
        <w:gridCol w:w="1359"/>
      </w:tblGrid>
      <w:tr w:rsidR="003D060B" w:rsidRPr="001427AF" w14:paraId="2DC5518B" w14:textId="77777777" w:rsidTr="00276F21">
        <w:trPr>
          <w:trHeight w:val="405"/>
        </w:trPr>
        <w:tc>
          <w:tcPr>
            <w:tcW w:w="158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D5ED5F2" w14:textId="0BFD5D9B" w:rsidR="003D060B" w:rsidRPr="001427AF" w:rsidRDefault="00912C7B" w:rsidP="00160A35">
            <w:pPr>
              <w:spacing w:line="240" w:lineRule="auto"/>
              <w:ind w:right="90"/>
              <w:contextualSpacing/>
              <w:textAlignment w:val="baseline"/>
              <w:rPr>
                <w:rFonts w:ascii="Arial" w:hAnsi="Arial" w:cs="Arial"/>
                <w:color w:val="auto"/>
                <w:sz w:val="20"/>
              </w:rPr>
            </w:pPr>
            <w:r w:rsidRPr="00160A35">
              <w:rPr>
                <w:rFonts w:ascii="Arial" w:hAnsi="Arial" w:cs="Arial"/>
                <w:b/>
                <w:bCs/>
                <w:color w:val="auto"/>
                <w:sz w:val="20"/>
              </w:rPr>
              <w:t>Tes</w:t>
            </w:r>
            <w:r w:rsidR="00160A35" w:rsidRPr="00160A35">
              <w:rPr>
                <w:rFonts w:ascii="Arial" w:hAnsi="Arial" w:cs="Arial"/>
                <w:b/>
                <w:bCs/>
                <w:color w:val="auto"/>
                <w:sz w:val="20"/>
              </w:rPr>
              <w:t>t name</w:t>
            </w:r>
          </w:p>
        </w:tc>
        <w:tc>
          <w:tcPr>
            <w:tcW w:w="1584"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CB9CA" w:themeFill="text2" w:themeFillTint="66"/>
            <w:vAlign w:val="center"/>
            <w:hideMark/>
          </w:tcPr>
          <w:p w14:paraId="7A427F46" w14:textId="77777777" w:rsidR="003D060B" w:rsidRPr="001427AF" w:rsidRDefault="003D060B">
            <w:pPr>
              <w:spacing w:line="240" w:lineRule="auto"/>
              <w:ind w:right="90"/>
              <w:contextualSpacing/>
              <w:jc w:val="center"/>
              <w:textAlignment w:val="baseline"/>
              <w:rPr>
                <w:rFonts w:ascii="Arial" w:hAnsi="Arial" w:cs="Arial"/>
                <w:b/>
                <w:bCs/>
                <w:color w:val="auto"/>
                <w:sz w:val="20"/>
              </w:rPr>
            </w:pPr>
            <w:r w:rsidRPr="001427AF">
              <w:rPr>
                <w:rFonts w:ascii="Arial" w:hAnsi="Arial" w:cs="Arial"/>
                <w:b/>
                <w:bCs/>
                <w:color w:val="auto"/>
                <w:sz w:val="20"/>
              </w:rPr>
              <w:t>Number of students expected to participate in the assessment</w:t>
            </w:r>
          </w:p>
        </w:tc>
        <w:tc>
          <w:tcPr>
            <w:tcW w:w="1585" w:type="dxa"/>
            <w:tcBorders>
              <w:top w:val="single" w:sz="6" w:space="0" w:color="000000" w:themeColor="text1"/>
              <w:left w:val="nil"/>
              <w:bottom w:val="single" w:sz="6" w:space="0" w:color="000000" w:themeColor="text1"/>
              <w:right w:val="single" w:sz="6" w:space="0" w:color="000000" w:themeColor="text1"/>
            </w:tcBorders>
            <w:shd w:val="clear" w:color="auto" w:fill="ACB9CA" w:themeFill="text2" w:themeFillTint="66"/>
            <w:vAlign w:val="center"/>
            <w:hideMark/>
          </w:tcPr>
          <w:p w14:paraId="6419A2E1" w14:textId="77777777" w:rsidR="003D060B" w:rsidRPr="001427AF" w:rsidRDefault="003D060B">
            <w:pPr>
              <w:spacing w:line="240" w:lineRule="auto"/>
              <w:ind w:right="105"/>
              <w:contextualSpacing/>
              <w:jc w:val="center"/>
              <w:textAlignment w:val="baseline"/>
              <w:rPr>
                <w:rFonts w:ascii="Arial" w:hAnsi="Arial" w:cs="Arial"/>
                <w:b/>
                <w:bCs/>
                <w:color w:val="auto"/>
                <w:sz w:val="20"/>
              </w:rPr>
            </w:pPr>
            <w:r w:rsidRPr="001427AF">
              <w:rPr>
                <w:rFonts w:ascii="Arial" w:hAnsi="Arial" w:cs="Arial"/>
                <w:b/>
                <w:bCs/>
                <w:color w:val="auto"/>
                <w:sz w:val="20"/>
              </w:rPr>
              <w:t>Minimum 95% target number of students expected to participate</w:t>
            </w:r>
          </w:p>
        </w:tc>
        <w:tc>
          <w:tcPr>
            <w:tcW w:w="1590" w:type="dxa"/>
            <w:tcBorders>
              <w:top w:val="single" w:sz="6" w:space="0" w:color="000000" w:themeColor="text1"/>
              <w:left w:val="nil"/>
              <w:bottom w:val="single" w:sz="6" w:space="0" w:color="000000" w:themeColor="text1"/>
              <w:right w:val="single" w:sz="18" w:space="0" w:color="000000" w:themeColor="text1"/>
            </w:tcBorders>
            <w:shd w:val="clear" w:color="auto" w:fill="ACB9CA" w:themeFill="text2" w:themeFillTint="66"/>
            <w:vAlign w:val="center"/>
            <w:hideMark/>
          </w:tcPr>
          <w:p w14:paraId="468A74B8" w14:textId="77777777" w:rsidR="003D060B" w:rsidRPr="001427AF" w:rsidRDefault="003D060B">
            <w:pPr>
              <w:spacing w:line="240" w:lineRule="auto"/>
              <w:ind w:right="75"/>
              <w:contextualSpacing/>
              <w:jc w:val="center"/>
              <w:textAlignment w:val="baseline"/>
              <w:rPr>
                <w:rFonts w:ascii="Arial" w:hAnsi="Arial" w:cs="Arial"/>
                <w:b/>
                <w:bCs/>
                <w:color w:val="auto"/>
                <w:sz w:val="20"/>
              </w:rPr>
            </w:pPr>
            <w:r w:rsidRPr="001427AF">
              <w:rPr>
                <w:rFonts w:ascii="Arial" w:hAnsi="Arial" w:cs="Arial"/>
                <w:b/>
                <w:bCs/>
                <w:color w:val="auto"/>
                <w:sz w:val="20"/>
              </w:rPr>
              <w:t>Actual number of assessments given</w:t>
            </w:r>
          </w:p>
        </w:tc>
        <w:tc>
          <w:tcPr>
            <w:tcW w:w="2201" w:type="dxa"/>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ACB9CA" w:themeFill="text2" w:themeFillTint="66"/>
            <w:vAlign w:val="center"/>
            <w:hideMark/>
          </w:tcPr>
          <w:p w14:paraId="48AC8EA9" w14:textId="77777777" w:rsidR="003D060B" w:rsidRPr="001427AF" w:rsidRDefault="003D060B">
            <w:pPr>
              <w:spacing w:line="240" w:lineRule="auto"/>
              <w:ind w:right="90"/>
              <w:contextualSpacing/>
              <w:jc w:val="center"/>
              <w:textAlignment w:val="baseline"/>
              <w:rPr>
                <w:rFonts w:ascii="Arial" w:hAnsi="Arial" w:cs="Arial"/>
                <w:b/>
                <w:bCs/>
                <w:color w:val="auto"/>
                <w:sz w:val="20"/>
              </w:rPr>
            </w:pPr>
            <w:r w:rsidRPr="001427AF">
              <w:rPr>
                <w:rFonts w:ascii="Arial" w:hAnsi="Arial" w:cs="Arial"/>
                <w:b/>
                <w:bCs/>
                <w:color w:val="auto"/>
                <w:sz w:val="20"/>
              </w:rPr>
              <w:t>Difference in actual number of assessments and 95% target</w:t>
            </w:r>
          </w:p>
          <w:p w14:paraId="1EE9BEBD" w14:textId="77777777" w:rsidR="003D060B" w:rsidRPr="001427AF" w:rsidRDefault="003D060B">
            <w:pPr>
              <w:spacing w:line="240" w:lineRule="auto"/>
              <w:ind w:right="75"/>
              <w:contextualSpacing/>
              <w:jc w:val="center"/>
              <w:textAlignment w:val="baseline"/>
              <w:rPr>
                <w:rFonts w:ascii="Arial" w:hAnsi="Arial" w:cs="Arial"/>
                <w:b/>
                <w:bCs/>
                <w:color w:val="auto"/>
                <w:sz w:val="20"/>
              </w:rPr>
            </w:pPr>
            <w:r w:rsidRPr="001427AF">
              <w:rPr>
                <w:rFonts w:ascii="Arial" w:hAnsi="Arial" w:cs="Arial"/>
                <w:b/>
                <w:bCs/>
                <w:color w:val="auto"/>
                <w:sz w:val="20"/>
              </w:rPr>
              <w:t>(</w:t>
            </w:r>
            <w:bookmarkStart w:id="351" w:name="_Int_qaJaXn4O"/>
            <w:r w:rsidRPr="001427AF">
              <w:rPr>
                <w:rFonts w:ascii="Arial" w:hAnsi="Arial" w:cs="Arial"/>
                <w:b/>
                <w:bCs/>
                <w:color w:val="auto"/>
                <w:sz w:val="20"/>
              </w:rPr>
              <w:t>Added</w:t>
            </w:r>
            <w:bookmarkEnd w:id="351"/>
            <w:r w:rsidRPr="001427AF">
              <w:rPr>
                <w:rFonts w:ascii="Arial" w:hAnsi="Arial" w:cs="Arial"/>
                <w:b/>
                <w:bCs/>
                <w:color w:val="auto"/>
                <w:sz w:val="20"/>
              </w:rPr>
              <w:t xml:space="preserve"> to denominator)</w:t>
            </w:r>
          </w:p>
        </w:tc>
        <w:tc>
          <w:tcPr>
            <w:tcW w:w="1359" w:type="dxa"/>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ACB9CA" w:themeFill="text2" w:themeFillTint="66"/>
            <w:vAlign w:val="center"/>
            <w:hideMark/>
          </w:tcPr>
          <w:p w14:paraId="01A1CFFA" w14:textId="265FB385" w:rsidR="00AB2261" w:rsidRPr="001427AF" w:rsidRDefault="00AB2261">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Proficiency</w:t>
            </w:r>
          </w:p>
          <w:p w14:paraId="08472E3B" w14:textId="739AA7AC" w:rsidR="003D060B" w:rsidRPr="001427AF" w:rsidRDefault="00AB2261">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d</w:t>
            </w:r>
            <w:r w:rsidR="003D060B" w:rsidRPr="001427AF">
              <w:rPr>
                <w:rFonts w:ascii="Arial" w:hAnsi="Arial" w:cs="Arial"/>
                <w:b/>
                <w:bCs/>
                <w:color w:val="auto"/>
                <w:sz w:val="20"/>
              </w:rPr>
              <w:t>enominator</w:t>
            </w:r>
          </w:p>
        </w:tc>
      </w:tr>
      <w:tr w:rsidR="003D060B" w:rsidRPr="001427AF" w14:paraId="02F1A455" w14:textId="77777777" w:rsidTr="00160A35">
        <w:trPr>
          <w:trHeight w:val="525"/>
        </w:trPr>
        <w:tc>
          <w:tcPr>
            <w:tcW w:w="1581" w:type="dxa"/>
            <w:tcBorders>
              <w:top w:val="single" w:sz="4" w:space="0" w:color="auto"/>
              <w:left w:val="single" w:sz="6" w:space="0" w:color="000000" w:themeColor="text1"/>
              <w:bottom w:val="single" w:sz="6" w:space="0" w:color="000000" w:themeColor="text1"/>
              <w:right w:val="single" w:sz="6" w:space="0" w:color="000000" w:themeColor="text1"/>
            </w:tcBorders>
            <w:vAlign w:val="center"/>
            <w:hideMark/>
          </w:tcPr>
          <w:p w14:paraId="05D61F9C" w14:textId="77777777" w:rsidR="003D060B" w:rsidRPr="001427AF" w:rsidRDefault="003D060B">
            <w:pPr>
              <w:spacing w:line="240" w:lineRule="auto"/>
              <w:ind w:right="300"/>
              <w:contextualSpacing/>
              <w:textAlignment w:val="baseline"/>
              <w:rPr>
                <w:rFonts w:ascii="Arial" w:hAnsi="Arial" w:cs="Arial"/>
                <w:color w:val="auto"/>
                <w:sz w:val="20"/>
              </w:rPr>
            </w:pPr>
            <w:r w:rsidRPr="001427AF">
              <w:rPr>
                <w:rFonts w:ascii="Arial" w:hAnsi="Arial" w:cs="Arial"/>
                <w:color w:val="auto"/>
                <w:sz w:val="20"/>
              </w:rPr>
              <w:t xml:space="preserve"> Grades 3–8 </w:t>
            </w:r>
          </w:p>
          <w:p w14:paraId="55CDF55A" w14:textId="77777777" w:rsidR="00EC5020" w:rsidRDefault="003D060B">
            <w:pPr>
              <w:spacing w:line="240" w:lineRule="auto"/>
              <w:ind w:right="300"/>
              <w:contextualSpacing/>
              <w:textAlignment w:val="baseline"/>
              <w:rPr>
                <w:rFonts w:ascii="Arial" w:hAnsi="Arial" w:cs="Arial"/>
                <w:color w:val="auto"/>
                <w:sz w:val="20"/>
              </w:rPr>
            </w:pPr>
            <w:r w:rsidRPr="001427AF">
              <w:rPr>
                <w:rFonts w:ascii="Arial" w:hAnsi="Arial" w:cs="Arial"/>
                <w:color w:val="auto"/>
                <w:sz w:val="20"/>
              </w:rPr>
              <w:t xml:space="preserve"> Reading </w:t>
            </w:r>
            <w:r w:rsidR="00EC5020">
              <w:rPr>
                <w:rFonts w:ascii="Arial" w:hAnsi="Arial" w:cs="Arial"/>
                <w:color w:val="auto"/>
                <w:sz w:val="20"/>
              </w:rPr>
              <w:t xml:space="preserve"> </w:t>
            </w:r>
          </w:p>
          <w:p w14:paraId="02875C8C" w14:textId="1DD30E0E" w:rsidR="003D060B" w:rsidRPr="001427AF" w:rsidRDefault="00EC5020">
            <w:pPr>
              <w:spacing w:line="240" w:lineRule="auto"/>
              <w:ind w:right="300"/>
              <w:contextualSpacing/>
              <w:textAlignment w:val="baseline"/>
              <w:rPr>
                <w:rFonts w:ascii="Arial" w:hAnsi="Arial" w:cs="Arial"/>
                <w:color w:val="auto"/>
                <w:sz w:val="20"/>
              </w:rPr>
            </w:pPr>
            <w:r>
              <w:rPr>
                <w:rFonts w:ascii="Arial" w:hAnsi="Arial" w:cs="Arial"/>
                <w:color w:val="auto"/>
                <w:sz w:val="20"/>
              </w:rPr>
              <w:t xml:space="preserve"> </w:t>
            </w:r>
            <w:r w:rsidR="003D060B" w:rsidRPr="001427AF">
              <w:rPr>
                <w:rFonts w:ascii="Arial" w:hAnsi="Arial" w:cs="Arial"/>
                <w:color w:val="auto"/>
                <w:sz w:val="20"/>
              </w:rPr>
              <w:t>EOG </w:t>
            </w:r>
          </w:p>
        </w:tc>
        <w:tc>
          <w:tcPr>
            <w:tcW w:w="1584" w:type="dxa"/>
            <w:tcBorders>
              <w:top w:val="nil"/>
              <w:left w:val="nil"/>
              <w:bottom w:val="single" w:sz="6" w:space="0" w:color="000000" w:themeColor="text1"/>
              <w:right w:val="single" w:sz="6" w:space="0" w:color="000000" w:themeColor="text1"/>
            </w:tcBorders>
            <w:vAlign w:val="center"/>
            <w:hideMark/>
          </w:tcPr>
          <w:p w14:paraId="1DF6152B" w14:textId="77777777" w:rsidR="003D060B" w:rsidRPr="001427AF" w:rsidRDefault="003D060B">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100</w:t>
            </w:r>
          </w:p>
        </w:tc>
        <w:tc>
          <w:tcPr>
            <w:tcW w:w="1585" w:type="dxa"/>
            <w:tcBorders>
              <w:top w:val="nil"/>
              <w:left w:val="nil"/>
              <w:bottom w:val="single" w:sz="6" w:space="0" w:color="000000" w:themeColor="text1"/>
              <w:right w:val="single" w:sz="6" w:space="0" w:color="000000" w:themeColor="text1"/>
            </w:tcBorders>
            <w:vAlign w:val="center"/>
            <w:hideMark/>
          </w:tcPr>
          <w:p w14:paraId="0496CFD8" w14:textId="77777777" w:rsidR="003D060B" w:rsidRPr="001427AF" w:rsidRDefault="003D060B">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95</w:t>
            </w:r>
          </w:p>
        </w:tc>
        <w:tc>
          <w:tcPr>
            <w:tcW w:w="1590" w:type="dxa"/>
            <w:tcBorders>
              <w:top w:val="nil"/>
              <w:left w:val="nil"/>
              <w:bottom w:val="single" w:sz="6" w:space="0" w:color="000000" w:themeColor="text1"/>
              <w:right w:val="single" w:sz="18" w:space="0" w:color="000000" w:themeColor="text1"/>
            </w:tcBorders>
            <w:vAlign w:val="center"/>
            <w:hideMark/>
          </w:tcPr>
          <w:p w14:paraId="28B044F2" w14:textId="77777777" w:rsidR="003D060B" w:rsidRPr="001427AF" w:rsidRDefault="003D060B">
            <w:pPr>
              <w:spacing w:line="240" w:lineRule="auto"/>
              <w:ind w:right="-15"/>
              <w:contextualSpacing/>
              <w:jc w:val="center"/>
              <w:textAlignment w:val="baseline"/>
              <w:rPr>
                <w:rFonts w:ascii="Arial" w:hAnsi="Arial" w:cs="Arial"/>
                <w:color w:val="auto"/>
                <w:sz w:val="20"/>
              </w:rPr>
            </w:pPr>
            <w:r w:rsidRPr="001427AF">
              <w:rPr>
                <w:rFonts w:ascii="Arial" w:hAnsi="Arial" w:cs="Arial"/>
                <w:color w:val="auto"/>
                <w:sz w:val="20"/>
              </w:rPr>
              <w:t>90</w:t>
            </w:r>
          </w:p>
        </w:tc>
        <w:tc>
          <w:tcPr>
            <w:tcW w:w="2201" w:type="dxa"/>
            <w:tcBorders>
              <w:top w:val="nil"/>
              <w:left w:val="single" w:sz="18" w:space="0" w:color="000000" w:themeColor="text1"/>
              <w:bottom w:val="single" w:sz="18" w:space="0" w:color="000000" w:themeColor="text1"/>
              <w:right w:val="single" w:sz="18" w:space="0" w:color="000000" w:themeColor="text1"/>
            </w:tcBorders>
            <w:vAlign w:val="center"/>
            <w:hideMark/>
          </w:tcPr>
          <w:p w14:paraId="0D51C997" w14:textId="77777777" w:rsidR="003D060B" w:rsidRPr="001427AF" w:rsidRDefault="003D060B">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5</w:t>
            </w:r>
          </w:p>
        </w:tc>
        <w:tc>
          <w:tcPr>
            <w:tcW w:w="1359" w:type="dxa"/>
            <w:tcBorders>
              <w:top w:val="nil"/>
              <w:left w:val="single" w:sz="18" w:space="0" w:color="000000" w:themeColor="text1"/>
              <w:bottom w:val="single" w:sz="18" w:space="0" w:color="000000" w:themeColor="text1"/>
              <w:right w:val="single" w:sz="18" w:space="0" w:color="000000" w:themeColor="text1"/>
            </w:tcBorders>
            <w:vAlign w:val="center"/>
            <w:hideMark/>
          </w:tcPr>
          <w:p w14:paraId="15AF58E2" w14:textId="77777777" w:rsidR="003D060B" w:rsidRPr="001427AF" w:rsidRDefault="003D060B">
            <w:pPr>
              <w:spacing w:line="240" w:lineRule="auto"/>
              <w:ind w:left="75" w:right="75"/>
              <w:contextualSpacing/>
              <w:jc w:val="center"/>
              <w:textAlignment w:val="baseline"/>
              <w:rPr>
                <w:rFonts w:ascii="Arial" w:hAnsi="Arial" w:cs="Arial"/>
                <w:color w:val="auto"/>
                <w:sz w:val="20"/>
              </w:rPr>
            </w:pPr>
            <w:r w:rsidRPr="001427AF">
              <w:rPr>
                <w:rFonts w:ascii="Arial" w:hAnsi="Arial" w:cs="Arial"/>
                <w:color w:val="auto"/>
                <w:sz w:val="20"/>
              </w:rPr>
              <w:t>95</w:t>
            </w:r>
          </w:p>
        </w:tc>
      </w:tr>
    </w:tbl>
    <w:p w14:paraId="7C224F8A" w14:textId="77777777" w:rsidR="005E5FB5" w:rsidRPr="001427AF" w:rsidRDefault="005E5FB5" w:rsidP="00B76243">
      <w:pPr>
        <w:pStyle w:val="Heading3"/>
      </w:pPr>
      <w:bookmarkStart w:id="352" w:name="_Toc135812518"/>
      <w:bookmarkStart w:id="353" w:name="_Toc136418899"/>
      <w:bookmarkStart w:id="354" w:name="_Toc136419155"/>
      <w:bookmarkStart w:id="355" w:name="_Toc164434977"/>
      <w:bookmarkStart w:id="356" w:name="_Toc225404969"/>
      <w:r w:rsidRPr="001427AF">
        <w:t>Calculations of the Reading EOG Proficiency (Grades 3–8) for the Accountability Model (SPG)</w:t>
      </w:r>
      <w:bookmarkEnd w:id="352"/>
      <w:bookmarkEnd w:id="353"/>
      <w:bookmarkEnd w:id="354"/>
      <w:bookmarkEnd w:id="355"/>
      <w:bookmarkEnd w:id="356"/>
      <w:r w:rsidRPr="001427AF">
        <w:t> </w:t>
      </w:r>
    </w:p>
    <w:p w14:paraId="4513FB1C" w14:textId="1A9C6DC4" w:rsidR="0012036F" w:rsidRDefault="0012036F" w:rsidP="0012036F">
      <w:pPr>
        <w:spacing w:line="240" w:lineRule="auto"/>
        <w:contextualSpacing/>
        <w:textAlignment w:val="baseline"/>
        <w:rPr>
          <w:rFonts w:ascii="Arial" w:hAnsi="Arial" w:cs="Arial"/>
          <w:color w:val="auto"/>
        </w:rPr>
      </w:pPr>
      <w:r w:rsidRPr="001427AF">
        <w:rPr>
          <w:rFonts w:ascii="Arial" w:hAnsi="Arial" w:cs="Arial"/>
          <w:color w:val="auto"/>
        </w:rPr>
        <w:t xml:space="preserve">Continuing with the example provided in Section 3.1.1, </w:t>
      </w:r>
      <w:r w:rsidR="003F2426" w:rsidRPr="001427AF">
        <w:rPr>
          <w:rFonts w:ascii="Arial" w:hAnsi="Arial" w:cs="Arial"/>
          <w:color w:val="auto"/>
        </w:rPr>
        <w:t>t</w:t>
      </w:r>
      <w:r w:rsidR="00483945" w:rsidRPr="001427AF">
        <w:rPr>
          <w:rFonts w:ascii="Arial" w:hAnsi="Arial" w:cs="Arial"/>
          <w:color w:val="auto"/>
        </w:rPr>
        <w:t xml:space="preserve">able 3.1.2 shows </w:t>
      </w:r>
      <w:r w:rsidR="00700AF1" w:rsidRPr="001427AF">
        <w:rPr>
          <w:rFonts w:ascii="Arial" w:hAnsi="Arial" w:cs="Arial"/>
          <w:color w:val="auto"/>
        </w:rPr>
        <w:t xml:space="preserve">that </w:t>
      </w:r>
      <w:r w:rsidRPr="001427AF">
        <w:rPr>
          <w:rFonts w:ascii="Arial" w:hAnsi="Arial" w:cs="Arial"/>
          <w:color w:val="auto"/>
        </w:rPr>
        <w:t>out of the ninety assessments administered, seventy were grade-level proficient (</w:t>
      </w:r>
      <w:r w:rsidR="00483945" w:rsidRPr="001427AF">
        <w:rPr>
          <w:rFonts w:ascii="Arial" w:hAnsi="Arial" w:cs="Arial"/>
          <w:color w:val="auto"/>
        </w:rPr>
        <w:t xml:space="preserve">GLP </w:t>
      </w:r>
      <w:r w:rsidRPr="001427AF">
        <w:rPr>
          <w:rFonts w:ascii="Arial" w:hAnsi="Arial" w:cs="Arial"/>
          <w:color w:val="auto"/>
        </w:rPr>
        <w:t>Levels 3–5). Without the participation rule applied, the proficiency rate would have been 77.8% (70/90</w:t>
      </w:r>
      <w:r w:rsidR="00483945" w:rsidRPr="001427AF">
        <w:rPr>
          <w:rFonts w:ascii="Arial" w:hAnsi="Arial" w:cs="Arial"/>
          <w:color w:val="auto"/>
        </w:rPr>
        <w:t xml:space="preserve"> </w:t>
      </w:r>
      <w:r w:rsidRPr="001427AF">
        <w:rPr>
          <w:rFonts w:ascii="Arial" w:hAnsi="Arial" w:cs="Arial"/>
          <w:color w:val="auto"/>
        </w:rPr>
        <w:t>=</w:t>
      </w:r>
      <w:r w:rsidR="00483945" w:rsidRPr="001427AF">
        <w:rPr>
          <w:rFonts w:ascii="Arial" w:hAnsi="Arial" w:cs="Arial"/>
          <w:color w:val="auto"/>
        </w:rPr>
        <w:t xml:space="preserve"> </w:t>
      </w:r>
      <w:r w:rsidRPr="001427AF">
        <w:rPr>
          <w:rFonts w:ascii="Arial" w:hAnsi="Arial" w:cs="Arial"/>
          <w:color w:val="auto"/>
        </w:rPr>
        <w:t xml:space="preserve">77.8%). Once the participation consequence </w:t>
      </w:r>
      <w:r w:rsidR="00A06934" w:rsidRPr="001427AF">
        <w:rPr>
          <w:rFonts w:ascii="Arial" w:hAnsi="Arial" w:cs="Arial"/>
          <w:color w:val="auto"/>
        </w:rPr>
        <w:t xml:space="preserve">was </w:t>
      </w:r>
      <w:r w:rsidRPr="001427AF">
        <w:rPr>
          <w:rFonts w:ascii="Arial" w:hAnsi="Arial" w:cs="Arial"/>
          <w:color w:val="auto"/>
        </w:rPr>
        <w:t xml:space="preserve">applied and the denominator increased by </w:t>
      </w:r>
      <w:r w:rsidRPr="001427AF" w:rsidDel="00404CDD">
        <w:rPr>
          <w:rFonts w:ascii="Arial" w:hAnsi="Arial" w:cs="Arial"/>
          <w:color w:val="auto"/>
        </w:rPr>
        <w:t>five</w:t>
      </w:r>
      <w:r w:rsidRPr="001427AF">
        <w:rPr>
          <w:rFonts w:ascii="Arial" w:hAnsi="Arial" w:cs="Arial"/>
          <w:color w:val="auto"/>
        </w:rPr>
        <w:t>, the proficiency rate dropped to 73.7% (70/95 = 73.7%). </w:t>
      </w:r>
    </w:p>
    <w:p w14:paraId="2A954055" w14:textId="622B311A" w:rsidR="0012036F" w:rsidRPr="001427AF" w:rsidDel="00D3204B" w:rsidRDefault="0012036F" w:rsidP="0012036F">
      <w:pPr>
        <w:spacing w:line="240" w:lineRule="auto"/>
        <w:contextualSpacing/>
        <w:textAlignment w:val="baseline"/>
        <w:rPr>
          <w:rFonts w:ascii="Arial" w:hAnsi="Arial" w:cs="Arial"/>
          <w:color w:val="auto"/>
          <w:szCs w:val="24"/>
        </w:rPr>
      </w:pPr>
    </w:p>
    <w:p w14:paraId="3AD1CA95" w14:textId="38D5F8D8" w:rsidR="0012036F" w:rsidRPr="001427AF" w:rsidDel="0050686C" w:rsidRDefault="0012036F" w:rsidP="0012036F">
      <w:pPr>
        <w:spacing w:line="240" w:lineRule="auto"/>
        <w:contextualSpacing/>
        <w:textAlignment w:val="baseline"/>
        <w:rPr>
          <w:rFonts w:ascii="Arial" w:hAnsi="Arial" w:cs="Arial"/>
          <w:color w:val="auto"/>
          <w:sz w:val="20"/>
        </w:rPr>
      </w:pPr>
      <w:r w:rsidRPr="001427AF">
        <w:rPr>
          <w:rFonts w:ascii="Arial" w:hAnsi="Arial" w:cs="Arial"/>
          <w:color w:val="auto"/>
          <w:sz w:val="20"/>
        </w:rPr>
        <w:t>TABLE</w:t>
      </w:r>
      <w:r w:rsidRPr="001427AF" w:rsidDel="00686FC8">
        <w:rPr>
          <w:rFonts w:ascii="Arial" w:hAnsi="Arial" w:cs="Arial"/>
          <w:color w:val="auto"/>
          <w:sz w:val="20"/>
        </w:rPr>
        <w:t xml:space="preserve"> </w:t>
      </w:r>
      <w:r w:rsidRPr="001427AF" w:rsidDel="0050686C">
        <w:rPr>
          <w:rFonts w:ascii="Arial" w:hAnsi="Arial" w:cs="Arial"/>
          <w:color w:val="auto"/>
          <w:sz w:val="20"/>
        </w:rPr>
        <w:t>3.</w:t>
      </w:r>
      <w:r w:rsidRPr="001427AF">
        <w:rPr>
          <w:rFonts w:ascii="Arial" w:hAnsi="Arial" w:cs="Arial"/>
          <w:color w:val="auto"/>
          <w:sz w:val="20"/>
        </w:rPr>
        <w:t>1.</w:t>
      </w:r>
      <w:r w:rsidRPr="001427AF" w:rsidDel="0050686C">
        <w:rPr>
          <w:rFonts w:ascii="Arial" w:hAnsi="Arial" w:cs="Arial"/>
          <w:color w:val="auto"/>
          <w:sz w:val="20"/>
        </w:rPr>
        <w:t>2. EOG GLP proficiency calculation for schools not meeting participation</w:t>
      </w:r>
    </w:p>
    <w:p w14:paraId="2FC6395F" w14:textId="77777777" w:rsidR="0012036F" w:rsidRPr="001427AF" w:rsidRDefault="0012036F" w:rsidP="00CA5853">
      <w:pPr>
        <w:pStyle w:val="ListParagraph"/>
        <w:keepNext/>
        <w:keepLines/>
        <w:numPr>
          <w:ilvl w:val="2"/>
          <w:numId w:val="93"/>
        </w:numPr>
        <w:spacing w:line="240" w:lineRule="auto"/>
        <w:contextualSpacing w:val="0"/>
        <w:outlineLvl w:val="2"/>
        <w:rPr>
          <w:rFonts w:ascii="Arial" w:hAnsi="Arial" w:cs="Arial"/>
          <w:b/>
          <w:vanish/>
          <w:color w:val="auto"/>
          <w:kern w:val="20"/>
        </w:rPr>
      </w:pPr>
      <w:bookmarkStart w:id="357" w:name="_Toc99019908"/>
      <w:bookmarkStart w:id="358" w:name="_Toc99628509"/>
      <w:bookmarkStart w:id="359" w:name="_Toc99629231"/>
      <w:bookmarkStart w:id="360" w:name="_Toc99629432"/>
      <w:bookmarkStart w:id="361" w:name="_Toc99698030"/>
      <w:bookmarkStart w:id="362" w:name="_Toc100061611"/>
      <w:bookmarkStart w:id="363" w:name="_Toc100061902"/>
      <w:bookmarkStart w:id="364" w:name="_Toc100126154"/>
      <w:bookmarkStart w:id="365" w:name="_Toc100128073"/>
      <w:bookmarkStart w:id="366" w:name="_Toc100128745"/>
      <w:bookmarkStart w:id="367" w:name="_Toc100128949"/>
      <w:bookmarkStart w:id="368" w:name="_Toc100129153"/>
      <w:bookmarkStart w:id="369" w:name="_Toc100129443"/>
      <w:bookmarkStart w:id="370" w:name="_Toc100129812"/>
      <w:bookmarkStart w:id="371" w:name="_Toc100132320"/>
      <w:bookmarkStart w:id="372" w:name="_Toc100132543"/>
      <w:bookmarkStart w:id="373" w:name="_Toc100132747"/>
      <w:bookmarkStart w:id="374" w:name="_Toc100133285"/>
      <w:bookmarkStart w:id="375" w:name="_Toc100135989"/>
      <w:bookmarkStart w:id="376" w:name="_Toc100136193"/>
      <w:bookmarkStart w:id="377" w:name="_Toc100136548"/>
      <w:bookmarkStart w:id="378" w:name="_Toc100136752"/>
      <w:bookmarkStart w:id="379" w:name="_Toc100151446"/>
      <w:bookmarkStart w:id="380" w:name="_Toc100151650"/>
      <w:bookmarkStart w:id="381" w:name="_Toc100151854"/>
      <w:bookmarkStart w:id="382" w:name="_Toc100213989"/>
      <w:bookmarkStart w:id="383" w:name="_Toc100214350"/>
      <w:bookmarkStart w:id="384" w:name="_Toc100214554"/>
      <w:bookmarkStart w:id="385" w:name="_Toc100214752"/>
      <w:bookmarkStart w:id="386" w:name="_Toc100215403"/>
      <w:bookmarkStart w:id="387" w:name="_Toc102396884"/>
      <w:bookmarkStart w:id="388" w:name="_Toc102997745"/>
      <w:bookmarkStart w:id="389" w:name="_Toc102997851"/>
      <w:bookmarkStart w:id="390" w:name="_Toc102997957"/>
      <w:bookmarkStart w:id="391" w:name="_Toc106102876"/>
      <w:bookmarkStart w:id="392" w:name="_Toc106102981"/>
      <w:bookmarkStart w:id="393" w:name="_Toc111703644"/>
      <w:bookmarkStart w:id="394" w:name="_Toc111710336"/>
      <w:bookmarkStart w:id="395" w:name="_Toc111712106"/>
      <w:bookmarkStart w:id="396" w:name="_Toc111712194"/>
      <w:bookmarkStart w:id="397" w:name="_Toc111713325"/>
      <w:bookmarkStart w:id="398" w:name="_Toc111713616"/>
      <w:bookmarkStart w:id="399" w:name="_Toc111713750"/>
      <w:bookmarkStart w:id="400" w:name="_Toc111713837"/>
      <w:bookmarkStart w:id="401" w:name="_Toc111714378"/>
      <w:bookmarkStart w:id="402" w:name="_Toc111714530"/>
      <w:bookmarkStart w:id="403" w:name="_Toc112317397"/>
      <w:bookmarkStart w:id="404" w:name="_Toc112317516"/>
      <w:bookmarkStart w:id="405" w:name="_Toc112317609"/>
      <w:bookmarkStart w:id="406" w:name="_Toc112318732"/>
      <w:bookmarkStart w:id="407" w:name="_Toc112319976"/>
      <w:bookmarkStart w:id="408" w:name="_Toc112331983"/>
      <w:bookmarkStart w:id="409" w:name="_Toc112332259"/>
      <w:bookmarkStart w:id="410" w:name="_Toc112332494"/>
      <w:bookmarkStart w:id="411" w:name="_Toc112332680"/>
      <w:bookmarkStart w:id="412" w:name="_Toc112332972"/>
      <w:bookmarkStart w:id="413" w:name="_Toc112333571"/>
      <w:bookmarkStart w:id="414" w:name="_Toc112393499"/>
      <w:bookmarkStart w:id="415" w:name="_Toc114211794"/>
      <w:bookmarkStart w:id="416" w:name="_Toc116913536"/>
      <w:bookmarkStart w:id="417" w:name="_Toc116913738"/>
      <w:bookmarkStart w:id="418" w:name="_Toc117160480"/>
      <w:bookmarkStart w:id="419" w:name="_Toc117758914"/>
      <w:bookmarkStart w:id="420" w:name="_Toc117763338"/>
      <w:bookmarkStart w:id="421" w:name="_Toc117842295"/>
      <w:bookmarkStart w:id="422" w:name="_Toc118360040"/>
      <w:bookmarkStart w:id="423" w:name="_Toc118360425"/>
      <w:bookmarkStart w:id="424" w:name="_Toc118360606"/>
      <w:bookmarkStart w:id="425" w:name="_Toc118360784"/>
      <w:bookmarkStart w:id="426" w:name="_Toc118360974"/>
      <w:bookmarkStart w:id="427" w:name="_Toc123897461"/>
      <w:bookmarkStart w:id="428" w:name="_Toc123898583"/>
      <w:bookmarkStart w:id="429" w:name="_Toc123899029"/>
      <w:bookmarkStart w:id="430" w:name="_Toc123899211"/>
      <w:bookmarkStart w:id="431" w:name="_Toc123902740"/>
      <w:bookmarkStart w:id="432" w:name="_Toc123902921"/>
      <w:bookmarkStart w:id="433" w:name="_Toc124449396"/>
      <w:bookmarkStart w:id="434" w:name="_Toc135034525"/>
      <w:bookmarkStart w:id="435" w:name="_Toc135809629"/>
      <w:bookmarkStart w:id="436" w:name="_Toc135811782"/>
      <w:bookmarkStart w:id="437" w:name="_Toc135812519"/>
      <w:bookmarkStart w:id="438" w:name="_Toc135812713"/>
      <w:bookmarkStart w:id="439" w:name="_Toc135813272"/>
      <w:bookmarkStart w:id="440" w:name="_Toc136337997"/>
      <w:bookmarkStart w:id="441" w:name="_Toc136338230"/>
      <w:bookmarkStart w:id="442" w:name="_Toc136338410"/>
      <w:bookmarkStart w:id="443" w:name="_Toc136354391"/>
      <w:bookmarkStart w:id="444" w:name="_Toc136354696"/>
      <w:bookmarkStart w:id="445" w:name="_Toc136418638"/>
      <w:bookmarkStart w:id="446" w:name="_Toc136418900"/>
      <w:bookmarkStart w:id="447" w:name="_Toc136419156"/>
      <w:bookmarkStart w:id="448" w:name="_Toc136419412"/>
      <w:bookmarkStart w:id="449" w:name="_Toc137441898"/>
      <w:bookmarkStart w:id="450" w:name="_Toc137443122"/>
      <w:bookmarkStart w:id="451" w:name="_Toc137443871"/>
      <w:bookmarkStart w:id="452" w:name="_Toc142887851"/>
      <w:bookmarkStart w:id="453" w:name="_Toc145658587"/>
      <w:bookmarkStart w:id="454" w:name="_Toc150421476"/>
      <w:bookmarkStart w:id="455" w:name="_Toc160974059"/>
      <w:bookmarkStart w:id="456" w:name="_Toc164434978"/>
      <w:bookmarkStart w:id="457" w:name="_Toc168309559"/>
      <w:bookmarkStart w:id="458" w:name="_Toc173833031"/>
      <w:bookmarkStart w:id="459" w:name="_Toc186785598"/>
      <w:bookmarkStart w:id="460" w:name="_Toc189568559"/>
      <w:bookmarkStart w:id="461" w:name="_Toc190264948"/>
      <w:bookmarkStart w:id="462" w:name="_Toc191295171"/>
      <w:bookmarkStart w:id="463" w:name="_Toc193453748"/>
      <w:bookmarkStart w:id="464" w:name="_Toc194390504"/>
      <w:bookmarkStart w:id="465" w:name="_Toc195268595"/>
      <w:bookmarkStart w:id="466" w:name="_Toc202164591"/>
      <w:bookmarkStart w:id="467" w:name="_Toc202436688"/>
      <w:bookmarkStart w:id="468" w:name="_Toc203726425"/>
      <w:bookmarkStart w:id="469" w:name="_Toc207780348"/>
      <w:bookmarkStart w:id="470" w:name="_Toc209166429"/>
      <w:bookmarkStart w:id="471" w:name="_Toc214280712"/>
      <w:bookmarkStart w:id="472" w:name="_Toc214295910"/>
      <w:bookmarkStart w:id="473" w:name="_Toc214296094"/>
      <w:bookmarkStart w:id="474" w:name="_Toc214296382"/>
      <w:bookmarkStart w:id="475" w:name="_Toc216343212"/>
      <w:bookmarkStart w:id="476" w:name="_Toc218853644"/>
      <w:bookmarkStart w:id="477" w:name="_Toc221081918"/>
      <w:bookmarkStart w:id="478" w:name="_Toc221083246"/>
      <w:bookmarkStart w:id="479" w:name="_Toc221097863"/>
      <w:bookmarkStart w:id="480" w:name="_Toc225232626"/>
      <w:bookmarkStart w:id="481" w:name="_Toc225232809"/>
      <w:bookmarkStart w:id="482" w:name="_Toc225232992"/>
      <w:bookmarkStart w:id="483" w:name="_Toc225233175"/>
      <w:bookmarkStart w:id="484" w:name="_Toc225234175"/>
      <w:bookmarkStart w:id="485" w:name="_Toc225234360"/>
      <w:bookmarkStart w:id="486" w:name="_Toc225234545"/>
      <w:bookmarkStart w:id="487" w:name="_Toc225260320"/>
      <w:bookmarkStart w:id="488" w:name="_Toc225404970"/>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xample of a school not meeting End of Grade participation, including how grade level proficiency is taken into consideration. "/>
      </w:tblPr>
      <w:tblGrid>
        <w:gridCol w:w="1980"/>
        <w:gridCol w:w="1885"/>
        <w:gridCol w:w="1530"/>
        <w:gridCol w:w="1805"/>
        <w:gridCol w:w="2160"/>
      </w:tblGrid>
      <w:tr w:rsidR="00002F7E" w:rsidRPr="001427AF" w:rsidDel="0050686C" w14:paraId="2C3C1D47" w14:textId="77777777" w:rsidTr="00562CAA">
        <w:trPr>
          <w:trHeight w:val="881"/>
        </w:trPr>
        <w:tc>
          <w:tcPr>
            <w:tcW w:w="1980" w:type="dxa"/>
            <w:tcBorders>
              <w:top w:val="single" w:sz="4" w:space="0" w:color="auto"/>
              <w:left w:val="single" w:sz="4" w:space="0" w:color="auto"/>
            </w:tcBorders>
            <w:shd w:val="clear" w:color="auto" w:fill="ACB9CA" w:themeFill="text2" w:themeFillTint="66"/>
            <w:vAlign w:val="center"/>
          </w:tcPr>
          <w:p w14:paraId="03693F1C" w14:textId="76BF30BB" w:rsidR="00002F7E" w:rsidRPr="00E50497" w:rsidDel="0050686C" w:rsidRDefault="002A73EC">
            <w:pPr>
              <w:spacing w:line="240" w:lineRule="auto"/>
              <w:contextualSpacing/>
              <w:textAlignment w:val="baseline"/>
              <w:rPr>
                <w:rFonts w:ascii="Arial" w:hAnsi="Arial" w:cs="Arial"/>
                <w:color w:val="auto"/>
                <w:szCs w:val="24"/>
              </w:rPr>
            </w:pPr>
            <w:r w:rsidRPr="00160A35">
              <w:rPr>
                <w:rFonts w:ascii="Arial" w:hAnsi="Arial" w:cs="Arial"/>
                <w:b/>
                <w:bCs/>
                <w:color w:val="auto"/>
                <w:sz w:val="20"/>
              </w:rPr>
              <w:t>Test name</w:t>
            </w:r>
          </w:p>
        </w:tc>
        <w:tc>
          <w:tcPr>
            <w:tcW w:w="1885" w:type="dxa"/>
            <w:tcBorders>
              <w:top w:val="single" w:sz="4" w:space="0" w:color="auto"/>
            </w:tcBorders>
            <w:shd w:val="clear" w:color="auto" w:fill="ACB9CA" w:themeFill="text2" w:themeFillTint="66"/>
            <w:vAlign w:val="center"/>
          </w:tcPr>
          <w:p w14:paraId="77A6BFF4" w14:textId="77777777" w:rsidR="00002F7E" w:rsidRPr="001427AF" w:rsidDel="0050686C" w:rsidRDefault="00002F7E">
            <w:pPr>
              <w:spacing w:line="240" w:lineRule="auto"/>
              <w:contextualSpacing/>
              <w:jc w:val="center"/>
              <w:textAlignment w:val="baseline"/>
              <w:rPr>
                <w:rFonts w:ascii="Arial" w:hAnsi="Arial" w:cs="Arial"/>
                <w:b/>
                <w:color w:val="auto"/>
              </w:rPr>
            </w:pPr>
            <w:r w:rsidRPr="001427AF" w:rsidDel="0050686C">
              <w:rPr>
                <w:rFonts w:ascii="Arial" w:hAnsi="Arial" w:cs="Arial"/>
                <w:b/>
                <w:bCs/>
                <w:color w:val="auto"/>
                <w:sz w:val="20"/>
              </w:rPr>
              <w:t xml:space="preserve">Number of </w:t>
            </w:r>
            <w:r w:rsidRPr="001427AF">
              <w:rPr>
                <w:rFonts w:ascii="Arial" w:hAnsi="Arial" w:cs="Arial"/>
                <w:b/>
                <w:bCs/>
                <w:color w:val="auto"/>
                <w:sz w:val="20"/>
              </w:rPr>
              <w:t>s</w:t>
            </w:r>
            <w:r w:rsidRPr="001427AF" w:rsidDel="0050686C">
              <w:rPr>
                <w:rFonts w:ascii="Arial" w:hAnsi="Arial" w:cs="Arial"/>
                <w:b/>
                <w:bCs/>
                <w:color w:val="auto"/>
                <w:sz w:val="20"/>
              </w:rPr>
              <w:t xml:space="preserve">tudents </w:t>
            </w:r>
            <w:r w:rsidRPr="001427AF">
              <w:rPr>
                <w:rFonts w:ascii="Arial" w:hAnsi="Arial" w:cs="Arial"/>
                <w:b/>
                <w:bCs/>
                <w:color w:val="auto"/>
                <w:sz w:val="20"/>
              </w:rPr>
              <w:t>e</w:t>
            </w:r>
            <w:r w:rsidRPr="001427AF" w:rsidDel="0050686C">
              <w:rPr>
                <w:rFonts w:ascii="Arial" w:hAnsi="Arial" w:cs="Arial"/>
                <w:b/>
                <w:bCs/>
                <w:color w:val="auto"/>
                <w:sz w:val="20"/>
              </w:rPr>
              <w:t xml:space="preserve">xpected to </w:t>
            </w:r>
            <w:r w:rsidRPr="001427AF">
              <w:rPr>
                <w:rFonts w:ascii="Arial" w:hAnsi="Arial" w:cs="Arial"/>
                <w:b/>
                <w:bCs/>
                <w:color w:val="auto"/>
                <w:sz w:val="20"/>
              </w:rPr>
              <w:t>p</w:t>
            </w:r>
            <w:r w:rsidRPr="001427AF" w:rsidDel="0050686C">
              <w:rPr>
                <w:rFonts w:ascii="Arial" w:hAnsi="Arial" w:cs="Arial"/>
                <w:b/>
                <w:bCs/>
                <w:color w:val="auto"/>
                <w:sz w:val="20"/>
              </w:rPr>
              <w:t xml:space="preserve">articipate </w:t>
            </w:r>
            <w:r w:rsidRPr="001427AF">
              <w:rPr>
                <w:rFonts w:ascii="Arial" w:hAnsi="Arial" w:cs="Arial"/>
                <w:b/>
                <w:bCs/>
                <w:color w:val="auto"/>
                <w:sz w:val="20"/>
              </w:rPr>
              <w:t>in</w:t>
            </w:r>
            <w:r w:rsidRPr="001427AF" w:rsidDel="0050686C">
              <w:rPr>
                <w:rFonts w:ascii="Arial" w:hAnsi="Arial" w:cs="Arial"/>
                <w:b/>
                <w:bCs/>
                <w:color w:val="auto"/>
                <w:sz w:val="20"/>
              </w:rPr>
              <w:t xml:space="preserve"> the </w:t>
            </w:r>
            <w:r w:rsidRPr="001427AF">
              <w:rPr>
                <w:rFonts w:ascii="Arial" w:hAnsi="Arial" w:cs="Arial"/>
                <w:b/>
                <w:bCs/>
                <w:color w:val="auto"/>
                <w:sz w:val="20"/>
              </w:rPr>
              <w:t>a</w:t>
            </w:r>
            <w:r w:rsidRPr="001427AF" w:rsidDel="0050686C">
              <w:rPr>
                <w:rFonts w:ascii="Arial" w:hAnsi="Arial" w:cs="Arial"/>
                <w:b/>
                <w:bCs/>
                <w:color w:val="auto"/>
                <w:sz w:val="20"/>
              </w:rPr>
              <w:t>ssessment</w:t>
            </w:r>
          </w:p>
        </w:tc>
        <w:tc>
          <w:tcPr>
            <w:tcW w:w="1530" w:type="dxa"/>
            <w:shd w:val="clear" w:color="auto" w:fill="ACB9CA" w:themeFill="text2" w:themeFillTint="66"/>
            <w:vAlign w:val="center"/>
          </w:tcPr>
          <w:p w14:paraId="531EE8FA" w14:textId="77777777" w:rsidR="00002F7E" w:rsidRPr="001427AF" w:rsidDel="0050686C" w:rsidRDefault="00002F7E">
            <w:pPr>
              <w:spacing w:line="240" w:lineRule="auto"/>
              <w:contextualSpacing/>
              <w:jc w:val="center"/>
              <w:textAlignment w:val="baseline"/>
              <w:rPr>
                <w:rFonts w:ascii="Arial" w:hAnsi="Arial" w:cs="Arial"/>
                <w:b/>
                <w:bCs/>
                <w:color w:val="auto"/>
                <w:szCs w:val="24"/>
              </w:rPr>
            </w:pPr>
            <w:r w:rsidRPr="001427AF" w:rsidDel="0050686C">
              <w:rPr>
                <w:rFonts w:ascii="Arial" w:hAnsi="Arial" w:cs="Arial"/>
                <w:b/>
                <w:bCs/>
                <w:color w:val="auto"/>
                <w:sz w:val="20"/>
              </w:rPr>
              <w:t xml:space="preserve">Actual </w:t>
            </w:r>
            <w:r w:rsidRPr="001427AF">
              <w:rPr>
                <w:rFonts w:ascii="Arial" w:hAnsi="Arial" w:cs="Arial"/>
                <w:b/>
                <w:bCs/>
                <w:color w:val="auto"/>
                <w:sz w:val="20"/>
              </w:rPr>
              <w:t>n</w:t>
            </w:r>
            <w:r w:rsidRPr="001427AF" w:rsidDel="0050686C">
              <w:rPr>
                <w:rFonts w:ascii="Arial" w:hAnsi="Arial" w:cs="Arial"/>
                <w:b/>
                <w:bCs/>
                <w:color w:val="auto"/>
                <w:sz w:val="20"/>
              </w:rPr>
              <w:t xml:space="preserve">umber of </w:t>
            </w:r>
            <w:r w:rsidRPr="001427AF">
              <w:rPr>
                <w:rFonts w:ascii="Arial" w:hAnsi="Arial" w:cs="Arial"/>
                <w:b/>
                <w:bCs/>
                <w:color w:val="auto"/>
                <w:sz w:val="20"/>
              </w:rPr>
              <w:t>a</w:t>
            </w:r>
            <w:r w:rsidRPr="001427AF" w:rsidDel="0050686C">
              <w:rPr>
                <w:rFonts w:ascii="Arial" w:hAnsi="Arial" w:cs="Arial"/>
                <w:b/>
                <w:bCs/>
                <w:color w:val="auto"/>
                <w:sz w:val="20"/>
              </w:rPr>
              <w:t xml:space="preserve">ssessments </w:t>
            </w:r>
            <w:r w:rsidRPr="001427AF">
              <w:rPr>
                <w:rFonts w:ascii="Arial" w:hAnsi="Arial" w:cs="Arial"/>
                <w:b/>
                <w:bCs/>
                <w:color w:val="auto"/>
                <w:sz w:val="20"/>
              </w:rPr>
              <w:t>g</w:t>
            </w:r>
            <w:r w:rsidRPr="001427AF" w:rsidDel="0050686C">
              <w:rPr>
                <w:rFonts w:ascii="Arial" w:hAnsi="Arial" w:cs="Arial"/>
                <w:b/>
                <w:bCs/>
                <w:color w:val="auto"/>
                <w:sz w:val="20"/>
              </w:rPr>
              <w:t>iven</w:t>
            </w:r>
          </w:p>
        </w:tc>
        <w:tc>
          <w:tcPr>
            <w:tcW w:w="1805" w:type="dxa"/>
            <w:shd w:val="clear" w:color="auto" w:fill="ACB9CA" w:themeFill="text2" w:themeFillTint="66"/>
            <w:vAlign w:val="center"/>
          </w:tcPr>
          <w:p w14:paraId="63DCAA0A" w14:textId="77777777" w:rsidR="00002F7E" w:rsidRPr="001427AF" w:rsidRDefault="00002F7E">
            <w:pPr>
              <w:spacing w:line="240" w:lineRule="auto"/>
              <w:contextualSpacing/>
              <w:jc w:val="center"/>
              <w:textAlignment w:val="baseline"/>
              <w:rPr>
                <w:rFonts w:ascii="Arial" w:hAnsi="Arial" w:cs="Arial"/>
                <w:b/>
                <w:bCs/>
                <w:color w:val="auto"/>
                <w:sz w:val="20"/>
              </w:rPr>
            </w:pPr>
            <w:r w:rsidRPr="001427AF" w:rsidDel="0050686C">
              <w:rPr>
                <w:rFonts w:ascii="Arial" w:hAnsi="Arial" w:cs="Arial"/>
                <w:b/>
                <w:bCs/>
                <w:color w:val="auto"/>
                <w:sz w:val="20"/>
              </w:rPr>
              <w:t xml:space="preserve">Number of </w:t>
            </w:r>
            <w:r w:rsidRPr="001427AF">
              <w:rPr>
                <w:rFonts w:ascii="Arial" w:hAnsi="Arial" w:cs="Arial"/>
                <w:b/>
                <w:bCs/>
                <w:color w:val="auto"/>
                <w:sz w:val="20"/>
              </w:rPr>
              <w:t>p</w:t>
            </w:r>
            <w:r w:rsidRPr="001427AF" w:rsidDel="0050686C">
              <w:rPr>
                <w:rFonts w:ascii="Arial" w:hAnsi="Arial" w:cs="Arial"/>
                <w:b/>
                <w:bCs/>
                <w:color w:val="auto"/>
                <w:sz w:val="20"/>
              </w:rPr>
              <w:t>roficient</w:t>
            </w:r>
            <w:r w:rsidRPr="001427AF">
              <w:rPr>
                <w:rFonts w:ascii="Arial" w:hAnsi="Arial" w:cs="Arial"/>
                <w:b/>
                <w:bCs/>
                <w:color w:val="auto"/>
                <w:sz w:val="20"/>
              </w:rPr>
              <w:t xml:space="preserve"> s</w:t>
            </w:r>
            <w:r w:rsidRPr="001427AF" w:rsidDel="0050686C">
              <w:rPr>
                <w:rFonts w:ascii="Arial" w:hAnsi="Arial" w:cs="Arial"/>
                <w:b/>
                <w:bCs/>
                <w:color w:val="auto"/>
                <w:sz w:val="20"/>
              </w:rPr>
              <w:t xml:space="preserve">tudents </w:t>
            </w:r>
          </w:p>
          <w:p w14:paraId="23743F11" w14:textId="77777777" w:rsidR="00002F7E" w:rsidRPr="001427AF" w:rsidDel="0050686C" w:rsidRDefault="00002F7E">
            <w:pPr>
              <w:spacing w:line="240" w:lineRule="auto"/>
              <w:contextualSpacing/>
              <w:jc w:val="center"/>
              <w:textAlignment w:val="baseline"/>
              <w:rPr>
                <w:rFonts w:ascii="Arial" w:hAnsi="Arial" w:cs="Arial"/>
                <w:b/>
                <w:bCs/>
                <w:color w:val="auto"/>
                <w:sz w:val="20"/>
              </w:rPr>
            </w:pPr>
            <w:r w:rsidRPr="001427AF" w:rsidDel="0050686C">
              <w:rPr>
                <w:rFonts w:ascii="Arial" w:hAnsi="Arial" w:cs="Arial"/>
                <w:b/>
                <w:bCs/>
                <w:color w:val="auto"/>
                <w:sz w:val="20"/>
              </w:rPr>
              <w:t>(GLP Levels 3-5)</w:t>
            </w:r>
          </w:p>
        </w:tc>
        <w:tc>
          <w:tcPr>
            <w:tcW w:w="2160" w:type="dxa"/>
            <w:shd w:val="clear" w:color="auto" w:fill="ACB9CA" w:themeFill="text2" w:themeFillTint="66"/>
            <w:vAlign w:val="center"/>
          </w:tcPr>
          <w:p w14:paraId="3DA42533" w14:textId="77777777" w:rsidR="00002F7E" w:rsidRPr="001427AF" w:rsidDel="0050686C" w:rsidRDefault="00002F7E">
            <w:pPr>
              <w:spacing w:line="240" w:lineRule="auto"/>
              <w:ind w:right="90"/>
              <w:contextualSpacing/>
              <w:jc w:val="center"/>
              <w:textAlignment w:val="baseline"/>
              <w:rPr>
                <w:rFonts w:ascii="Arial" w:hAnsi="Arial" w:cs="Arial"/>
                <w:b/>
                <w:bCs/>
                <w:color w:val="auto"/>
                <w:sz w:val="20"/>
              </w:rPr>
            </w:pPr>
            <w:r w:rsidRPr="001427AF" w:rsidDel="0050686C">
              <w:rPr>
                <w:rFonts w:ascii="Arial" w:hAnsi="Arial" w:cs="Arial"/>
                <w:b/>
                <w:bCs/>
                <w:color w:val="auto"/>
                <w:sz w:val="20"/>
              </w:rPr>
              <w:t xml:space="preserve">Difference in </w:t>
            </w:r>
            <w:r w:rsidRPr="001427AF">
              <w:rPr>
                <w:rFonts w:ascii="Arial" w:hAnsi="Arial" w:cs="Arial"/>
                <w:b/>
                <w:bCs/>
                <w:color w:val="auto"/>
                <w:sz w:val="20"/>
              </w:rPr>
              <w:t>a</w:t>
            </w:r>
            <w:r w:rsidRPr="001427AF" w:rsidDel="0050686C">
              <w:rPr>
                <w:rFonts w:ascii="Arial" w:hAnsi="Arial" w:cs="Arial"/>
                <w:b/>
                <w:bCs/>
                <w:color w:val="auto"/>
                <w:sz w:val="20"/>
              </w:rPr>
              <w:t xml:space="preserve">ctual </w:t>
            </w:r>
            <w:r w:rsidRPr="001427AF">
              <w:rPr>
                <w:rFonts w:ascii="Arial" w:hAnsi="Arial" w:cs="Arial"/>
                <w:b/>
                <w:bCs/>
                <w:color w:val="auto"/>
                <w:sz w:val="20"/>
              </w:rPr>
              <w:t>n</w:t>
            </w:r>
            <w:r w:rsidRPr="001427AF" w:rsidDel="0050686C">
              <w:rPr>
                <w:rFonts w:ascii="Arial" w:hAnsi="Arial" w:cs="Arial"/>
                <w:b/>
                <w:bCs/>
                <w:color w:val="auto"/>
                <w:sz w:val="20"/>
              </w:rPr>
              <w:t xml:space="preserve">umber of </w:t>
            </w:r>
            <w:r w:rsidRPr="001427AF">
              <w:rPr>
                <w:rFonts w:ascii="Arial" w:hAnsi="Arial" w:cs="Arial"/>
                <w:b/>
                <w:bCs/>
                <w:color w:val="auto"/>
                <w:sz w:val="20"/>
              </w:rPr>
              <w:t>a</w:t>
            </w:r>
            <w:r w:rsidRPr="001427AF" w:rsidDel="0050686C">
              <w:rPr>
                <w:rFonts w:ascii="Arial" w:hAnsi="Arial" w:cs="Arial"/>
                <w:b/>
                <w:bCs/>
                <w:color w:val="auto"/>
                <w:sz w:val="20"/>
              </w:rPr>
              <w:t xml:space="preserve">ssessments and 95% </w:t>
            </w:r>
            <w:r w:rsidRPr="001427AF">
              <w:rPr>
                <w:rFonts w:ascii="Arial" w:hAnsi="Arial" w:cs="Arial"/>
                <w:b/>
                <w:bCs/>
                <w:color w:val="auto"/>
                <w:sz w:val="20"/>
              </w:rPr>
              <w:t>t</w:t>
            </w:r>
            <w:r w:rsidRPr="001427AF" w:rsidDel="0050686C">
              <w:rPr>
                <w:rFonts w:ascii="Arial" w:hAnsi="Arial" w:cs="Arial"/>
                <w:b/>
                <w:bCs/>
                <w:color w:val="auto"/>
                <w:sz w:val="20"/>
              </w:rPr>
              <w:t>arget</w:t>
            </w:r>
          </w:p>
          <w:p w14:paraId="5D33EDF1" w14:textId="77777777" w:rsidR="00002F7E" w:rsidRPr="001427AF" w:rsidDel="0050686C" w:rsidRDefault="00002F7E" w:rsidP="00F20E57">
            <w:pPr>
              <w:spacing w:line="240" w:lineRule="auto"/>
              <w:contextualSpacing/>
              <w:jc w:val="center"/>
              <w:textAlignment w:val="baseline"/>
              <w:rPr>
                <w:rFonts w:ascii="Arial" w:hAnsi="Arial" w:cs="Arial"/>
                <w:b/>
                <w:bCs/>
                <w:color w:val="auto"/>
                <w:sz w:val="20"/>
              </w:rPr>
            </w:pPr>
            <w:r w:rsidRPr="001427AF" w:rsidDel="0050686C">
              <w:rPr>
                <w:rFonts w:ascii="Arial" w:hAnsi="Arial" w:cs="Arial"/>
                <w:b/>
                <w:bCs/>
                <w:color w:val="auto"/>
                <w:sz w:val="20"/>
              </w:rPr>
              <w:t>(</w:t>
            </w:r>
            <w:bookmarkStart w:id="489" w:name="_Int_QQvRQGMR"/>
            <w:r w:rsidRPr="001427AF">
              <w:rPr>
                <w:rFonts w:ascii="Arial" w:hAnsi="Arial" w:cs="Arial"/>
                <w:b/>
                <w:bCs/>
                <w:color w:val="auto"/>
                <w:sz w:val="20"/>
              </w:rPr>
              <w:t>A</w:t>
            </w:r>
            <w:r w:rsidRPr="001427AF" w:rsidDel="0050686C">
              <w:rPr>
                <w:rFonts w:ascii="Arial" w:hAnsi="Arial" w:cs="Arial"/>
                <w:b/>
                <w:bCs/>
                <w:color w:val="auto"/>
                <w:sz w:val="20"/>
              </w:rPr>
              <w:t>dded</w:t>
            </w:r>
            <w:bookmarkEnd w:id="489"/>
            <w:r w:rsidRPr="001427AF" w:rsidDel="0050686C">
              <w:rPr>
                <w:rFonts w:ascii="Arial" w:hAnsi="Arial" w:cs="Arial"/>
                <w:b/>
                <w:bCs/>
                <w:color w:val="auto"/>
                <w:sz w:val="20"/>
              </w:rPr>
              <w:t xml:space="preserve"> to </w:t>
            </w:r>
            <w:r w:rsidRPr="001427AF">
              <w:rPr>
                <w:rFonts w:ascii="Arial" w:hAnsi="Arial" w:cs="Arial"/>
                <w:b/>
                <w:bCs/>
                <w:color w:val="auto"/>
                <w:sz w:val="20"/>
              </w:rPr>
              <w:t>d</w:t>
            </w:r>
            <w:r w:rsidRPr="001427AF" w:rsidDel="0050686C">
              <w:rPr>
                <w:rFonts w:ascii="Arial" w:hAnsi="Arial" w:cs="Arial"/>
                <w:b/>
                <w:bCs/>
                <w:color w:val="auto"/>
                <w:sz w:val="20"/>
              </w:rPr>
              <w:t>enominator)</w:t>
            </w:r>
          </w:p>
        </w:tc>
      </w:tr>
      <w:tr w:rsidR="00002F7E" w:rsidRPr="001427AF" w:rsidDel="0050686C" w14:paraId="287A5020" w14:textId="77777777" w:rsidTr="00F20E57">
        <w:trPr>
          <w:trHeight w:val="467"/>
        </w:trPr>
        <w:tc>
          <w:tcPr>
            <w:tcW w:w="1980" w:type="dxa"/>
          </w:tcPr>
          <w:p w14:paraId="193C07C2" w14:textId="77777777" w:rsidR="00002F7E" w:rsidRPr="001427AF" w:rsidDel="0050686C" w:rsidRDefault="00002F7E">
            <w:pPr>
              <w:spacing w:line="240" w:lineRule="auto"/>
              <w:ind w:right="300"/>
              <w:contextualSpacing/>
              <w:textAlignment w:val="baseline"/>
              <w:rPr>
                <w:rFonts w:ascii="Arial" w:hAnsi="Arial" w:cs="Arial"/>
                <w:color w:val="auto"/>
                <w:sz w:val="20"/>
              </w:rPr>
            </w:pPr>
            <w:r w:rsidRPr="001427AF" w:rsidDel="0050686C">
              <w:rPr>
                <w:rFonts w:ascii="Arial" w:hAnsi="Arial" w:cs="Arial"/>
                <w:color w:val="auto"/>
                <w:sz w:val="20"/>
              </w:rPr>
              <w:t>Grade</w:t>
            </w:r>
            <w:r w:rsidRPr="001427AF">
              <w:rPr>
                <w:rFonts w:ascii="Arial" w:hAnsi="Arial" w:cs="Arial"/>
                <w:color w:val="auto"/>
                <w:sz w:val="20"/>
              </w:rPr>
              <w:t>s</w:t>
            </w:r>
            <w:r w:rsidRPr="001427AF" w:rsidDel="0050686C">
              <w:rPr>
                <w:rFonts w:ascii="Arial" w:hAnsi="Arial" w:cs="Arial"/>
                <w:color w:val="auto"/>
                <w:sz w:val="20"/>
              </w:rPr>
              <w:t xml:space="preserve"> 3–8</w:t>
            </w:r>
          </w:p>
          <w:p w14:paraId="2F026496" w14:textId="77777777" w:rsidR="00002F7E" w:rsidRPr="001427AF" w:rsidDel="0050686C" w:rsidRDefault="00002F7E">
            <w:pPr>
              <w:spacing w:line="240" w:lineRule="auto"/>
              <w:contextualSpacing/>
              <w:textAlignment w:val="baseline"/>
              <w:rPr>
                <w:rFonts w:ascii="Arial" w:hAnsi="Arial" w:cs="Arial"/>
                <w:b/>
                <w:bCs/>
                <w:color w:val="auto"/>
                <w:szCs w:val="24"/>
              </w:rPr>
            </w:pPr>
            <w:r w:rsidRPr="001427AF" w:rsidDel="0050686C">
              <w:rPr>
                <w:rFonts w:ascii="Arial" w:hAnsi="Arial" w:cs="Arial"/>
                <w:color w:val="auto"/>
                <w:sz w:val="20"/>
              </w:rPr>
              <w:t>Reading EOG</w:t>
            </w:r>
          </w:p>
        </w:tc>
        <w:tc>
          <w:tcPr>
            <w:tcW w:w="1885" w:type="dxa"/>
            <w:vAlign w:val="center"/>
          </w:tcPr>
          <w:p w14:paraId="09D9906F" w14:textId="77777777" w:rsidR="00002F7E" w:rsidRPr="001427AF" w:rsidDel="0050686C" w:rsidRDefault="00002F7E">
            <w:pPr>
              <w:spacing w:line="240" w:lineRule="auto"/>
              <w:contextualSpacing/>
              <w:jc w:val="center"/>
              <w:textAlignment w:val="baseline"/>
              <w:rPr>
                <w:rFonts w:ascii="Arial" w:hAnsi="Arial" w:cs="Arial"/>
                <w:b/>
                <w:bCs/>
                <w:color w:val="auto"/>
                <w:szCs w:val="24"/>
              </w:rPr>
            </w:pPr>
            <w:r w:rsidRPr="001427AF" w:rsidDel="0050686C">
              <w:rPr>
                <w:rFonts w:ascii="Arial" w:hAnsi="Arial" w:cs="Arial"/>
                <w:color w:val="auto"/>
                <w:sz w:val="20"/>
              </w:rPr>
              <w:t>100</w:t>
            </w:r>
          </w:p>
        </w:tc>
        <w:tc>
          <w:tcPr>
            <w:tcW w:w="1530" w:type="dxa"/>
            <w:vAlign w:val="center"/>
          </w:tcPr>
          <w:p w14:paraId="7A869FCD" w14:textId="77777777" w:rsidR="00002F7E" w:rsidRPr="001427AF" w:rsidDel="0050686C" w:rsidRDefault="00002F7E">
            <w:pPr>
              <w:spacing w:line="240" w:lineRule="auto"/>
              <w:contextualSpacing/>
              <w:jc w:val="center"/>
              <w:textAlignment w:val="baseline"/>
              <w:rPr>
                <w:rFonts w:ascii="Arial" w:hAnsi="Arial" w:cs="Arial"/>
                <w:b/>
                <w:bCs/>
                <w:color w:val="auto"/>
                <w:szCs w:val="24"/>
              </w:rPr>
            </w:pPr>
            <w:r w:rsidRPr="001427AF" w:rsidDel="0050686C">
              <w:rPr>
                <w:rFonts w:ascii="Arial" w:hAnsi="Arial" w:cs="Arial"/>
                <w:color w:val="auto"/>
                <w:sz w:val="20"/>
              </w:rPr>
              <w:t>90</w:t>
            </w:r>
          </w:p>
        </w:tc>
        <w:tc>
          <w:tcPr>
            <w:tcW w:w="1805" w:type="dxa"/>
            <w:vAlign w:val="center"/>
          </w:tcPr>
          <w:p w14:paraId="19AD857E" w14:textId="77777777" w:rsidR="00002F7E" w:rsidRPr="001427AF" w:rsidDel="0050686C" w:rsidRDefault="00002F7E">
            <w:pPr>
              <w:spacing w:line="240" w:lineRule="auto"/>
              <w:contextualSpacing/>
              <w:jc w:val="center"/>
              <w:textAlignment w:val="baseline"/>
              <w:rPr>
                <w:rFonts w:ascii="Arial" w:hAnsi="Arial" w:cs="Arial"/>
                <w:color w:val="auto"/>
                <w:sz w:val="20"/>
              </w:rPr>
            </w:pPr>
            <w:r w:rsidRPr="001427AF" w:rsidDel="0050686C">
              <w:rPr>
                <w:rFonts w:ascii="Arial" w:hAnsi="Arial" w:cs="Arial"/>
                <w:color w:val="auto"/>
                <w:sz w:val="20"/>
              </w:rPr>
              <w:t>70</w:t>
            </w:r>
          </w:p>
        </w:tc>
        <w:tc>
          <w:tcPr>
            <w:tcW w:w="2160" w:type="dxa"/>
            <w:vAlign w:val="center"/>
          </w:tcPr>
          <w:p w14:paraId="30E6FCBB" w14:textId="77777777" w:rsidR="00002F7E" w:rsidRPr="001427AF" w:rsidDel="0050686C" w:rsidRDefault="00002F7E">
            <w:pPr>
              <w:spacing w:line="240" w:lineRule="auto"/>
              <w:contextualSpacing/>
              <w:jc w:val="center"/>
              <w:textAlignment w:val="baseline"/>
              <w:rPr>
                <w:rFonts w:ascii="Arial" w:hAnsi="Arial" w:cs="Arial"/>
                <w:color w:val="auto"/>
                <w:sz w:val="20"/>
              </w:rPr>
            </w:pPr>
            <w:r w:rsidRPr="001427AF" w:rsidDel="0050686C">
              <w:rPr>
                <w:rFonts w:ascii="Arial" w:hAnsi="Arial" w:cs="Arial"/>
                <w:color w:val="auto"/>
                <w:sz w:val="20"/>
              </w:rPr>
              <w:t>5</w:t>
            </w:r>
          </w:p>
        </w:tc>
      </w:tr>
    </w:tbl>
    <w:p w14:paraId="4C48C123" w14:textId="77777777" w:rsidR="00BD74F7" w:rsidRPr="001427AF" w:rsidRDefault="00BD74F7" w:rsidP="00B76243">
      <w:pPr>
        <w:pStyle w:val="Heading3"/>
      </w:pPr>
      <w:bookmarkStart w:id="490" w:name="_Toc135812520"/>
      <w:bookmarkStart w:id="491" w:name="_Toc136418901"/>
      <w:bookmarkStart w:id="492" w:name="_Toc136419157"/>
      <w:bookmarkStart w:id="493" w:name="_Toc164434979"/>
      <w:bookmarkStart w:id="494" w:name="_Toc225404971"/>
      <w:r w:rsidRPr="001427AF">
        <w:t xml:space="preserve">Calculations of </w:t>
      </w:r>
      <w:bookmarkStart w:id="495" w:name="_Int_dJISZjBN"/>
      <w:r w:rsidRPr="001427AF">
        <w:t xml:space="preserve">the </w:t>
      </w:r>
      <w:bookmarkEnd w:id="495"/>
      <w:r w:rsidRPr="001427AF">
        <w:t>Reading EOG Proficiency (Grades 3–8) for the Long-Term Goals</w:t>
      </w:r>
      <w:bookmarkEnd w:id="490"/>
      <w:bookmarkEnd w:id="491"/>
      <w:bookmarkEnd w:id="492"/>
      <w:bookmarkEnd w:id="493"/>
      <w:bookmarkEnd w:id="494"/>
      <w:r w:rsidRPr="001427AF">
        <w:t> </w:t>
      </w:r>
    </w:p>
    <w:p w14:paraId="778FC4BC" w14:textId="17E58CE7" w:rsidR="007F3FD8" w:rsidRPr="001427AF" w:rsidRDefault="007F3FD8" w:rsidP="007F3FD8">
      <w:pPr>
        <w:spacing w:line="240" w:lineRule="auto"/>
        <w:contextualSpacing/>
        <w:textAlignment w:val="baseline"/>
        <w:rPr>
          <w:rFonts w:ascii="Arial" w:hAnsi="Arial" w:cs="Arial"/>
          <w:color w:val="auto"/>
        </w:rPr>
      </w:pPr>
      <w:r w:rsidRPr="001427AF">
        <w:rPr>
          <w:rFonts w:ascii="Arial" w:hAnsi="Arial" w:cs="Arial"/>
          <w:color w:val="auto"/>
        </w:rPr>
        <w:t>For the following example,</w:t>
      </w:r>
      <w:r w:rsidRPr="001427AF" w:rsidDel="003D7112">
        <w:rPr>
          <w:rFonts w:ascii="Arial" w:hAnsi="Arial" w:cs="Arial"/>
          <w:color w:val="auto"/>
        </w:rPr>
        <w:t xml:space="preserve"> </w:t>
      </w:r>
      <w:r w:rsidRPr="001427AF">
        <w:rPr>
          <w:rFonts w:ascii="Arial" w:hAnsi="Arial" w:cs="Arial"/>
          <w:color w:val="auto"/>
        </w:rPr>
        <w:t xml:space="preserve">out of ninety assessments administered, fifty-five were college-and- career ready (i.e., Levels 4–5). Without the participation rule applied, the proficiency rate would have been 61.1% (55/90 = 61.1%). Once the participation consequences were applied and the denominator was increased by </w:t>
      </w:r>
      <w:r w:rsidRPr="001427AF" w:rsidDel="00404CDD">
        <w:rPr>
          <w:rFonts w:ascii="Arial" w:hAnsi="Arial" w:cs="Arial"/>
          <w:color w:val="auto"/>
        </w:rPr>
        <w:t>five</w:t>
      </w:r>
      <w:r w:rsidRPr="001427AF">
        <w:rPr>
          <w:rFonts w:ascii="Arial" w:hAnsi="Arial" w:cs="Arial"/>
          <w:color w:val="auto"/>
        </w:rPr>
        <w:t>, the proficiency rate dropped to 57.9% (55/95 = 57.9%). </w:t>
      </w:r>
    </w:p>
    <w:p w14:paraId="758D450E" w14:textId="77777777" w:rsidR="00B76961" w:rsidRPr="001427AF" w:rsidRDefault="00B76961" w:rsidP="00B76961">
      <w:pPr>
        <w:spacing w:line="240" w:lineRule="auto"/>
        <w:contextualSpacing/>
        <w:textAlignment w:val="baseline"/>
        <w:rPr>
          <w:rFonts w:ascii="Arial" w:hAnsi="Arial" w:cs="Arial"/>
          <w:color w:val="auto"/>
        </w:rPr>
      </w:pPr>
    </w:p>
    <w:p w14:paraId="3FDDEFCC" w14:textId="77777777" w:rsidR="000A470D" w:rsidRPr="001427AF" w:rsidRDefault="000A470D" w:rsidP="000A470D">
      <w:pPr>
        <w:spacing w:line="240" w:lineRule="auto"/>
        <w:contextualSpacing/>
        <w:textAlignment w:val="baseline"/>
        <w:rPr>
          <w:rFonts w:ascii="Arial" w:hAnsi="Arial" w:cs="Arial"/>
          <w:color w:val="auto"/>
          <w:sz w:val="20"/>
        </w:rPr>
      </w:pPr>
      <w:r w:rsidRPr="001427AF">
        <w:rPr>
          <w:rFonts w:ascii="Arial" w:hAnsi="Arial" w:cs="Arial"/>
          <w:color w:val="auto"/>
          <w:sz w:val="20"/>
        </w:rPr>
        <w:t>TABLE 3.1.3. EOG CCR proficiency calculation for schools not meeting participation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Example of a school not meeting End of Grade participation, including how college and career proficiency is taken into consideration. "/>
      </w:tblPr>
      <w:tblGrid>
        <w:gridCol w:w="1787"/>
        <w:gridCol w:w="2138"/>
        <w:gridCol w:w="1473"/>
        <w:gridCol w:w="1738"/>
        <w:gridCol w:w="2211"/>
      </w:tblGrid>
      <w:tr w:rsidR="003A6CB0" w:rsidRPr="001427AF" w14:paraId="343B0269" w14:textId="77777777" w:rsidTr="00562CAA">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45428308" w14:textId="7B5E1DDB" w:rsidR="00BC689B" w:rsidRPr="001427AF" w:rsidRDefault="001A3337">
            <w:pPr>
              <w:spacing w:line="240" w:lineRule="auto"/>
              <w:contextualSpacing/>
              <w:textAlignment w:val="baseline"/>
              <w:rPr>
                <w:rFonts w:ascii="Arial" w:hAnsi="Arial" w:cs="Arial"/>
                <w:color w:val="auto"/>
                <w:sz w:val="20"/>
              </w:rPr>
            </w:pPr>
            <w:r>
              <w:rPr>
                <w:rFonts w:ascii="Arial" w:hAnsi="Arial" w:cs="Arial"/>
                <w:b/>
                <w:bCs/>
                <w:color w:val="auto"/>
                <w:sz w:val="20"/>
              </w:rPr>
              <w:t xml:space="preserve"> </w:t>
            </w:r>
            <w:r w:rsidR="00562CAA" w:rsidRPr="00160A35">
              <w:rPr>
                <w:rFonts w:ascii="Arial" w:hAnsi="Arial" w:cs="Arial"/>
                <w:b/>
                <w:bCs/>
                <w:color w:val="auto"/>
                <w:sz w:val="20"/>
              </w:rPr>
              <w:t>Test name</w:t>
            </w:r>
          </w:p>
        </w:tc>
        <w:tc>
          <w:tcPr>
            <w:tcW w:w="2340"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23A9A9D1"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b/>
                <w:bCs/>
                <w:color w:val="auto"/>
                <w:sz w:val="20"/>
              </w:rPr>
              <w:t>Number of students expected to participate in the assessment</w:t>
            </w:r>
          </w:p>
        </w:tc>
        <w:tc>
          <w:tcPr>
            <w:tcW w:w="1515" w:type="dxa"/>
            <w:tcBorders>
              <w:top w:val="single" w:sz="6" w:space="0" w:color="auto"/>
              <w:left w:val="single" w:sz="4" w:space="0" w:color="auto"/>
              <w:bottom w:val="single" w:sz="4" w:space="0" w:color="auto"/>
              <w:right w:val="single" w:sz="6" w:space="0" w:color="auto"/>
            </w:tcBorders>
            <w:shd w:val="clear" w:color="auto" w:fill="ACB9CA" w:themeFill="text2" w:themeFillTint="66"/>
            <w:vAlign w:val="center"/>
            <w:hideMark/>
          </w:tcPr>
          <w:p w14:paraId="3EE47D95"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b/>
                <w:bCs/>
                <w:color w:val="auto"/>
                <w:sz w:val="20"/>
              </w:rPr>
              <w:t>Actual number of assessments given</w:t>
            </w:r>
          </w:p>
        </w:tc>
        <w:tc>
          <w:tcPr>
            <w:tcW w:w="1905" w:type="dxa"/>
            <w:tcBorders>
              <w:top w:val="single" w:sz="6" w:space="0" w:color="auto"/>
              <w:left w:val="single" w:sz="6" w:space="0" w:color="auto"/>
              <w:bottom w:val="single" w:sz="4" w:space="0" w:color="auto"/>
              <w:right w:val="single" w:sz="6" w:space="0" w:color="auto"/>
            </w:tcBorders>
            <w:shd w:val="clear" w:color="auto" w:fill="ACB9CA" w:themeFill="text2" w:themeFillTint="66"/>
            <w:vAlign w:val="center"/>
            <w:hideMark/>
          </w:tcPr>
          <w:p w14:paraId="5EB2A1FB"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b/>
                <w:bCs/>
                <w:color w:val="auto"/>
                <w:sz w:val="20"/>
              </w:rPr>
              <w:t>Number of proficient students</w:t>
            </w:r>
          </w:p>
          <w:p w14:paraId="05FD06C2"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b/>
                <w:bCs/>
                <w:color w:val="auto"/>
                <w:sz w:val="20"/>
              </w:rPr>
              <w:t>(CCR Levels 4-5)</w:t>
            </w:r>
          </w:p>
        </w:tc>
        <w:tc>
          <w:tcPr>
            <w:tcW w:w="2400" w:type="dxa"/>
            <w:tcBorders>
              <w:top w:val="single" w:sz="6" w:space="0" w:color="auto"/>
              <w:left w:val="single" w:sz="6" w:space="0" w:color="auto"/>
              <w:bottom w:val="single" w:sz="4" w:space="0" w:color="auto"/>
              <w:right w:val="single" w:sz="6" w:space="0" w:color="auto"/>
            </w:tcBorders>
            <w:shd w:val="clear" w:color="auto" w:fill="ACB9CA" w:themeFill="text2" w:themeFillTint="66"/>
            <w:vAlign w:val="center"/>
            <w:hideMark/>
          </w:tcPr>
          <w:p w14:paraId="56F8FB85"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b/>
                <w:bCs/>
                <w:color w:val="auto"/>
                <w:sz w:val="20"/>
              </w:rPr>
              <w:t>Difference in actual number of assessments and 95% target</w:t>
            </w:r>
          </w:p>
          <w:p w14:paraId="28D5FC41"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b/>
                <w:bCs/>
                <w:color w:val="auto"/>
                <w:sz w:val="20"/>
              </w:rPr>
              <w:t>(added to denominator)</w:t>
            </w:r>
          </w:p>
        </w:tc>
      </w:tr>
      <w:tr w:rsidR="00BC689B" w:rsidRPr="001427AF" w14:paraId="2269FA34" w14:textId="77777777" w:rsidTr="00F20E57">
        <w:trPr>
          <w:trHeight w:val="300"/>
        </w:trPr>
        <w:tc>
          <w:tcPr>
            <w:tcW w:w="1980" w:type="dxa"/>
            <w:tcBorders>
              <w:top w:val="single" w:sz="4" w:space="0" w:color="auto"/>
              <w:left w:val="single" w:sz="4" w:space="0" w:color="auto"/>
              <w:bottom w:val="single" w:sz="4" w:space="0" w:color="auto"/>
              <w:right w:val="single" w:sz="4" w:space="0" w:color="auto"/>
            </w:tcBorders>
            <w:hideMark/>
          </w:tcPr>
          <w:p w14:paraId="56D843D8" w14:textId="77777777" w:rsidR="00BC689B" w:rsidRPr="001427AF" w:rsidRDefault="00BC689B" w:rsidP="00F20E57">
            <w:pPr>
              <w:spacing w:line="240" w:lineRule="auto"/>
              <w:ind w:left="90"/>
              <w:contextualSpacing/>
              <w:textAlignment w:val="baseline"/>
              <w:rPr>
                <w:rFonts w:ascii="Arial" w:hAnsi="Arial" w:cs="Arial"/>
                <w:color w:val="auto"/>
                <w:sz w:val="20"/>
              </w:rPr>
            </w:pPr>
            <w:r w:rsidRPr="001427AF">
              <w:rPr>
                <w:rFonts w:ascii="Arial" w:hAnsi="Arial" w:cs="Arial"/>
                <w:color w:val="auto"/>
                <w:sz w:val="20"/>
              </w:rPr>
              <w:t>Grades 3–8 </w:t>
            </w:r>
          </w:p>
          <w:p w14:paraId="41AF9D2B" w14:textId="77777777" w:rsidR="00BC689B" w:rsidRPr="001427AF" w:rsidRDefault="00BC689B" w:rsidP="00F20E57">
            <w:pPr>
              <w:spacing w:line="240" w:lineRule="auto"/>
              <w:ind w:left="90"/>
              <w:contextualSpacing/>
              <w:textAlignment w:val="baseline"/>
              <w:rPr>
                <w:rFonts w:ascii="Arial" w:hAnsi="Arial" w:cs="Arial"/>
                <w:color w:val="auto"/>
                <w:sz w:val="20"/>
              </w:rPr>
            </w:pPr>
            <w:r w:rsidRPr="001427AF">
              <w:rPr>
                <w:rFonts w:ascii="Arial" w:hAnsi="Arial" w:cs="Arial"/>
                <w:color w:val="auto"/>
                <w:sz w:val="20"/>
              </w:rPr>
              <w:t>Reading EOG </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D4CEAAD"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100</w:t>
            </w:r>
          </w:p>
        </w:tc>
        <w:tc>
          <w:tcPr>
            <w:tcW w:w="1515" w:type="dxa"/>
            <w:tcBorders>
              <w:top w:val="single" w:sz="4" w:space="0" w:color="auto"/>
              <w:left w:val="single" w:sz="4" w:space="0" w:color="auto"/>
              <w:bottom w:val="single" w:sz="4" w:space="0" w:color="auto"/>
              <w:right w:val="single" w:sz="4" w:space="0" w:color="auto"/>
            </w:tcBorders>
            <w:vAlign w:val="center"/>
            <w:hideMark/>
          </w:tcPr>
          <w:p w14:paraId="26ECBA76" w14:textId="77777777" w:rsidR="00BC689B" w:rsidRPr="001427AF" w:rsidRDefault="00BC689B" w:rsidP="007214E9">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90</w:t>
            </w:r>
          </w:p>
        </w:tc>
        <w:tc>
          <w:tcPr>
            <w:tcW w:w="1905" w:type="dxa"/>
            <w:tcBorders>
              <w:top w:val="single" w:sz="4" w:space="0" w:color="auto"/>
              <w:left w:val="single" w:sz="4" w:space="0" w:color="auto"/>
              <w:bottom w:val="single" w:sz="4" w:space="0" w:color="auto"/>
              <w:right w:val="single" w:sz="4" w:space="0" w:color="auto"/>
            </w:tcBorders>
            <w:vAlign w:val="center"/>
            <w:hideMark/>
          </w:tcPr>
          <w:p w14:paraId="1472138A"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55</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CF79DB4" w14:textId="77777777" w:rsidR="00BC689B" w:rsidRPr="001427AF" w:rsidRDefault="00BC689B">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5</w:t>
            </w:r>
          </w:p>
        </w:tc>
      </w:tr>
    </w:tbl>
    <w:p w14:paraId="4C2E94AE" w14:textId="723EB88C" w:rsidR="006835AC" w:rsidRPr="001427AF" w:rsidRDefault="006835AC" w:rsidP="00B76243">
      <w:pPr>
        <w:pStyle w:val="Heading3"/>
      </w:pPr>
      <w:bookmarkStart w:id="496" w:name="_Toc100132545"/>
      <w:bookmarkStart w:id="497" w:name="_Toc100132749"/>
      <w:bookmarkStart w:id="498" w:name="_Toc100136550"/>
      <w:bookmarkStart w:id="499" w:name="_Toc114211796"/>
      <w:bookmarkStart w:id="500" w:name="_Toc135812521"/>
      <w:bookmarkStart w:id="501" w:name="_Toc136418902"/>
      <w:bookmarkStart w:id="502" w:name="_Toc136419158"/>
      <w:bookmarkStart w:id="503" w:name="_Toc225404972"/>
      <w:r w:rsidRPr="001427AF">
        <w:rPr>
          <w:rStyle w:val="Heading3Char"/>
          <w:rFonts w:cs="Arial"/>
          <w:b/>
        </w:rPr>
        <w:t xml:space="preserve">Missing 95% Participation End-of-Course Calculation </w:t>
      </w:r>
      <w:bookmarkEnd w:id="496"/>
      <w:bookmarkEnd w:id="497"/>
      <w:bookmarkEnd w:id="498"/>
      <w:r w:rsidRPr="001427AF">
        <w:rPr>
          <w:rStyle w:val="Heading3Char"/>
          <w:rFonts w:cs="Arial"/>
          <w:b/>
        </w:rPr>
        <w:t>Example</w:t>
      </w:r>
      <w:bookmarkEnd w:id="499"/>
      <w:bookmarkEnd w:id="500"/>
      <w:bookmarkEnd w:id="501"/>
      <w:bookmarkEnd w:id="502"/>
      <w:bookmarkEnd w:id="503"/>
    </w:p>
    <w:p w14:paraId="5BB3B004" w14:textId="77777777" w:rsidR="00654699" w:rsidRPr="001427AF" w:rsidRDefault="00654699" w:rsidP="00654699">
      <w:pPr>
        <w:spacing w:line="240" w:lineRule="auto"/>
        <w:contextualSpacing/>
        <w:textAlignment w:val="baseline"/>
        <w:rPr>
          <w:rFonts w:ascii="Arial" w:hAnsi="Arial" w:cs="Arial"/>
          <w:color w:val="auto"/>
        </w:rPr>
      </w:pPr>
      <w:r w:rsidRPr="001427AF">
        <w:rPr>
          <w:rFonts w:ascii="Arial" w:hAnsi="Arial" w:cs="Arial"/>
          <w:color w:val="auto"/>
        </w:rPr>
        <w:t>Table 3.1.4</w:t>
      </w:r>
      <w:r w:rsidRPr="001427AF">
        <w:rPr>
          <w:rFonts w:ascii="Arial" w:hAnsi="Arial" w:cs="Arial"/>
          <w:i/>
          <w:color w:val="auto"/>
        </w:rPr>
        <w:t xml:space="preserve"> </w:t>
      </w:r>
      <w:r w:rsidRPr="001427AF">
        <w:rPr>
          <w:rFonts w:ascii="Arial" w:hAnsi="Arial" w:cs="Arial"/>
          <w:color w:val="auto"/>
        </w:rPr>
        <w:t>provides an example of a school not meeting English II participation requirements. In this example, 250 students are in grade 10; 230 have</w:t>
      </w:r>
      <w:bookmarkStart w:id="504" w:name="_Int_32QjDUWR"/>
      <w:r w:rsidRPr="001427AF" w:rsidDel="00963CCF">
        <w:rPr>
          <w:rFonts w:ascii="Arial" w:hAnsi="Arial" w:cs="Arial"/>
          <w:color w:val="auto"/>
        </w:rPr>
        <w:t xml:space="preserve"> </w:t>
      </w:r>
      <w:r w:rsidRPr="001427AF">
        <w:rPr>
          <w:rFonts w:ascii="Arial" w:hAnsi="Arial" w:cs="Arial"/>
          <w:color w:val="auto"/>
        </w:rPr>
        <w:t>an English II score or code (i.e., current year score or banked)</w:t>
      </w:r>
      <w:bookmarkEnd w:id="504"/>
      <w:r w:rsidRPr="001427AF">
        <w:rPr>
          <w:rFonts w:ascii="Arial" w:hAnsi="Arial" w:cs="Arial"/>
          <w:color w:val="auto"/>
        </w:rPr>
        <w:t>.</w:t>
      </w:r>
      <w:r w:rsidRPr="001427AF" w:rsidDel="00963CCF">
        <w:rPr>
          <w:rFonts w:ascii="Arial" w:hAnsi="Arial" w:cs="Arial"/>
          <w:color w:val="auto"/>
        </w:rPr>
        <w:t xml:space="preserve"> </w:t>
      </w:r>
      <w:r w:rsidRPr="001427AF">
        <w:rPr>
          <w:rFonts w:ascii="Arial" w:hAnsi="Arial" w:cs="Arial"/>
          <w:color w:val="auto"/>
        </w:rPr>
        <w:t xml:space="preserve">To meet the 95% participation requirement, 238 students should have either a score or code for English II. The difference in the number of assessments and the 95% target number of students expected to test </w:t>
      </w:r>
      <w:proofErr w:type="gramStart"/>
      <w:r w:rsidRPr="001427AF">
        <w:rPr>
          <w:rFonts w:ascii="Arial" w:hAnsi="Arial" w:cs="Arial"/>
          <w:color w:val="auto"/>
        </w:rPr>
        <w:t>equals</w:t>
      </w:r>
      <w:proofErr w:type="gramEnd"/>
      <w:r w:rsidRPr="001427AF">
        <w:rPr>
          <w:rFonts w:ascii="Arial" w:hAnsi="Arial" w:cs="Arial"/>
          <w:color w:val="auto"/>
        </w:rPr>
        <w:t xml:space="preserve"> eight. </w:t>
      </w:r>
    </w:p>
    <w:p w14:paraId="405CA9DA" w14:textId="77777777" w:rsidR="006835AC" w:rsidRPr="001427AF" w:rsidRDefault="006835AC" w:rsidP="006835AC">
      <w:pPr>
        <w:spacing w:line="240" w:lineRule="auto"/>
        <w:contextualSpacing/>
        <w:textAlignment w:val="baseline"/>
        <w:rPr>
          <w:rFonts w:ascii="Arial" w:hAnsi="Arial" w:cs="Arial"/>
          <w:color w:val="auto"/>
        </w:rPr>
      </w:pPr>
    </w:p>
    <w:p w14:paraId="3DECD428" w14:textId="389369D4" w:rsidR="006835AC" w:rsidRPr="001427AF" w:rsidRDefault="006835AC" w:rsidP="006835AC">
      <w:pPr>
        <w:spacing w:line="240" w:lineRule="auto"/>
        <w:contextualSpacing/>
        <w:textAlignment w:val="baseline"/>
        <w:rPr>
          <w:rFonts w:ascii="Arial" w:hAnsi="Arial" w:cs="Arial"/>
          <w:color w:val="auto"/>
          <w:szCs w:val="24"/>
        </w:rPr>
      </w:pPr>
      <w:r w:rsidRPr="001427AF">
        <w:rPr>
          <w:rFonts w:ascii="Arial" w:hAnsi="Arial" w:cs="Arial"/>
          <w:color w:val="auto"/>
          <w:szCs w:val="24"/>
        </w:rPr>
        <w:t xml:space="preserve">Since this school did not meet the 95% participation requirement, the proficiency denominator for school performance grades and the reading long-term goal </w:t>
      </w:r>
      <w:proofErr w:type="gramStart"/>
      <w:r w:rsidRPr="001427AF">
        <w:rPr>
          <w:rFonts w:ascii="Arial" w:hAnsi="Arial" w:cs="Arial"/>
          <w:color w:val="auto"/>
          <w:szCs w:val="24"/>
        </w:rPr>
        <w:t>increase</w:t>
      </w:r>
      <w:proofErr w:type="gramEnd"/>
      <w:r w:rsidRPr="001427AF">
        <w:rPr>
          <w:rFonts w:ascii="Arial" w:hAnsi="Arial" w:cs="Arial"/>
          <w:color w:val="auto"/>
          <w:szCs w:val="24"/>
        </w:rPr>
        <w:t xml:space="preserve"> by eight. This adjustment causes a negative impact on proficiency in the accountability system and long-term goals, and the school </w:t>
      </w:r>
      <w:r w:rsidR="00C376B8">
        <w:rPr>
          <w:rFonts w:ascii="Arial" w:hAnsi="Arial" w:cs="Arial"/>
          <w:color w:val="auto"/>
          <w:szCs w:val="24"/>
        </w:rPr>
        <w:t>is</w:t>
      </w:r>
      <w:r w:rsidRPr="001427AF">
        <w:rPr>
          <w:rFonts w:ascii="Arial" w:hAnsi="Arial" w:cs="Arial"/>
          <w:color w:val="auto"/>
          <w:szCs w:val="24"/>
        </w:rPr>
        <w:t xml:space="preserve"> flagged as not meeting the participation requirement. </w:t>
      </w:r>
    </w:p>
    <w:p w14:paraId="3D295F77" w14:textId="77777777" w:rsidR="00597A54" w:rsidRDefault="00597A54" w:rsidP="006835AC">
      <w:pPr>
        <w:spacing w:line="240" w:lineRule="auto"/>
        <w:contextualSpacing/>
        <w:textAlignment w:val="baseline"/>
        <w:rPr>
          <w:rFonts w:ascii="Arial" w:hAnsi="Arial" w:cs="Arial"/>
          <w:color w:val="auto"/>
          <w:szCs w:val="24"/>
        </w:rPr>
      </w:pPr>
    </w:p>
    <w:p w14:paraId="5F072ADD" w14:textId="27206529" w:rsidR="006835AC" w:rsidRPr="001427AF" w:rsidRDefault="006835AC" w:rsidP="006835AC">
      <w:pPr>
        <w:spacing w:line="240" w:lineRule="auto"/>
        <w:contextualSpacing/>
        <w:textAlignment w:val="baseline"/>
        <w:rPr>
          <w:rFonts w:ascii="Arial" w:hAnsi="Arial" w:cs="Arial"/>
          <w:color w:val="auto"/>
          <w:sz w:val="20"/>
        </w:rPr>
      </w:pPr>
      <w:r w:rsidRPr="001427AF">
        <w:rPr>
          <w:rFonts w:ascii="Arial" w:hAnsi="Arial" w:cs="Arial"/>
          <w:color w:val="auto"/>
          <w:sz w:val="20"/>
        </w:rPr>
        <w:t>TABLE 3.1.4.</w:t>
      </w:r>
      <w:r w:rsidR="00686FC8" w:rsidRPr="001427AF">
        <w:rPr>
          <w:rFonts w:ascii="Arial" w:hAnsi="Arial" w:cs="Arial"/>
          <w:color w:val="auto"/>
          <w:sz w:val="20"/>
        </w:rPr>
        <w:t xml:space="preserve"> </w:t>
      </w:r>
      <w:r w:rsidRPr="001427AF">
        <w:rPr>
          <w:rFonts w:ascii="Arial" w:hAnsi="Arial" w:cs="Arial"/>
          <w:color w:val="auto"/>
          <w:sz w:val="20"/>
        </w:rPr>
        <w:t>Example of a school not meeting English II EOC participation</w:t>
      </w:r>
    </w:p>
    <w:tbl>
      <w:tblPr>
        <w:tblW w:w="981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Description w:val="Example of a school not meeting End of Course participation for English II."/>
      </w:tblPr>
      <w:tblGrid>
        <w:gridCol w:w="1625"/>
        <w:gridCol w:w="1435"/>
        <w:gridCol w:w="1710"/>
        <w:gridCol w:w="1620"/>
        <w:gridCol w:w="2070"/>
        <w:gridCol w:w="1350"/>
      </w:tblGrid>
      <w:tr w:rsidR="00404D8C" w:rsidRPr="001427AF" w14:paraId="643D226A" w14:textId="77777777" w:rsidTr="001A3337">
        <w:trPr>
          <w:trHeight w:val="1080"/>
        </w:trPr>
        <w:tc>
          <w:tcPr>
            <w:tcW w:w="1625"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46A68F24" w14:textId="08E761D6" w:rsidR="00404D8C" w:rsidRPr="001427AF" w:rsidRDefault="001A3337">
            <w:pPr>
              <w:spacing w:line="240" w:lineRule="auto"/>
              <w:contextualSpacing/>
              <w:textAlignment w:val="baseline"/>
              <w:rPr>
                <w:rFonts w:ascii="Arial" w:hAnsi="Arial" w:cs="Arial"/>
                <w:color w:val="auto"/>
                <w:sz w:val="20"/>
              </w:rPr>
            </w:pPr>
            <w:r>
              <w:rPr>
                <w:rFonts w:ascii="Arial" w:hAnsi="Arial" w:cs="Arial"/>
                <w:b/>
                <w:bCs/>
                <w:color w:val="auto"/>
                <w:sz w:val="20"/>
              </w:rPr>
              <w:t xml:space="preserve"> </w:t>
            </w:r>
            <w:r w:rsidRPr="00160A35">
              <w:rPr>
                <w:rFonts w:ascii="Arial" w:hAnsi="Arial" w:cs="Arial"/>
                <w:b/>
                <w:bCs/>
                <w:color w:val="auto"/>
                <w:sz w:val="20"/>
              </w:rPr>
              <w:t>Test name</w:t>
            </w:r>
          </w:p>
        </w:tc>
        <w:tc>
          <w:tcPr>
            <w:tcW w:w="1435"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CB9CA" w:themeFill="text2" w:themeFillTint="66"/>
            <w:vAlign w:val="center"/>
            <w:hideMark/>
          </w:tcPr>
          <w:p w14:paraId="7ECE2BB2" w14:textId="77777777" w:rsidR="00404D8C" w:rsidRPr="001427AF" w:rsidRDefault="00404D8C">
            <w:pPr>
              <w:spacing w:line="240" w:lineRule="auto"/>
              <w:jc w:val="center"/>
              <w:rPr>
                <w:rFonts w:ascii="Arial" w:hAnsi="Arial" w:cs="Arial"/>
                <w:b/>
                <w:bCs/>
                <w:sz w:val="20"/>
              </w:rPr>
            </w:pPr>
            <w:r w:rsidRPr="001427AF">
              <w:rPr>
                <w:rFonts w:ascii="Arial" w:hAnsi="Arial" w:cs="Arial"/>
                <w:b/>
                <w:bCs/>
                <w:sz w:val="20"/>
              </w:rPr>
              <w:t>Number of students</w:t>
            </w:r>
          </w:p>
          <w:p w14:paraId="466F40C7" w14:textId="77777777" w:rsidR="00404D8C" w:rsidRPr="001427AF" w:rsidRDefault="00404D8C">
            <w:pPr>
              <w:spacing w:line="240" w:lineRule="auto"/>
              <w:jc w:val="center"/>
              <w:rPr>
                <w:rFonts w:ascii="Arial" w:hAnsi="Arial" w:cs="Arial"/>
                <w:b/>
                <w:bCs/>
                <w:sz w:val="20"/>
              </w:rPr>
            </w:pPr>
            <w:r w:rsidRPr="001427AF">
              <w:rPr>
                <w:rFonts w:ascii="Arial" w:hAnsi="Arial" w:cs="Arial"/>
                <w:b/>
                <w:bCs/>
                <w:sz w:val="20"/>
              </w:rPr>
              <w:t xml:space="preserve">expected to participate </w:t>
            </w:r>
          </w:p>
          <w:p w14:paraId="3514E889" w14:textId="77777777" w:rsidR="00404D8C" w:rsidRPr="001427AF" w:rsidRDefault="00404D8C">
            <w:pPr>
              <w:spacing w:line="240" w:lineRule="auto"/>
              <w:jc w:val="center"/>
              <w:rPr>
                <w:rFonts w:ascii="Arial" w:hAnsi="Arial" w:cs="Arial"/>
                <w:b/>
                <w:bCs/>
                <w:sz w:val="20"/>
              </w:rPr>
            </w:pPr>
            <w:r w:rsidRPr="001427AF">
              <w:rPr>
                <w:rFonts w:ascii="Arial" w:hAnsi="Arial" w:cs="Arial"/>
                <w:b/>
                <w:bCs/>
                <w:sz w:val="20"/>
              </w:rPr>
              <w:t>(Grade 10)</w:t>
            </w:r>
          </w:p>
        </w:tc>
        <w:tc>
          <w:tcPr>
            <w:tcW w:w="1710" w:type="dxa"/>
            <w:tcBorders>
              <w:top w:val="single" w:sz="6" w:space="0" w:color="000000" w:themeColor="text1"/>
              <w:left w:val="nil"/>
              <w:bottom w:val="single" w:sz="6" w:space="0" w:color="000000" w:themeColor="text1"/>
              <w:right w:val="single" w:sz="6" w:space="0" w:color="000000" w:themeColor="text1"/>
            </w:tcBorders>
            <w:shd w:val="clear" w:color="auto" w:fill="ACB9CA" w:themeFill="text2" w:themeFillTint="66"/>
            <w:vAlign w:val="center"/>
            <w:hideMark/>
          </w:tcPr>
          <w:p w14:paraId="7E29AC3A" w14:textId="77777777" w:rsidR="00404D8C" w:rsidRPr="001427AF" w:rsidRDefault="00404D8C">
            <w:pPr>
              <w:spacing w:line="240" w:lineRule="auto"/>
              <w:jc w:val="center"/>
              <w:rPr>
                <w:rFonts w:ascii="Arial" w:hAnsi="Arial" w:cs="Arial"/>
                <w:b/>
                <w:bCs/>
                <w:sz w:val="20"/>
              </w:rPr>
            </w:pPr>
            <w:r w:rsidRPr="001427AF">
              <w:rPr>
                <w:rFonts w:ascii="Arial" w:hAnsi="Arial" w:cs="Arial"/>
                <w:b/>
                <w:bCs/>
                <w:sz w:val="20"/>
              </w:rPr>
              <w:t>Minimum 95% target number</w:t>
            </w:r>
          </w:p>
          <w:p w14:paraId="1FC132D2" w14:textId="77777777" w:rsidR="00404D8C" w:rsidRPr="001427AF" w:rsidRDefault="00404D8C">
            <w:pPr>
              <w:spacing w:line="240" w:lineRule="auto"/>
              <w:jc w:val="center"/>
              <w:rPr>
                <w:rFonts w:ascii="Arial" w:hAnsi="Arial" w:cs="Arial"/>
                <w:b/>
                <w:bCs/>
                <w:sz w:val="20"/>
              </w:rPr>
            </w:pPr>
            <w:r w:rsidRPr="001427AF">
              <w:rPr>
                <w:rFonts w:ascii="Arial" w:hAnsi="Arial" w:cs="Arial"/>
                <w:b/>
                <w:bCs/>
                <w:sz w:val="20"/>
              </w:rPr>
              <w:t xml:space="preserve">of students expected to participate </w:t>
            </w:r>
          </w:p>
        </w:tc>
        <w:tc>
          <w:tcPr>
            <w:tcW w:w="1620" w:type="dxa"/>
            <w:tcBorders>
              <w:top w:val="single" w:sz="6" w:space="0" w:color="000000" w:themeColor="text1"/>
              <w:left w:val="nil"/>
              <w:bottom w:val="single" w:sz="6" w:space="0" w:color="000000" w:themeColor="text1"/>
              <w:right w:val="single" w:sz="18" w:space="0" w:color="000000" w:themeColor="text1"/>
            </w:tcBorders>
            <w:shd w:val="clear" w:color="auto" w:fill="ACB9CA" w:themeFill="text2" w:themeFillTint="66"/>
            <w:vAlign w:val="center"/>
            <w:hideMark/>
          </w:tcPr>
          <w:p w14:paraId="51C75E9B" w14:textId="77777777" w:rsidR="00404D8C" w:rsidRPr="001427AF" w:rsidRDefault="00404D8C">
            <w:pPr>
              <w:spacing w:line="240" w:lineRule="auto"/>
              <w:jc w:val="center"/>
              <w:rPr>
                <w:rFonts w:ascii="Arial" w:hAnsi="Arial" w:cs="Arial"/>
                <w:b/>
                <w:bCs/>
                <w:sz w:val="20"/>
              </w:rPr>
            </w:pPr>
            <w:r w:rsidRPr="001427AF">
              <w:rPr>
                <w:rFonts w:ascii="Arial" w:hAnsi="Arial" w:cs="Arial"/>
                <w:b/>
                <w:bCs/>
                <w:sz w:val="20"/>
              </w:rPr>
              <w:t>Actual number</w:t>
            </w:r>
          </w:p>
          <w:p w14:paraId="6885429D" w14:textId="77777777" w:rsidR="00404D8C" w:rsidRPr="001427AF" w:rsidRDefault="00404D8C">
            <w:pPr>
              <w:spacing w:line="240" w:lineRule="auto"/>
              <w:jc w:val="center"/>
              <w:rPr>
                <w:rFonts w:ascii="Arial" w:hAnsi="Arial" w:cs="Arial"/>
                <w:b/>
                <w:bCs/>
                <w:sz w:val="20"/>
              </w:rPr>
            </w:pPr>
            <w:r w:rsidRPr="001427AF">
              <w:rPr>
                <w:rFonts w:ascii="Arial" w:hAnsi="Arial" w:cs="Arial"/>
                <w:b/>
                <w:bCs/>
                <w:sz w:val="20"/>
              </w:rPr>
              <w:t>of students with a score or code in grade 10</w:t>
            </w:r>
          </w:p>
        </w:tc>
        <w:tc>
          <w:tcPr>
            <w:tcW w:w="2070" w:type="dxa"/>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ACB9CA" w:themeFill="text2" w:themeFillTint="66"/>
            <w:vAlign w:val="center"/>
            <w:hideMark/>
          </w:tcPr>
          <w:p w14:paraId="5B5966DD" w14:textId="77777777" w:rsidR="00404D8C" w:rsidRPr="001427AF" w:rsidRDefault="00404D8C">
            <w:pPr>
              <w:spacing w:line="240" w:lineRule="auto"/>
              <w:ind w:right="105"/>
              <w:contextualSpacing/>
              <w:jc w:val="center"/>
              <w:textAlignment w:val="baseline"/>
              <w:rPr>
                <w:rFonts w:ascii="Arial" w:hAnsi="Arial" w:cs="Arial"/>
                <w:b/>
                <w:bCs/>
                <w:color w:val="auto"/>
                <w:sz w:val="20"/>
              </w:rPr>
            </w:pPr>
            <w:r w:rsidRPr="001427AF">
              <w:rPr>
                <w:rFonts w:ascii="Arial" w:hAnsi="Arial" w:cs="Arial"/>
                <w:b/>
                <w:bCs/>
                <w:color w:val="auto"/>
                <w:sz w:val="20"/>
              </w:rPr>
              <w:t>Difference in number of assessments and 95% of students</w:t>
            </w:r>
          </w:p>
          <w:p w14:paraId="0FCC005C" w14:textId="77777777" w:rsidR="00404D8C" w:rsidRPr="001427AF" w:rsidRDefault="00404D8C">
            <w:pPr>
              <w:spacing w:line="240" w:lineRule="auto"/>
              <w:ind w:right="105"/>
              <w:contextualSpacing/>
              <w:jc w:val="center"/>
              <w:textAlignment w:val="baseline"/>
              <w:rPr>
                <w:rFonts w:ascii="Arial" w:hAnsi="Arial" w:cs="Arial"/>
                <w:b/>
                <w:bCs/>
                <w:color w:val="auto"/>
                <w:sz w:val="20"/>
              </w:rPr>
            </w:pPr>
            <w:r w:rsidRPr="001427AF">
              <w:rPr>
                <w:rFonts w:ascii="Arial" w:hAnsi="Arial" w:cs="Arial"/>
                <w:b/>
                <w:bCs/>
                <w:color w:val="auto"/>
                <w:sz w:val="20"/>
              </w:rPr>
              <w:t xml:space="preserve"> (</w:t>
            </w:r>
            <w:bookmarkStart w:id="505" w:name="_Int_QVcQ9OVa"/>
            <w:r w:rsidRPr="001427AF">
              <w:rPr>
                <w:rFonts w:ascii="Arial" w:hAnsi="Arial" w:cs="Arial"/>
                <w:b/>
                <w:bCs/>
                <w:color w:val="auto"/>
                <w:sz w:val="20"/>
              </w:rPr>
              <w:t>Added</w:t>
            </w:r>
            <w:bookmarkEnd w:id="505"/>
            <w:r w:rsidRPr="001427AF">
              <w:rPr>
                <w:rFonts w:ascii="Arial" w:hAnsi="Arial" w:cs="Arial"/>
                <w:b/>
                <w:bCs/>
                <w:color w:val="auto"/>
                <w:sz w:val="20"/>
              </w:rPr>
              <w:t xml:space="preserve"> to denominator)</w:t>
            </w:r>
          </w:p>
        </w:tc>
        <w:tc>
          <w:tcPr>
            <w:tcW w:w="1350" w:type="dxa"/>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ACB9CA" w:themeFill="text2" w:themeFillTint="66"/>
            <w:vAlign w:val="center"/>
            <w:hideMark/>
          </w:tcPr>
          <w:p w14:paraId="07275241" w14:textId="77401650" w:rsidR="00AB2261" w:rsidRPr="001427AF" w:rsidRDefault="00AB2261">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Proficiency</w:t>
            </w:r>
          </w:p>
          <w:p w14:paraId="20367542" w14:textId="23A9403F" w:rsidR="00404D8C" w:rsidRPr="001427AF" w:rsidRDefault="00AB2261">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d</w:t>
            </w:r>
            <w:r w:rsidR="00404D8C" w:rsidRPr="001427AF">
              <w:rPr>
                <w:rFonts w:ascii="Arial" w:hAnsi="Arial" w:cs="Arial"/>
                <w:b/>
                <w:bCs/>
                <w:color w:val="auto"/>
                <w:sz w:val="20"/>
              </w:rPr>
              <w:t>enominator</w:t>
            </w:r>
          </w:p>
        </w:tc>
      </w:tr>
      <w:tr w:rsidR="00404D8C" w:rsidRPr="001427AF" w14:paraId="3DF021E6" w14:textId="77777777" w:rsidTr="001A3337">
        <w:trPr>
          <w:trHeight w:val="255"/>
        </w:trPr>
        <w:tc>
          <w:tcPr>
            <w:tcW w:w="1619" w:type="dxa"/>
            <w:tcBorders>
              <w:top w:val="single" w:sz="4" w:space="0" w:color="auto"/>
              <w:left w:val="single" w:sz="6" w:space="0" w:color="000000" w:themeColor="text1"/>
              <w:bottom w:val="single" w:sz="6" w:space="0" w:color="000000" w:themeColor="text1"/>
              <w:right w:val="single" w:sz="6" w:space="0" w:color="000000" w:themeColor="text1"/>
            </w:tcBorders>
            <w:vAlign w:val="center"/>
            <w:hideMark/>
          </w:tcPr>
          <w:p w14:paraId="185E3A9D" w14:textId="77777777" w:rsidR="00404D8C" w:rsidRPr="001427AF" w:rsidRDefault="00404D8C">
            <w:pPr>
              <w:spacing w:line="240" w:lineRule="auto"/>
              <w:contextualSpacing/>
              <w:textAlignment w:val="baseline"/>
              <w:rPr>
                <w:rFonts w:ascii="Arial" w:hAnsi="Arial" w:cs="Arial"/>
                <w:color w:val="auto"/>
                <w:sz w:val="20"/>
              </w:rPr>
            </w:pPr>
            <w:r w:rsidRPr="001427AF">
              <w:rPr>
                <w:rFonts w:ascii="Arial" w:hAnsi="Arial" w:cs="Arial"/>
                <w:color w:val="auto"/>
                <w:sz w:val="20"/>
              </w:rPr>
              <w:lastRenderedPageBreak/>
              <w:t xml:space="preserve"> English II </w:t>
            </w:r>
          </w:p>
        </w:tc>
        <w:tc>
          <w:tcPr>
            <w:tcW w:w="1435" w:type="dxa"/>
            <w:tcBorders>
              <w:top w:val="nil"/>
              <w:left w:val="nil"/>
              <w:bottom w:val="single" w:sz="6" w:space="0" w:color="000000" w:themeColor="text1"/>
              <w:right w:val="single" w:sz="6" w:space="0" w:color="000000" w:themeColor="text1"/>
            </w:tcBorders>
            <w:vAlign w:val="center"/>
            <w:hideMark/>
          </w:tcPr>
          <w:p w14:paraId="71FB6768" w14:textId="77777777" w:rsidR="00404D8C" w:rsidRPr="001427AF" w:rsidRDefault="00404D8C">
            <w:pPr>
              <w:spacing w:line="240" w:lineRule="auto"/>
              <w:jc w:val="center"/>
              <w:rPr>
                <w:rFonts w:ascii="Arial" w:hAnsi="Arial" w:cs="Arial"/>
                <w:sz w:val="20"/>
              </w:rPr>
            </w:pPr>
            <w:r w:rsidRPr="001427AF">
              <w:rPr>
                <w:rFonts w:ascii="Arial" w:hAnsi="Arial" w:cs="Arial"/>
                <w:sz w:val="20"/>
              </w:rPr>
              <w:t>250</w:t>
            </w:r>
          </w:p>
        </w:tc>
        <w:tc>
          <w:tcPr>
            <w:tcW w:w="1710" w:type="dxa"/>
            <w:tcBorders>
              <w:top w:val="nil"/>
              <w:left w:val="nil"/>
              <w:bottom w:val="single" w:sz="6" w:space="0" w:color="000000" w:themeColor="text1"/>
              <w:right w:val="single" w:sz="6" w:space="0" w:color="000000" w:themeColor="text1"/>
            </w:tcBorders>
            <w:vAlign w:val="center"/>
            <w:hideMark/>
          </w:tcPr>
          <w:p w14:paraId="54BB00D5" w14:textId="77777777" w:rsidR="00404D8C" w:rsidRPr="001427AF" w:rsidRDefault="00404D8C">
            <w:pPr>
              <w:spacing w:line="240" w:lineRule="auto"/>
              <w:jc w:val="center"/>
              <w:rPr>
                <w:rFonts w:ascii="Arial" w:hAnsi="Arial" w:cs="Arial"/>
                <w:sz w:val="20"/>
              </w:rPr>
            </w:pPr>
            <w:r w:rsidRPr="001427AF">
              <w:rPr>
                <w:rFonts w:ascii="Arial" w:hAnsi="Arial" w:cs="Arial"/>
                <w:sz w:val="20"/>
              </w:rPr>
              <w:t>238</w:t>
            </w:r>
          </w:p>
        </w:tc>
        <w:tc>
          <w:tcPr>
            <w:tcW w:w="1620" w:type="dxa"/>
            <w:tcBorders>
              <w:top w:val="nil"/>
              <w:left w:val="nil"/>
              <w:bottom w:val="single" w:sz="6" w:space="0" w:color="000000" w:themeColor="text1"/>
              <w:right w:val="single" w:sz="18" w:space="0" w:color="000000" w:themeColor="text1"/>
            </w:tcBorders>
            <w:vAlign w:val="center"/>
            <w:hideMark/>
          </w:tcPr>
          <w:p w14:paraId="251BD58E" w14:textId="77777777" w:rsidR="00404D8C" w:rsidRPr="001427AF" w:rsidRDefault="00404D8C">
            <w:pPr>
              <w:spacing w:line="240" w:lineRule="auto"/>
              <w:jc w:val="center"/>
              <w:rPr>
                <w:rFonts w:ascii="Arial" w:hAnsi="Arial" w:cs="Arial"/>
                <w:sz w:val="20"/>
              </w:rPr>
            </w:pPr>
            <w:r w:rsidRPr="001427AF">
              <w:rPr>
                <w:rFonts w:ascii="Arial" w:hAnsi="Arial" w:cs="Arial"/>
                <w:sz w:val="20"/>
              </w:rPr>
              <w:t>230</w:t>
            </w:r>
          </w:p>
        </w:tc>
        <w:tc>
          <w:tcPr>
            <w:tcW w:w="2070" w:type="dxa"/>
            <w:tcBorders>
              <w:top w:val="nil"/>
              <w:left w:val="single" w:sz="18" w:space="0" w:color="000000" w:themeColor="text1"/>
              <w:bottom w:val="single" w:sz="18" w:space="0" w:color="000000" w:themeColor="text1"/>
              <w:right w:val="single" w:sz="18" w:space="0" w:color="000000" w:themeColor="text1"/>
            </w:tcBorders>
            <w:vAlign w:val="center"/>
            <w:hideMark/>
          </w:tcPr>
          <w:p w14:paraId="37DC6AD3" w14:textId="77777777" w:rsidR="00404D8C" w:rsidRPr="001427AF" w:rsidRDefault="00404D8C">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8</w:t>
            </w:r>
          </w:p>
        </w:tc>
        <w:tc>
          <w:tcPr>
            <w:tcW w:w="1350" w:type="dxa"/>
            <w:tcBorders>
              <w:top w:val="nil"/>
              <w:left w:val="single" w:sz="18" w:space="0" w:color="000000" w:themeColor="text1"/>
              <w:bottom w:val="single" w:sz="18" w:space="0" w:color="000000" w:themeColor="text1"/>
              <w:right w:val="single" w:sz="18" w:space="0" w:color="000000" w:themeColor="text1"/>
            </w:tcBorders>
            <w:vAlign w:val="center"/>
            <w:hideMark/>
          </w:tcPr>
          <w:p w14:paraId="1DFAEA02" w14:textId="77777777" w:rsidR="00404D8C" w:rsidRPr="001427AF" w:rsidRDefault="00404D8C">
            <w:pPr>
              <w:spacing w:line="240" w:lineRule="auto"/>
              <w:ind w:right="75"/>
              <w:contextualSpacing/>
              <w:jc w:val="center"/>
              <w:textAlignment w:val="baseline"/>
              <w:rPr>
                <w:rFonts w:ascii="Arial" w:hAnsi="Arial" w:cs="Arial"/>
                <w:color w:val="auto"/>
                <w:sz w:val="20"/>
              </w:rPr>
            </w:pPr>
            <w:r w:rsidRPr="001427AF">
              <w:rPr>
                <w:rFonts w:ascii="Arial" w:hAnsi="Arial" w:cs="Arial"/>
                <w:color w:val="auto"/>
                <w:sz w:val="20"/>
              </w:rPr>
              <w:t>238</w:t>
            </w:r>
          </w:p>
        </w:tc>
      </w:tr>
    </w:tbl>
    <w:p w14:paraId="45C6A01F" w14:textId="77777777" w:rsidR="00A2435C" w:rsidRDefault="006835AC" w:rsidP="00B76243">
      <w:pPr>
        <w:pStyle w:val="Heading3"/>
      </w:pPr>
      <w:bookmarkStart w:id="506" w:name="_Toc100132546"/>
      <w:bookmarkStart w:id="507" w:name="_Toc100132750"/>
      <w:bookmarkStart w:id="508" w:name="_Toc100136551"/>
      <w:bookmarkStart w:id="509" w:name="_Toc114211797"/>
      <w:bookmarkStart w:id="510" w:name="_Toc135812522"/>
      <w:bookmarkStart w:id="511" w:name="_Toc136418903"/>
      <w:bookmarkStart w:id="512" w:name="_Toc136419159"/>
      <w:bookmarkStart w:id="513" w:name="_Toc225404973"/>
      <w:r w:rsidRPr="00503562">
        <w:t>Calculations of English II EOC Proficiency for the Accountability Model (SPG)</w:t>
      </w:r>
      <w:bookmarkEnd w:id="506"/>
      <w:bookmarkEnd w:id="507"/>
      <w:bookmarkEnd w:id="508"/>
      <w:bookmarkEnd w:id="509"/>
      <w:bookmarkEnd w:id="510"/>
      <w:bookmarkEnd w:id="511"/>
      <w:bookmarkEnd w:id="512"/>
      <w:bookmarkEnd w:id="513"/>
    </w:p>
    <w:p w14:paraId="1106FDC5" w14:textId="22A11D1C" w:rsidR="000666F9" w:rsidRDefault="006835AC" w:rsidP="00B47A4F">
      <w:pPr>
        <w:rPr>
          <w:rFonts w:ascii="Arial" w:hAnsi="Arial" w:cs="Arial"/>
          <w:color w:val="auto"/>
          <w:sz w:val="20"/>
        </w:rPr>
      </w:pPr>
      <w:r w:rsidRPr="00B47A4F">
        <w:rPr>
          <w:rFonts w:ascii="Arial" w:hAnsi="Arial" w:cs="Arial"/>
        </w:rPr>
        <w:t xml:space="preserve">Proficiency </w:t>
      </w:r>
      <w:r w:rsidR="00330D1D" w:rsidRPr="00B47A4F">
        <w:rPr>
          <w:rFonts w:ascii="Arial" w:hAnsi="Arial" w:cs="Arial"/>
        </w:rPr>
        <w:t>in</w:t>
      </w:r>
      <w:r w:rsidRPr="00B47A4F">
        <w:rPr>
          <w:rFonts w:ascii="Arial" w:hAnsi="Arial" w:cs="Arial"/>
        </w:rPr>
        <w:t xml:space="preserve"> the accountability model is based on </w:t>
      </w:r>
      <w:r w:rsidR="00330D1D" w:rsidRPr="00B47A4F">
        <w:rPr>
          <w:rFonts w:ascii="Arial" w:hAnsi="Arial" w:cs="Arial"/>
        </w:rPr>
        <w:t>the current</w:t>
      </w:r>
      <w:r w:rsidRPr="00B47A4F">
        <w:rPr>
          <w:rFonts w:ascii="Arial" w:hAnsi="Arial" w:cs="Arial"/>
        </w:rPr>
        <w:t xml:space="preserve"> </w:t>
      </w:r>
      <w:r w:rsidR="00330D1D" w:rsidRPr="00B47A4F">
        <w:rPr>
          <w:rFonts w:ascii="Arial" w:hAnsi="Arial" w:cs="Arial"/>
        </w:rPr>
        <w:t>year’s</w:t>
      </w:r>
      <w:r w:rsidRPr="00B47A4F">
        <w:rPr>
          <w:rFonts w:ascii="Arial" w:hAnsi="Arial" w:cs="Arial"/>
        </w:rPr>
        <w:t xml:space="preserve"> assessments. The calculation uses all students with a current year grade-level proficient score (numerator) and the number of assessments given plus any applicable participation denominator adjustment (denominator).</w:t>
      </w:r>
      <w:r w:rsidRPr="001F2690">
        <w:rPr>
          <w:rFonts w:ascii="Arial" w:hAnsi="Arial" w:cs="Arial"/>
          <w:color w:val="auto"/>
          <w:szCs w:val="24"/>
        </w:rPr>
        <w:t> </w:t>
      </w:r>
    </w:p>
    <w:p w14:paraId="2B6B453F" w14:textId="77777777" w:rsidR="000666F9" w:rsidRDefault="000666F9" w:rsidP="00B47A4F">
      <w:pPr>
        <w:spacing w:line="240" w:lineRule="auto"/>
        <w:contextualSpacing/>
        <w:textAlignment w:val="baseline"/>
        <w:rPr>
          <w:rFonts w:ascii="Arial" w:hAnsi="Arial" w:cs="Arial"/>
          <w:color w:val="auto"/>
          <w:sz w:val="20"/>
        </w:rPr>
      </w:pPr>
    </w:p>
    <w:p w14:paraId="4553497C" w14:textId="5CACF1D0" w:rsidR="006835AC" w:rsidRPr="001427AF" w:rsidRDefault="006835AC" w:rsidP="002F0B18">
      <w:pPr>
        <w:spacing w:line="240" w:lineRule="auto"/>
        <w:contextualSpacing/>
        <w:textAlignment w:val="baseline"/>
        <w:rPr>
          <w:rFonts w:ascii="Arial" w:hAnsi="Arial" w:cs="Arial"/>
          <w:color w:val="auto"/>
          <w:sz w:val="20"/>
        </w:rPr>
      </w:pPr>
      <w:r w:rsidRPr="00823415">
        <w:rPr>
          <w:rFonts w:ascii="Arial" w:hAnsi="Arial" w:cs="Arial"/>
          <w:color w:val="auto"/>
          <w:sz w:val="20"/>
        </w:rPr>
        <w:t xml:space="preserve">TABLE 3.1.5. EOC proficiency calculations with participation rule applied to school performance grade </w:t>
      </w:r>
      <w:r w:rsidRPr="001427AF">
        <w:rPr>
          <w:rFonts w:ascii="Arial" w:hAnsi="Arial" w:cs="Arial"/>
          <w:color w:val="auto"/>
          <w:sz w:val="20"/>
        </w:rPr>
        <w:t>calculations </w:t>
      </w:r>
    </w:p>
    <w:tbl>
      <w:tblPr>
        <w:tblStyle w:val="TableGrid"/>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xample of a school not meeting End of Course participation for English II, including how grade level proficiency is taken into consideration. "/>
      </w:tblPr>
      <w:tblGrid>
        <w:gridCol w:w="1616"/>
        <w:gridCol w:w="1408"/>
        <w:gridCol w:w="1650"/>
        <w:gridCol w:w="1473"/>
        <w:gridCol w:w="1638"/>
        <w:gridCol w:w="2109"/>
      </w:tblGrid>
      <w:tr w:rsidR="00A36D60" w:rsidRPr="001427AF" w14:paraId="16C4AB67" w14:textId="77777777" w:rsidTr="004321BA">
        <w:trPr>
          <w:trHeight w:val="1070"/>
        </w:trPr>
        <w:tc>
          <w:tcPr>
            <w:tcW w:w="816" w:type="pct"/>
            <w:tcBorders>
              <w:top w:val="single" w:sz="4" w:space="0" w:color="auto"/>
              <w:left w:val="single" w:sz="4" w:space="0" w:color="auto"/>
            </w:tcBorders>
            <w:shd w:val="clear" w:color="auto" w:fill="ACB9CA" w:themeFill="text2" w:themeFillTint="66"/>
            <w:vAlign w:val="center"/>
          </w:tcPr>
          <w:p w14:paraId="41895F8F" w14:textId="1E7B250D" w:rsidR="00A36D60" w:rsidRPr="00B47A4F" w:rsidRDefault="004321BA">
            <w:pPr>
              <w:spacing w:line="240" w:lineRule="auto"/>
              <w:contextualSpacing/>
              <w:textAlignment w:val="baseline"/>
              <w:rPr>
                <w:rFonts w:ascii="Arial" w:hAnsi="Arial" w:cs="Arial"/>
                <w:color w:val="auto"/>
                <w:sz w:val="20"/>
              </w:rPr>
            </w:pPr>
            <w:r w:rsidRPr="00160A35">
              <w:rPr>
                <w:rFonts w:ascii="Arial" w:hAnsi="Arial" w:cs="Arial"/>
                <w:b/>
                <w:bCs/>
                <w:color w:val="auto"/>
                <w:sz w:val="20"/>
              </w:rPr>
              <w:t>Test name</w:t>
            </w:r>
          </w:p>
        </w:tc>
        <w:tc>
          <w:tcPr>
            <w:tcW w:w="711" w:type="pct"/>
            <w:shd w:val="clear" w:color="auto" w:fill="ACB9CA" w:themeFill="text2" w:themeFillTint="66"/>
            <w:vAlign w:val="center"/>
          </w:tcPr>
          <w:p w14:paraId="4E23CD09" w14:textId="77777777" w:rsidR="00A36D60" w:rsidRPr="001427AF" w:rsidRDefault="00A36D60">
            <w:pPr>
              <w:spacing w:line="240" w:lineRule="auto"/>
              <w:contextualSpacing/>
              <w:jc w:val="center"/>
              <w:textAlignment w:val="baseline"/>
              <w:rPr>
                <w:rFonts w:ascii="Arial" w:hAnsi="Arial" w:cs="Arial"/>
                <w:b/>
                <w:color w:val="auto"/>
              </w:rPr>
            </w:pPr>
            <w:r w:rsidRPr="001427AF">
              <w:rPr>
                <w:rFonts w:ascii="Arial" w:hAnsi="Arial" w:cs="Arial"/>
                <w:b/>
                <w:bCs/>
                <w:color w:val="auto"/>
                <w:sz w:val="20"/>
              </w:rPr>
              <w:t>Number of students expected to participate in the assessment</w:t>
            </w:r>
          </w:p>
        </w:tc>
        <w:tc>
          <w:tcPr>
            <w:tcW w:w="834" w:type="pct"/>
            <w:shd w:val="clear" w:color="auto" w:fill="ACB9CA" w:themeFill="text2" w:themeFillTint="66"/>
            <w:vAlign w:val="center"/>
          </w:tcPr>
          <w:p w14:paraId="4E7DB52D" w14:textId="77777777" w:rsidR="00A36D60" w:rsidRPr="001427AF" w:rsidRDefault="00A36D60">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Minimum 95% target number of students expected to participate</w:t>
            </w:r>
          </w:p>
        </w:tc>
        <w:tc>
          <w:tcPr>
            <w:tcW w:w="744" w:type="pct"/>
            <w:shd w:val="clear" w:color="auto" w:fill="ACB9CA" w:themeFill="text2" w:themeFillTint="66"/>
            <w:vAlign w:val="center"/>
          </w:tcPr>
          <w:p w14:paraId="479C5032" w14:textId="77777777" w:rsidR="00A36D60" w:rsidRPr="001427AF" w:rsidRDefault="00A36D60">
            <w:pPr>
              <w:spacing w:line="240" w:lineRule="auto"/>
              <w:contextualSpacing/>
              <w:jc w:val="center"/>
              <w:textAlignment w:val="baseline"/>
              <w:rPr>
                <w:rFonts w:ascii="Arial" w:hAnsi="Arial" w:cs="Arial"/>
                <w:b/>
                <w:bCs/>
                <w:color w:val="auto"/>
                <w:szCs w:val="24"/>
              </w:rPr>
            </w:pPr>
            <w:r w:rsidRPr="001427AF">
              <w:rPr>
                <w:rFonts w:ascii="Arial" w:hAnsi="Arial" w:cs="Arial"/>
                <w:b/>
                <w:bCs/>
                <w:color w:val="auto"/>
                <w:sz w:val="20"/>
              </w:rPr>
              <w:t>Actual number of assessments given</w:t>
            </w:r>
          </w:p>
        </w:tc>
        <w:tc>
          <w:tcPr>
            <w:tcW w:w="828" w:type="pct"/>
            <w:shd w:val="clear" w:color="auto" w:fill="ACB9CA" w:themeFill="text2" w:themeFillTint="66"/>
            <w:vAlign w:val="center"/>
          </w:tcPr>
          <w:p w14:paraId="52BD67A1" w14:textId="77777777" w:rsidR="00A36D60" w:rsidRPr="001427AF" w:rsidRDefault="00A36D60">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Number of proficient students</w:t>
            </w:r>
          </w:p>
          <w:p w14:paraId="473D60AE" w14:textId="77777777" w:rsidR="00A36D60" w:rsidRPr="001427AF" w:rsidRDefault="00A36D60">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(GLP levels 3–5)</w:t>
            </w:r>
          </w:p>
        </w:tc>
        <w:tc>
          <w:tcPr>
            <w:tcW w:w="1066" w:type="pct"/>
            <w:shd w:val="clear" w:color="auto" w:fill="ACB9CA" w:themeFill="text2" w:themeFillTint="66"/>
            <w:vAlign w:val="center"/>
          </w:tcPr>
          <w:p w14:paraId="18B2E135" w14:textId="77777777" w:rsidR="00A36D60" w:rsidRPr="001427AF" w:rsidRDefault="00A36D60">
            <w:pPr>
              <w:spacing w:line="240" w:lineRule="auto"/>
              <w:ind w:right="90"/>
              <w:contextualSpacing/>
              <w:jc w:val="center"/>
              <w:textAlignment w:val="baseline"/>
              <w:rPr>
                <w:rFonts w:ascii="Arial" w:hAnsi="Arial" w:cs="Arial"/>
                <w:b/>
                <w:bCs/>
                <w:color w:val="auto"/>
                <w:sz w:val="20"/>
              </w:rPr>
            </w:pPr>
            <w:r w:rsidRPr="001427AF">
              <w:rPr>
                <w:rFonts w:ascii="Arial" w:hAnsi="Arial" w:cs="Arial"/>
                <w:b/>
                <w:bCs/>
                <w:color w:val="auto"/>
                <w:sz w:val="20"/>
              </w:rPr>
              <w:t xml:space="preserve">Difference in actual number of assessments and </w:t>
            </w:r>
          </w:p>
          <w:p w14:paraId="21767A9C" w14:textId="77777777" w:rsidR="00A36D60" w:rsidRPr="001427AF" w:rsidRDefault="00A36D60">
            <w:pPr>
              <w:spacing w:line="240" w:lineRule="auto"/>
              <w:ind w:right="90"/>
              <w:contextualSpacing/>
              <w:jc w:val="center"/>
              <w:textAlignment w:val="baseline"/>
              <w:rPr>
                <w:rFonts w:ascii="Arial" w:hAnsi="Arial" w:cs="Arial"/>
                <w:b/>
                <w:bCs/>
                <w:color w:val="auto"/>
                <w:sz w:val="20"/>
              </w:rPr>
            </w:pPr>
            <w:r w:rsidRPr="001427AF">
              <w:rPr>
                <w:rFonts w:ascii="Arial" w:hAnsi="Arial" w:cs="Arial"/>
                <w:b/>
                <w:bCs/>
                <w:color w:val="auto"/>
                <w:sz w:val="20"/>
              </w:rPr>
              <w:t>95% target</w:t>
            </w:r>
          </w:p>
          <w:p w14:paraId="594A69AB" w14:textId="77777777" w:rsidR="00A36D60" w:rsidRPr="001427AF" w:rsidRDefault="00A36D60">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w:t>
            </w:r>
            <w:bookmarkStart w:id="514" w:name="_Int_FpmD1nRC"/>
            <w:r w:rsidRPr="001427AF">
              <w:rPr>
                <w:rFonts w:ascii="Arial" w:hAnsi="Arial" w:cs="Arial"/>
                <w:b/>
                <w:bCs/>
                <w:color w:val="auto"/>
                <w:sz w:val="20"/>
              </w:rPr>
              <w:t>Added</w:t>
            </w:r>
            <w:bookmarkEnd w:id="514"/>
            <w:r w:rsidRPr="001427AF">
              <w:rPr>
                <w:rFonts w:ascii="Arial" w:hAnsi="Arial" w:cs="Arial"/>
                <w:b/>
                <w:bCs/>
                <w:color w:val="auto"/>
                <w:sz w:val="20"/>
              </w:rPr>
              <w:t xml:space="preserve"> to denominator)</w:t>
            </w:r>
          </w:p>
        </w:tc>
      </w:tr>
      <w:tr w:rsidR="00A36D60" w:rsidRPr="001427AF" w14:paraId="724942D1" w14:textId="77777777" w:rsidTr="0093756D">
        <w:trPr>
          <w:trHeight w:val="266"/>
        </w:trPr>
        <w:tc>
          <w:tcPr>
            <w:tcW w:w="816" w:type="pct"/>
          </w:tcPr>
          <w:p w14:paraId="11F03F93" w14:textId="77777777" w:rsidR="00A36D60" w:rsidRPr="001427AF" w:rsidRDefault="00A36D60">
            <w:pPr>
              <w:spacing w:line="240" w:lineRule="auto"/>
              <w:ind w:right="75"/>
              <w:contextualSpacing/>
              <w:textAlignment w:val="baseline"/>
              <w:rPr>
                <w:rFonts w:ascii="Arial" w:hAnsi="Arial" w:cs="Arial"/>
                <w:color w:val="auto"/>
                <w:sz w:val="20"/>
              </w:rPr>
            </w:pPr>
            <w:r w:rsidRPr="001427AF">
              <w:rPr>
                <w:rFonts w:ascii="Arial" w:hAnsi="Arial" w:cs="Arial"/>
                <w:color w:val="auto"/>
                <w:sz w:val="20"/>
              </w:rPr>
              <w:t>EOC English II</w:t>
            </w:r>
          </w:p>
        </w:tc>
        <w:tc>
          <w:tcPr>
            <w:tcW w:w="711" w:type="pct"/>
          </w:tcPr>
          <w:p w14:paraId="48C3A3DF" w14:textId="77777777" w:rsidR="00A36D60" w:rsidRPr="001427AF" w:rsidRDefault="00A36D60">
            <w:pPr>
              <w:spacing w:line="240" w:lineRule="auto"/>
              <w:contextualSpacing/>
              <w:jc w:val="center"/>
              <w:textAlignment w:val="baseline"/>
              <w:rPr>
                <w:rFonts w:ascii="Arial" w:hAnsi="Arial" w:cs="Arial"/>
                <w:b/>
                <w:bCs/>
                <w:color w:val="auto"/>
                <w:szCs w:val="24"/>
              </w:rPr>
            </w:pPr>
            <w:r w:rsidRPr="001427AF">
              <w:rPr>
                <w:rFonts w:ascii="Arial" w:hAnsi="Arial" w:cs="Arial"/>
                <w:color w:val="auto"/>
                <w:sz w:val="20"/>
              </w:rPr>
              <w:t>250</w:t>
            </w:r>
          </w:p>
        </w:tc>
        <w:tc>
          <w:tcPr>
            <w:tcW w:w="834" w:type="pct"/>
          </w:tcPr>
          <w:p w14:paraId="14728811" w14:textId="77777777" w:rsidR="00A36D60" w:rsidRPr="001427AF" w:rsidRDefault="00A36D60">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238</w:t>
            </w:r>
          </w:p>
        </w:tc>
        <w:tc>
          <w:tcPr>
            <w:tcW w:w="744" w:type="pct"/>
          </w:tcPr>
          <w:p w14:paraId="08DAB6CA" w14:textId="77777777" w:rsidR="00A36D60" w:rsidRPr="001427AF" w:rsidRDefault="00A36D60">
            <w:pPr>
              <w:spacing w:line="240" w:lineRule="auto"/>
              <w:contextualSpacing/>
              <w:jc w:val="center"/>
              <w:textAlignment w:val="baseline"/>
              <w:rPr>
                <w:rFonts w:ascii="Arial" w:hAnsi="Arial" w:cs="Arial"/>
                <w:b/>
                <w:bCs/>
                <w:color w:val="auto"/>
                <w:szCs w:val="24"/>
              </w:rPr>
            </w:pPr>
            <w:r w:rsidRPr="001427AF">
              <w:rPr>
                <w:rFonts w:ascii="Arial" w:hAnsi="Arial" w:cs="Arial"/>
                <w:color w:val="auto"/>
                <w:sz w:val="20"/>
              </w:rPr>
              <w:t>230</w:t>
            </w:r>
          </w:p>
        </w:tc>
        <w:tc>
          <w:tcPr>
            <w:tcW w:w="828" w:type="pct"/>
          </w:tcPr>
          <w:p w14:paraId="49A32937" w14:textId="77777777" w:rsidR="00A36D60" w:rsidRPr="001427AF" w:rsidRDefault="00A36D60">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180</w:t>
            </w:r>
          </w:p>
        </w:tc>
        <w:tc>
          <w:tcPr>
            <w:tcW w:w="1066" w:type="pct"/>
          </w:tcPr>
          <w:p w14:paraId="137107E9" w14:textId="77777777" w:rsidR="00A36D60" w:rsidRPr="001427AF" w:rsidRDefault="00A36D60">
            <w:pPr>
              <w:spacing w:line="240" w:lineRule="auto"/>
              <w:contextualSpacing/>
              <w:jc w:val="center"/>
              <w:textAlignment w:val="baseline"/>
              <w:rPr>
                <w:rFonts w:ascii="Arial" w:hAnsi="Arial" w:cs="Arial"/>
                <w:color w:val="auto"/>
                <w:sz w:val="20"/>
              </w:rPr>
            </w:pPr>
            <w:r w:rsidRPr="001427AF">
              <w:rPr>
                <w:rFonts w:ascii="Arial" w:hAnsi="Arial" w:cs="Arial"/>
                <w:color w:val="auto"/>
                <w:sz w:val="20"/>
              </w:rPr>
              <w:t>8</w:t>
            </w:r>
          </w:p>
        </w:tc>
      </w:tr>
    </w:tbl>
    <w:p w14:paraId="589090D1" w14:textId="77777777" w:rsidR="006835AC" w:rsidRPr="001427AF" w:rsidRDefault="006835AC" w:rsidP="006835AC">
      <w:pPr>
        <w:spacing w:line="240" w:lineRule="auto"/>
        <w:contextualSpacing/>
        <w:textAlignment w:val="baseline"/>
        <w:rPr>
          <w:rFonts w:ascii="Arial" w:hAnsi="Arial" w:cs="Arial"/>
          <w:color w:val="auto"/>
          <w:szCs w:val="24"/>
        </w:rPr>
      </w:pPr>
    </w:p>
    <w:p w14:paraId="3D107984" w14:textId="5B36BF8B" w:rsidR="006835AC" w:rsidRPr="001427AF" w:rsidRDefault="00171E6C" w:rsidP="006835AC">
      <w:pPr>
        <w:spacing w:line="240" w:lineRule="auto"/>
        <w:contextualSpacing/>
        <w:textAlignment w:val="baseline"/>
        <w:rPr>
          <w:rFonts w:ascii="Arial" w:hAnsi="Arial" w:cs="Arial"/>
          <w:color w:val="auto"/>
        </w:rPr>
      </w:pPr>
      <w:r w:rsidRPr="001427AF">
        <w:rPr>
          <w:rFonts w:ascii="Arial" w:hAnsi="Arial" w:cs="Arial"/>
          <w:color w:val="auto"/>
          <w:szCs w:val="24"/>
        </w:rPr>
        <w:t xml:space="preserve">In </w:t>
      </w:r>
      <w:r w:rsidR="00C660D7" w:rsidRPr="001427AF">
        <w:rPr>
          <w:rFonts w:ascii="Arial" w:hAnsi="Arial" w:cs="Arial"/>
          <w:color w:val="auto"/>
          <w:szCs w:val="24"/>
        </w:rPr>
        <w:t>t</w:t>
      </w:r>
      <w:r w:rsidRPr="001427AF">
        <w:rPr>
          <w:rFonts w:ascii="Arial" w:hAnsi="Arial" w:cs="Arial"/>
          <w:color w:val="auto"/>
          <w:szCs w:val="24"/>
        </w:rPr>
        <w:t>able 3.1.5,</w:t>
      </w:r>
      <w:r w:rsidR="006835AC" w:rsidRPr="001427AF">
        <w:rPr>
          <w:rFonts w:ascii="Arial" w:hAnsi="Arial" w:cs="Arial"/>
          <w:color w:val="auto"/>
          <w:szCs w:val="24"/>
        </w:rPr>
        <w:t xml:space="preserve"> there </w:t>
      </w:r>
      <w:r w:rsidRPr="001427AF">
        <w:rPr>
          <w:rFonts w:ascii="Arial" w:hAnsi="Arial" w:cs="Arial"/>
          <w:color w:val="auto"/>
          <w:szCs w:val="24"/>
        </w:rPr>
        <w:t xml:space="preserve">are </w:t>
      </w:r>
      <w:r w:rsidR="006835AC" w:rsidRPr="001427AF">
        <w:rPr>
          <w:rFonts w:ascii="Arial" w:hAnsi="Arial" w:cs="Arial"/>
          <w:color w:val="auto"/>
          <w:szCs w:val="24"/>
        </w:rPr>
        <w:t xml:space="preserve">230 </w:t>
      </w:r>
      <w:r w:rsidR="00F30BB1" w:rsidRPr="001427AF">
        <w:rPr>
          <w:rFonts w:ascii="Arial" w:hAnsi="Arial" w:cs="Arial"/>
          <w:color w:val="auto"/>
          <w:szCs w:val="24"/>
        </w:rPr>
        <w:t xml:space="preserve">EOC </w:t>
      </w:r>
      <w:r w:rsidR="006835AC" w:rsidRPr="001427AF">
        <w:rPr>
          <w:rFonts w:ascii="Arial" w:hAnsi="Arial" w:cs="Arial"/>
          <w:color w:val="auto"/>
          <w:szCs w:val="24"/>
        </w:rPr>
        <w:t>English II current year scores from all grades. Of those, 180 are grade-level proficient (</w:t>
      </w:r>
      <w:r w:rsidR="00F30BB1" w:rsidRPr="001427AF">
        <w:rPr>
          <w:rFonts w:ascii="Arial" w:hAnsi="Arial" w:cs="Arial"/>
          <w:color w:val="auto"/>
          <w:szCs w:val="24"/>
        </w:rPr>
        <w:t xml:space="preserve">i.e., </w:t>
      </w:r>
      <w:r w:rsidR="006835AC" w:rsidRPr="001427AF">
        <w:rPr>
          <w:rFonts w:ascii="Arial" w:hAnsi="Arial" w:cs="Arial"/>
          <w:color w:val="auto"/>
          <w:szCs w:val="24"/>
        </w:rPr>
        <w:t xml:space="preserve">Levels 3–5). </w:t>
      </w:r>
      <w:r w:rsidR="006835AC" w:rsidRPr="001427AF">
        <w:rPr>
          <w:rFonts w:ascii="Arial" w:hAnsi="Arial" w:cs="Arial"/>
          <w:color w:val="auto"/>
        </w:rPr>
        <w:t xml:space="preserve">Without the participation rule applied, the proficiency rate would </w:t>
      </w:r>
      <w:r w:rsidR="00F30BB1" w:rsidRPr="001427AF">
        <w:rPr>
          <w:rFonts w:ascii="Arial" w:hAnsi="Arial" w:cs="Arial"/>
          <w:color w:val="auto"/>
        </w:rPr>
        <w:t>be</w:t>
      </w:r>
      <w:r w:rsidR="006835AC" w:rsidRPr="001427AF">
        <w:rPr>
          <w:rFonts w:ascii="Arial" w:hAnsi="Arial" w:cs="Arial"/>
          <w:color w:val="auto"/>
        </w:rPr>
        <w:t xml:space="preserve"> 78.3% (180/230</w:t>
      </w:r>
      <w:r w:rsidRPr="001427AF">
        <w:rPr>
          <w:rFonts w:ascii="Arial" w:hAnsi="Arial" w:cs="Arial"/>
          <w:color w:val="auto"/>
        </w:rPr>
        <w:t xml:space="preserve"> </w:t>
      </w:r>
      <w:r w:rsidR="006835AC" w:rsidRPr="001427AF">
        <w:rPr>
          <w:rFonts w:ascii="Arial" w:hAnsi="Arial" w:cs="Arial"/>
          <w:color w:val="auto"/>
        </w:rPr>
        <w:t>=</w:t>
      </w:r>
      <w:r w:rsidRPr="001427AF">
        <w:rPr>
          <w:rFonts w:ascii="Arial" w:hAnsi="Arial" w:cs="Arial"/>
          <w:color w:val="auto"/>
        </w:rPr>
        <w:t xml:space="preserve"> </w:t>
      </w:r>
      <w:r w:rsidR="006835AC" w:rsidRPr="001427AF">
        <w:rPr>
          <w:rFonts w:ascii="Arial" w:hAnsi="Arial" w:cs="Arial"/>
          <w:color w:val="auto"/>
        </w:rPr>
        <w:t xml:space="preserve">78.3%). Once the participation consequences </w:t>
      </w:r>
      <w:r w:rsidR="00A733C3" w:rsidRPr="001427AF">
        <w:rPr>
          <w:rFonts w:ascii="Arial" w:hAnsi="Arial" w:cs="Arial"/>
          <w:color w:val="auto"/>
        </w:rPr>
        <w:t xml:space="preserve">are </w:t>
      </w:r>
      <w:r w:rsidR="006835AC" w:rsidRPr="001427AF">
        <w:rPr>
          <w:rFonts w:ascii="Arial" w:hAnsi="Arial" w:cs="Arial"/>
          <w:color w:val="auto"/>
        </w:rPr>
        <w:t xml:space="preserve">applied and the denominator increased by </w:t>
      </w:r>
      <w:r w:rsidR="006835AC" w:rsidRPr="001427AF" w:rsidDel="00404CDD">
        <w:rPr>
          <w:rFonts w:ascii="Arial" w:hAnsi="Arial" w:cs="Arial"/>
          <w:color w:val="auto"/>
        </w:rPr>
        <w:t>eight</w:t>
      </w:r>
      <w:r w:rsidR="006835AC" w:rsidRPr="001427AF">
        <w:rPr>
          <w:rFonts w:ascii="Arial" w:hAnsi="Arial" w:cs="Arial"/>
          <w:color w:val="auto"/>
        </w:rPr>
        <w:t>, the proficiency rate drop</w:t>
      </w:r>
      <w:r w:rsidR="00A733C3" w:rsidRPr="001427AF">
        <w:rPr>
          <w:rFonts w:ascii="Arial" w:hAnsi="Arial" w:cs="Arial"/>
          <w:color w:val="auto"/>
        </w:rPr>
        <w:t>s</w:t>
      </w:r>
      <w:r w:rsidR="006835AC" w:rsidRPr="001427AF">
        <w:rPr>
          <w:rFonts w:ascii="Arial" w:hAnsi="Arial" w:cs="Arial"/>
          <w:color w:val="auto"/>
        </w:rPr>
        <w:t xml:space="preserve"> to </w:t>
      </w:r>
      <w:r w:rsidR="006835AC" w:rsidRPr="001427AF">
        <w:rPr>
          <w:rFonts w:ascii="Arial" w:hAnsi="Arial" w:cs="Arial"/>
          <w:color w:val="auto"/>
          <w:szCs w:val="24"/>
        </w:rPr>
        <w:t>180/238 = 75.6%.</w:t>
      </w:r>
      <w:r w:rsidR="006835AC" w:rsidRPr="001427AF">
        <w:rPr>
          <w:rFonts w:ascii="Arial" w:hAnsi="Arial" w:cs="Arial"/>
          <w:color w:val="auto"/>
        </w:rPr>
        <w:t> </w:t>
      </w:r>
    </w:p>
    <w:p w14:paraId="3C12A3C1" w14:textId="0352FAAE" w:rsidR="006835AC" w:rsidRPr="001427AF" w:rsidRDefault="006835AC" w:rsidP="00B76243">
      <w:pPr>
        <w:pStyle w:val="Heading3"/>
      </w:pPr>
      <w:bookmarkStart w:id="515" w:name="_Toc100132547"/>
      <w:bookmarkStart w:id="516" w:name="_Toc100132751"/>
      <w:bookmarkStart w:id="517" w:name="_Toc100136552"/>
      <w:bookmarkStart w:id="518" w:name="_Toc114211798"/>
      <w:bookmarkStart w:id="519" w:name="_Toc135812523"/>
      <w:bookmarkStart w:id="520" w:name="_Toc136418904"/>
      <w:bookmarkStart w:id="521" w:name="_Toc136419160"/>
      <w:bookmarkStart w:id="522" w:name="_Toc225404974"/>
      <w:r w:rsidRPr="001427AF">
        <w:t>Calculations of English II EOC Proficiency for Long-term Goals</w:t>
      </w:r>
      <w:bookmarkEnd w:id="515"/>
      <w:bookmarkEnd w:id="516"/>
      <w:bookmarkEnd w:id="517"/>
      <w:bookmarkEnd w:id="518"/>
      <w:bookmarkEnd w:id="519"/>
      <w:bookmarkEnd w:id="520"/>
      <w:bookmarkEnd w:id="521"/>
      <w:bookmarkEnd w:id="522"/>
    </w:p>
    <w:p w14:paraId="1F66D86F" w14:textId="5D3B8BA0" w:rsidR="00AB6FD1" w:rsidRPr="001427AF" w:rsidRDefault="00AB6FD1" w:rsidP="00AB6FD1">
      <w:pPr>
        <w:spacing w:line="240" w:lineRule="auto"/>
        <w:ind w:right="90"/>
        <w:contextualSpacing/>
        <w:textAlignment w:val="baseline"/>
        <w:rPr>
          <w:rFonts w:ascii="Arial" w:hAnsi="Arial" w:cs="Arial"/>
          <w:color w:val="auto"/>
          <w:szCs w:val="24"/>
        </w:rPr>
      </w:pPr>
      <w:r w:rsidRPr="001427AF">
        <w:rPr>
          <w:rFonts w:ascii="Arial" w:hAnsi="Arial" w:cs="Arial"/>
          <w:color w:val="auto"/>
          <w:szCs w:val="24"/>
        </w:rPr>
        <w:t xml:space="preserve">Long-term goal proficiency is measured at grade 10 for students with an English II score that was earned either in the current year or in the previous years. The calculation uses grade 10 students with English II scores meeting college-and-career readiness </w:t>
      </w:r>
      <w:r w:rsidRPr="001427AF">
        <w:rPr>
          <w:rFonts w:ascii="Arial" w:hAnsi="Arial" w:cs="Arial"/>
          <w:color w:val="auto"/>
        </w:rPr>
        <w:t>(i.e., Levels 4 or 5)</w:t>
      </w:r>
      <w:r w:rsidRPr="001427AF">
        <w:rPr>
          <w:rFonts w:ascii="Arial" w:hAnsi="Arial" w:cs="Arial"/>
          <w:color w:val="auto"/>
          <w:szCs w:val="24"/>
        </w:rPr>
        <w:t xml:space="preserve"> in the numerator and the number of students with English II scores at grade 10 plus any applicable participation denominator adjustment in the denominator. </w:t>
      </w:r>
    </w:p>
    <w:p w14:paraId="37CB6059" w14:textId="7C5775BD" w:rsidR="006835AC" w:rsidRPr="001427AF" w:rsidRDefault="006835AC" w:rsidP="006835AC">
      <w:pPr>
        <w:spacing w:line="240" w:lineRule="auto"/>
        <w:contextualSpacing/>
        <w:textAlignment w:val="baseline"/>
        <w:rPr>
          <w:rFonts w:ascii="Arial" w:hAnsi="Arial" w:cs="Arial"/>
          <w:color w:val="auto"/>
          <w:szCs w:val="24"/>
        </w:rPr>
      </w:pPr>
      <w:r w:rsidRPr="001427AF">
        <w:rPr>
          <w:rFonts w:ascii="Arial" w:hAnsi="Arial" w:cs="Arial"/>
          <w:color w:val="auto"/>
          <w:szCs w:val="24"/>
        </w:rPr>
        <w:t> </w:t>
      </w:r>
    </w:p>
    <w:p w14:paraId="103BF8A6" w14:textId="24BFED0F" w:rsidR="006835AC" w:rsidRPr="001427AF" w:rsidRDefault="006835AC" w:rsidP="006835AC">
      <w:pPr>
        <w:spacing w:line="240" w:lineRule="auto"/>
        <w:contextualSpacing/>
        <w:textAlignment w:val="baseline"/>
        <w:rPr>
          <w:rFonts w:ascii="Arial" w:hAnsi="Arial" w:cs="Arial"/>
          <w:color w:val="auto"/>
          <w:sz w:val="20"/>
        </w:rPr>
      </w:pPr>
      <w:r w:rsidRPr="001427AF">
        <w:rPr>
          <w:rFonts w:ascii="Arial" w:hAnsi="Arial" w:cs="Arial"/>
          <w:color w:val="auto"/>
          <w:sz w:val="20"/>
        </w:rPr>
        <w:t>TABLE 3.1.6. EOC proficiency calculations with participation rule applied to long-term goal calculations </w:t>
      </w:r>
    </w:p>
    <w:tbl>
      <w:tblPr>
        <w:tblW w:w="5293"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Example of a school not meeting End of Course participation for English II, including how college and career ready proficiency is taken into consideration. "/>
      </w:tblPr>
      <w:tblGrid>
        <w:gridCol w:w="2062"/>
        <w:gridCol w:w="1981"/>
        <w:gridCol w:w="1350"/>
        <w:gridCol w:w="2072"/>
        <w:gridCol w:w="2430"/>
      </w:tblGrid>
      <w:tr w:rsidR="007B7F03" w:rsidRPr="001427AF" w14:paraId="6E49C16B" w14:textId="77777777" w:rsidTr="00937692">
        <w:trPr>
          <w:trHeight w:val="966"/>
        </w:trPr>
        <w:tc>
          <w:tcPr>
            <w:tcW w:w="1042" w:type="pct"/>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0B2ED8B0" w14:textId="70DD708C" w:rsidR="00A3260D" w:rsidRPr="001427AF" w:rsidRDefault="00937692">
            <w:pPr>
              <w:spacing w:line="240" w:lineRule="auto"/>
              <w:contextualSpacing/>
              <w:textAlignment w:val="baseline"/>
              <w:rPr>
                <w:rFonts w:ascii="Arial" w:hAnsi="Arial" w:cs="Arial"/>
                <w:color w:val="auto"/>
                <w:sz w:val="20"/>
              </w:rPr>
            </w:pPr>
            <w:r>
              <w:rPr>
                <w:rFonts w:ascii="Arial" w:hAnsi="Arial" w:cs="Arial"/>
                <w:b/>
                <w:bCs/>
                <w:color w:val="auto"/>
                <w:sz w:val="20"/>
              </w:rPr>
              <w:t xml:space="preserve"> </w:t>
            </w:r>
            <w:r w:rsidR="002F77C7">
              <w:rPr>
                <w:rFonts w:ascii="Arial" w:hAnsi="Arial" w:cs="Arial"/>
                <w:b/>
                <w:bCs/>
                <w:color w:val="auto"/>
                <w:sz w:val="20"/>
              </w:rPr>
              <w:t>Indica</w:t>
            </w:r>
            <w:r>
              <w:rPr>
                <w:rFonts w:ascii="Arial" w:hAnsi="Arial" w:cs="Arial"/>
                <w:b/>
                <w:bCs/>
                <w:color w:val="auto"/>
                <w:sz w:val="20"/>
              </w:rPr>
              <w:t>tor</w:t>
            </w:r>
          </w:p>
        </w:tc>
        <w:tc>
          <w:tcPr>
            <w:tcW w:w="1001"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ACB9CA" w:themeFill="text2" w:themeFillTint="66"/>
            <w:vAlign w:val="center"/>
            <w:hideMark/>
          </w:tcPr>
          <w:p w14:paraId="1F3B990D" w14:textId="77777777" w:rsidR="00A3260D" w:rsidRPr="001427AF" w:rsidRDefault="00A3260D">
            <w:pPr>
              <w:spacing w:line="240" w:lineRule="auto"/>
              <w:ind w:right="120"/>
              <w:contextualSpacing/>
              <w:jc w:val="center"/>
              <w:textAlignment w:val="baseline"/>
              <w:rPr>
                <w:rFonts w:ascii="Arial" w:hAnsi="Arial" w:cs="Arial"/>
                <w:b/>
                <w:bCs/>
                <w:color w:val="auto"/>
                <w:sz w:val="20"/>
              </w:rPr>
            </w:pPr>
            <w:r w:rsidRPr="001427AF">
              <w:rPr>
                <w:rFonts w:ascii="Arial" w:hAnsi="Arial" w:cs="Arial"/>
                <w:b/>
                <w:bCs/>
                <w:color w:val="auto"/>
                <w:sz w:val="20"/>
              </w:rPr>
              <w:t>Number of students with scores (earned in current or previous years) at grade 10</w:t>
            </w:r>
          </w:p>
        </w:tc>
        <w:tc>
          <w:tcPr>
            <w:tcW w:w="682" w:type="pct"/>
            <w:tcBorders>
              <w:top w:val="single" w:sz="6" w:space="0" w:color="000000" w:themeColor="text1"/>
              <w:left w:val="nil"/>
              <w:bottom w:val="single" w:sz="6" w:space="0" w:color="000000" w:themeColor="text1"/>
              <w:right w:val="single" w:sz="6" w:space="0" w:color="000000" w:themeColor="text1"/>
            </w:tcBorders>
            <w:shd w:val="clear" w:color="auto" w:fill="ACB9CA" w:themeFill="text2" w:themeFillTint="66"/>
            <w:vAlign w:val="center"/>
            <w:hideMark/>
          </w:tcPr>
          <w:p w14:paraId="4C6B5BA4" w14:textId="77777777" w:rsidR="00A3260D" w:rsidRPr="001427AF" w:rsidRDefault="00A3260D">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Number of</w:t>
            </w:r>
          </w:p>
          <w:p w14:paraId="4DA78D33" w14:textId="77777777" w:rsidR="00A3260D" w:rsidRPr="001427AF" w:rsidRDefault="00A3260D">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students meeting proficiency</w:t>
            </w:r>
          </w:p>
        </w:tc>
        <w:tc>
          <w:tcPr>
            <w:tcW w:w="1047" w:type="pct"/>
            <w:tcBorders>
              <w:top w:val="single" w:sz="6" w:space="0" w:color="000000" w:themeColor="text1"/>
              <w:left w:val="nil"/>
              <w:bottom w:val="single" w:sz="6" w:space="0" w:color="000000" w:themeColor="text1"/>
              <w:right w:val="single" w:sz="4" w:space="0" w:color="auto"/>
            </w:tcBorders>
            <w:shd w:val="clear" w:color="auto" w:fill="ACB9CA" w:themeFill="text2" w:themeFillTint="66"/>
            <w:vAlign w:val="center"/>
          </w:tcPr>
          <w:p w14:paraId="2FE0C993" w14:textId="77777777" w:rsidR="00A3260D" w:rsidRPr="001427AF" w:rsidRDefault="00A3260D">
            <w:pPr>
              <w:spacing w:line="240" w:lineRule="auto"/>
              <w:ind w:right="90"/>
              <w:contextualSpacing/>
              <w:jc w:val="center"/>
              <w:textAlignment w:val="baseline"/>
              <w:rPr>
                <w:rFonts w:ascii="Arial" w:hAnsi="Arial" w:cs="Arial"/>
                <w:b/>
                <w:bCs/>
                <w:color w:val="auto"/>
                <w:sz w:val="20"/>
              </w:rPr>
            </w:pPr>
            <w:r w:rsidRPr="001427AF">
              <w:rPr>
                <w:rFonts w:ascii="Arial" w:hAnsi="Arial" w:cs="Arial"/>
                <w:b/>
                <w:bCs/>
                <w:color w:val="auto"/>
                <w:sz w:val="20"/>
              </w:rPr>
              <w:t>Difference in actual number of assessments and 95% target</w:t>
            </w:r>
          </w:p>
          <w:p w14:paraId="5DA1E365" w14:textId="77777777" w:rsidR="00A3260D" w:rsidRPr="001427AF" w:rsidRDefault="00A3260D">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w:t>
            </w:r>
            <w:bookmarkStart w:id="523" w:name="_Int_sgiBbYPH"/>
            <w:r w:rsidRPr="001427AF">
              <w:rPr>
                <w:rFonts w:ascii="Arial" w:hAnsi="Arial" w:cs="Arial"/>
                <w:b/>
                <w:bCs/>
                <w:color w:val="auto"/>
                <w:sz w:val="20"/>
              </w:rPr>
              <w:t>Added</w:t>
            </w:r>
            <w:bookmarkEnd w:id="523"/>
            <w:r w:rsidRPr="001427AF">
              <w:rPr>
                <w:rFonts w:ascii="Arial" w:hAnsi="Arial" w:cs="Arial"/>
                <w:b/>
                <w:bCs/>
                <w:color w:val="auto"/>
                <w:sz w:val="20"/>
              </w:rPr>
              <w:t xml:space="preserve"> to denominator)</w:t>
            </w:r>
          </w:p>
        </w:tc>
        <w:tc>
          <w:tcPr>
            <w:tcW w:w="1228"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ACB9CA" w:themeFill="text2" w:themeFillTint="66"/>
            <w:vAlign w:val="center"/>
            <w:hideMark/>
          </w:tcPr>
          <w:p w14:paraId="269D6F1D" w14:textId="77777777" w:rsidR="00A3260D" w:rsidRPr="001427AF" w:rsidRDefault="00A3260D">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Calculation</w:t>
            </w:r>
          </w:p>
          <w:p w14:paraId="00BC61B6" w14:textId="77777777" w:rsidR="00A3260D" w:rsidRPr="001427AF" w:rsidRDefault="00A3260D">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including the</w:t>
            </w:r>
          </w:p>
          <w:p w14:paraId="55FD431B" w14:textId="77777777" w:rsidR="00A3260D" w:rsidRPr="001427AF" w:rsidRDefault="00A3260D">
            <w:pPr>
              <w:spacing w:line="240" w:lineRule="auto"/>
              <w:contextualSpacing/>
              <w:jc w:val="center"/>
              <w:textAlignment w:val="baseline"/>
              <w:rPr>
                <w:rFonts w:ascii="Arial" w:hAnsi="Arial" w:cs="Arial"/>
                <w:b/>
                <w:bCs/>
                <w:color w:val="auto"/>
                <w:sz w:val="20"/>
              </w:rPr>
            </w:pPr>
            <w:proofErr w:type="gramStart"/>
            <w:r w:rsidRPr="001427AF">
              <w:rPr>
                <w:rFonts w:ascii="Arial" w:hAnsi="Arial" w:cs="Arial"/>
                <w:b/>
                <w:bCs/>
                <w:color w:val="auto"/>
                <w:sz w:val="20"/>
              </w:rPr>
              <w:t>participation</w:t>
            </w:r>
            <w:proofErr w:type="gramEnd"/>
          </w:p>
          <w:p w14:paraId="7004414B" w14:textId="77777777" w:rsidR="00A3260D" w:rsidRPr="001427AF" w:rsidRDefault="00A3260D">
            <w:pPr>
              <w:spacing w:line="240" w:lineRule="auto"/>
              <w:contextualSpacing/>
              <w:jc w:val="center"/>
              <w:textAlignment w:val="baseline"/>
              <w:rPr>
                <w:rFonts w:ascii="Arial" w:hAnsi="Arial" w:cs="Arial"/>
                <w:b/>
                <w:bCs/>
                <w:color w:val="auto"/>
                <w:sz w:val="20"/>
              </w:rPr>
            </w:pPr>
            <w:r w:rsidRPr="001427AF">
              <w:rPr>
                <w:rFonts w:ascii="Arial" w:hAnsi="Arial" w:cs="Arial"/>
                <w:b/>
                <w:bCs/>
                <w:color w:val="auto"/>
                <w:sz w:val="20"/>
              </w:rPr>
              <w:t xml:space="preserve">rule </w:t>
            </w:r>
          </w:p>
        </w:tc>
      </w:tr>
      <w:tr w:rsidR="00A3260D" w:rsidRPr="001427AF" w14:paraId="29F5BC67" w14:textId="77777777" w:rsidTr="00937692">
        <w:trPr>
          <w:trHeight w:val="540"/>
        </w:trPr>
        <w:tc>
          <w:tcPr>
            <w:tcW w:w="1042" w:type="pct"/>
            <w:tcBorders>
              <w:top w:val="single" w:sz="4" w:space="0" w:color="auto"/>
              <w:left w:val="single" w:sz="6" w:space="0" w:color="000000" w:themeColor="text1"/>
              <w:bottom w:val="single" w:sz="6" w:space="0" w:color="000000" w:themeColor="text1"/>
              <w:right w:val="single" w:sz="6" w:space="0" w:color="000000" w:themeColor="text1"/>
            </w:tcBorders>
            <w:vAlign w:val="center"/>
            <w:hideMark/>
          </w:tcPr>
          <w:p w14:paraId="1E8E2AB9" w14:textId="77777777" w:rsidR="00A3260D" w:rsidRPr="001427AF" w:rsidRDefault="00A3260D">
            <w:pPr>
              <w:spacing w:line="240" w:lineRule="auto"/>
              <w:ind w:right="120"/>
              <w:contextualSpacing/>
              <w:textAlignment w:val="baseline"/>
              <w:rPr>
                <w:rFonts w:ascii="Arial" w:hAnsi="Arial" w:cs="Arial"/>
                <w:color w:val="auto"/>
                <w:sz w:val="20"/>
              </w:rPr>
            </w:pPr>
            <w:r w:rsidRPr="001427AF">
              <w:rPr>
                <w:rFonts w:ascii="Arial" w:hAnsi="Arial" w:cs="Arial"/>
                <w:color w:val="auto"/>
                <w:sz w:val="20"/>
              </w:rPr>
              <w:t xml:space="preserve"> Long-Term Goals </w:t>
            </w:r>
          </w:p>
        </w:tc>
        <w:tc>
          <w:tcPr>
            <w:tcW w:w="1001" w:type="pct"/>
            <w:tcBorders>
              <w:top w:val="nil"/>
              <w:left w:val="nil"/>
              <w:bottom w:val="single" w:sz="6" w:space="0" w:color="000000" w:themeColor="text1"/>
              <w:right w:val="single" w:sz="6" w:space="0" w:color="000000" w:themeColor="text1"/>
            </w:tcBorders>
            <w:vAlign w:val="center"/>
            <w:hideMark/>
          </w:tcPr>
          <w:p w14:paraId="4F09B0A1" w14:textId="77777777" w:rsidR="00A3260D" w:rsidRPr="001427AF" w:rsidRDefault="00A3260D">
            <w:pPr>
              <w:spacing w:line="240" w:lineRule="auto"/>
              <w:jc w:val="center"/>
              <w:rPr>
                <w:rFonts w:ascii="Arial" w:hAnsi="Arial" w:cs="Arial"/>
                <w:sz w:val="20"/>
              </w:rPr>
            </w:pPr>
            <w:r w:rsidRPr="001427AF">
              <w:rPr>
                <w:rFonts w:ascii="Arial" w:hAnsi="Arial" w:cs="Arial"/>
                <w:sz w:val="20"/>
              </w:rPr>
              <w:t>235</w:t>
            </w:r>
          </w:p>
        </w:tc>
        <w:tc>
          <w:tcPr>
            <w:tcW w:w="682" w:type="pct"/>
            <w:tcBorders>
              <w:top w:val="nil"/>
              <w:left w:val="nil"/>
              <w:bottom w:val="single" w:sz="6" w:space="0" w:color="000000" w:themeColor="text1"/>
              <w:right w:val="single" w:sz="6" w:space="0" w:color="000000" w:themeColor="text1"/>
            </w:tcBorders>
            <w:vAlign w:val="center"/>
            <w:hideMark/>
          </w:tcPr>
          <w:p w14:paraId="41C9FDE2" w14:textId="77777777" w:rsidR="00A3260D" w:rsidRPr="001427AF" w:rsidRDefault="00A3260D">
            <w:pPr>
              <w:spacing w:line="240" w:lineRule="auto"/>
              <w:jc w:val="center"/>
              <w:rPr>
                <w:rFonts w:ascii="Arial" w:hAnsi="Arial" w:cs="Arial"/>
                <w:sz w:val="20"/>
              </w:rPr>
            </w:pPr>
            <w:r w:rsidRPr="001427AF">
              <w:rPr>
                <w:rFonts w:ascii="Arial" w:hAnsi="Arial" w:cs="Arial"/>
                <w:sz w:val="20"/>
              </w:rPr>
              <w:t>123</w:t>
            </w:r>
          </w:p>
          <w:p w14:paraId="7D1DA86E" w14:textId="77777777" w:rsidR="00A3260D" w:rsidRPr="001427AF" w:rsidRDefault="00A3260D">
            <w:pPr>
              <w:spacing w:line="240" w:lineRule="auto"/>
              <w:jc w:val="center"/>
              <w:rPr>
                <w:rFonts w:ascii="Arial" w:hAnsi="Arial" w:cs="Arial"/>
                <w:sz w:val="20"/>
              </w:rPr>
            </w:pPr>
            <w:r w:rsidRPr="001427AF">
              <w:rPr>
                <w:rFonts w:ascii="Arial" w:hAnsi="Arial" w:cs="Arial"/>
                <w:sz w:val="20"/>
              </w:rPr>
              <w:t>(Levels 4 or 5)</w:t>
            </w:r>
          </w:p>
        </w:tc>
        <w:tc>
          <w:tcPr>
            <w:tcW w:w="1047" w:type="pct"/>
            <w:tcBorders>
              <w:top w:val="single" w:sz="6" w:space="0" w:color="000000" w:themeColor="text1"/>
              <w:left w:val="nil"/>
              <w:bottom w:val="single" w:sz="6" w:space="0" w:color="000000" w:themeColor="text1"/>
              <w:right w:val="single" w:sz="4" w:space="0" w:color="auto"/>
            </w:tcBorders>
            <w:vAlign w:val="center"/>
          </w:tcPr>
          <w:p w14:paraId="75D38249" w14:textId="77777777" w:rsidR="00A3260D" w:rsidRPr="001427AF" w:rsidRDefault="00A3260D">
            <w:pPr>
              <w:spacing w:line="240" w:lineRule="auto"/>
              <w:jc w:val="center"/>
              <w:rPr>
                <w:rFonts w:ascii="Arial" w:hAnsi="Arial" w:cs="Arial"/>
                <w:sz w:val="20"/>
              </w:rPr>
            </w:pPr>
            <w:r w:rsidRPr="001427AF">
              <w:rPr>
                <w:rFonts w:ascii="Arial" w:hAnsi="Arial" w:cs="Arial"/>
                <w:color w:val="auto"/>
                <w:sz w:val="20"/>
              </w:rPr>
              <w:t>8</w:t>
            </w:r>
          </w:p>
        </w:tc>
        <w:tc>
          <w:tcPr>
            <w:tcW w:w="1228" w:type="pct"/>
            <w:tcBorders>
              <w:top w:val="nil"/>
              <w:left w:val="single" w:sz="4" w:space="0" w:color="auto"/>
              <w:bottom w:val="single" w:sz="6" w:space="0" w:color="000000" w:themeColor="text1"/>
              <w:right w:val="single" w:sz="6" w:space="0" w:color="000000" w:themeColor="text1"/>
            </w:tcBorders>
            <w:vAlign w:val="center"/>
            <w:hideMark/>
          </w:tcPr>
          <w:p w14:paraId="4E3A3450" w14:textId="77777777" w:rsidR="00A3260D" w:rsidRPr="001427AF" w:rsidRDefault="00A3260D">
            <w:pPr>
              <w:spacing w:line="240" w:lineRule="auto"/>
              <w:jc w:val="center"/>
              <w:rPr>
                <w:rFonts w:ascii="Arial" w:hAnsi="Arial" w:cs="Arial"/>
                <w:sz w:val="20"/>
              </w:rPr>
            </w:pPr>
            <w:r w:rsidRPr="001427AF">
              <w:rPr>
                <w:rFonts w:ascii="Arial" w:hAnsi="Arial" w:cs="Arial"/>
                <w:sz w:val="20"/>
              </w:rPr>
              <w:t>12</w:t>
            </w:r>
            <w:r w:rsidRPr="001427AF" w:rsidDel="00ED2F23">
              <w:rPr>
                <w:rFonts w:ascii="Arial" w:hAnsi="Arial" w:cs="Arial"/>
                <w:sz w:val="20"/>
              </w:rPr>
              <w:t>3</w:t>
            </w:r>
            <w:r w:rsidRPr="001427AF">
              <w:rPr>
                <w:rFonts w:ascii="Arial" w:hAnsi="Arial" w:cs="Arial"/>
                <w:sz w:val="20"/>
              </w:rPr>
              <w:t>/ (235+8) = 50.6%</w:t>
            </w:r>
          </w:p>
        </w:tc>
      </w:tr>
    </w:tbl>
    <w:p w14:paraId="6107C67F" w14:textId="77777777" w:rsidR="006835AC" w:rsidRPr="001427AF" w:rsidRDefault="006835AC" w:rsidP="006835AC">
      <w:pPr>
        <w:spacing w:line="240" w:lineRule="auto"/>
        <w:contextualSpacing/>
        <w:textAlignment w:val="baseline"/>
        <w:rPr>
          <w:rFonts w:ascii="Arial" w:hAnsi="Arial" w:cs="Arial"/>
          <w:color w:val="auto"/>
          <w:szCs w:val="24"/>
        </w:rPr>
      </w:pPr>
    </w:p>
    <w:p w14:paraId="7FF6DC27" w14:textId="77777777" w:rsidR="003A4E45" w:rsidRPr="001427AF" w:rsidRDefault="003A4E45" w:rsidP="003A4E45">
      <w:pPr>
        <w:spacing w:line="240" w:lineRule="auto"/>
        <w:ind w:right="390"/>
        <w:contextualSpacing/>
        <w:textAlignment w:val="baseline"/>
        <w:rPr>
          <w:rFonts w:ascii="Arial" w:hAnsi="Arial" w:cs="Arial"/>
          <w:color w:val="auto"/>
        </w:rPr>
      </w:pPr>
      <w:r w:rsidRPr="001427AF">
        <w:rPr>
          <w:rFonts w:ascii="Arial" w:hAnsi="Arial" w:cs="Arial"/>
          <w:color w:val="auto"/>
        </w:rPr>
        <w:t xml:space="preserve">The denominator for proficiency is the total number of students at grade 10 who have a current year or previously banked English score. In </w:t>
      </w:r>
      <w:r w:rsidRPr="001427AF">
        <w:rPr>
          <w:rFonts w:ascii="Arial" w:hAnsi="Arial" w:cs="Arial"/>
          <w:iCs/>
          <w:color w:val="auto"/>
        </w:rPr>
        <w:t>table</w:t>
      </w:r>
      <w:r w:rsidRPr="001427AF">
        <w:rPr>
          <w:rFonts w:ascii="Arial" w:hAnsi="Arial" w:cs="Arial"/>
          <w:color w:val="auto"/>
        </w:rPr>
        <w:t xml:space="preserve"> 3.1.6</w:t>
      </w:r>
      <w:r w:rsidRPr="001427AF">
        <w:rPr>
          <w:rFonts w:ascii="Arial" w:hAnsi="Arial" w:cs="Arial"/>
          <w:iCs/>
          <w:color w:val="auto"/>
        </w:rPr>
        <w:t>,</w:t>
      </w:r>
      <w:r w:rsidRPr="001427AF">
        <w:rPr>
          <w:rFonts w:ascii="Arial" w:hAnsi="Arial" w:cs="Arial"/>
          <w:color w:val="auto"/>
        </w:rPr>
        <w:t xml:space="preserve"> there are 235 English II current year and previously banked scores for grade 10 students. In this</w:t>
      </w:r>
      <w:r w:rsidRPr="001427AF" w:rsidDel="00A733C3">
        <w:rPr>
          <w:rFonts w:ascii="Arial" w:hAnsi="Arial" w:cs="Arial"/>
          <w:color w:val="auto"/>
        </w:rPr>
        <w:t xml:space="preserve"> </w:t>
      </w:r>
      <w:r w:rsidRPr="001427AF">
        <w:rPr>
          <w:rFonts w:ascii="Arial" w:hAnsi="Arial" w:cs="Arial"/>
          <w:color w:val="auto"/>
        </w:rPr>
        <w:t>example, the school did not meet 95% participation, so the denominator is increased by eight (235+8 = 243).</w:t>
      </w:r>
    </w:p>
    <w:p w14:paraId="3C68B05D" w14:textId="77777777" w:rsidR="003A4E45" w:rsidRPr="001427AF" w:rsidRDefault="003A4E45" w:rsidP="003A4E45">
      <w:pPr>
        <w:spacing w:line="240" w:lineRule="auto"/>
        <w:ind w:right="390"/>
        <w:contextualSpacing/>
        <w:textAlignment w:val="baseline"/>
        <w:rPr>
          <w:rFonts w:ascii="Arial" w:hAnsi="Arial" w:cs="Arial"/>
          <w:color w:val="auto"/>
          <w:szCs w:val="24"/>
        </w:rPr>
      </w:pPr>
    </w:p>
    <w:p w14:paraId="1742C4B7" w14:textId="77777777" w:rsidR="003A4E45" w:rsidRPr="001427AF" w:rsidRDefault="003A4E45" w:rsidP="003A4E45">
      <w:pPr>
        <w:spacing w:line="240" w:lineRule="auto"/>
        <w:rPr>
          <w:rFonts w:ascii="Arial" w:hAnsi="Arial" w:cs="Arial"/>
        </w:rPr>
      </w:pPr>
      <w:r w:rsidRPr="001427AF">
        <w:rPr>
          <w:rFonts w:ascii="Arial" w:hAnsi="Arial" w:cs="Arial"/>
        </w:rPr>
        <w:lastRenderedPageBreak/>
        <w:t>In the numerator, of the 235 current year and previously banked English II scores, 123 were college and career ready.</w:t>
      </w:r>
      <w:r w:rsidRPr="001427AF" w:rsidDel="00221BC3">
        <w:rPr>
          <w:rFonts w:ascii="Arial" w:hAnsi="Arial" w:cs="Arial"/>
        </w:rPr>
        <w:t xml:space="preserve"> </w:t>
      </w:r>
      <w:r w:rsidRPr="001427AF">
        <w:rPr>
          <w:rFonts w:ascii="Arial" w:hAnsi="Arial" w:cs="Arial"/>
        </w:rPr>
        <w:t>Without the participation rule applied, the proficiency rate would have been 52.3% (123/235 = 52.3%). Once the participation consequences were applied and the denominator was increased by</w:t>
      </w:r>
      <w:r w:rsidRPr="001427AF" w:rsidDel="00404CDD">
        <w:rPr>
          <w:rFonts w:ascii="Arial" w:hAnsi="Arial" w:cs="Arial"/>
        </w:rPr>
        <w:t xml:space="preserve"> </w:t>
      </w:r>
      <w:r w:rsidRPr="001427AF" w:rsidDel="00442C2A">
        <w:rPr>
          <w:rFonts w:ascii="Arial" w:hAnsi="Arial" w:cs="Arial"/>
        </w:rPr>
        <w:t>eight</w:t>
      </w:r>
      <w:r w:rsidRPr="001427AF">
        <w:rPr>
          <w:rFonts w:ascii="Arial" w:hAnsi="Arial" w:cs="Arial"/>
        </w:rPr>
        <w:t>, the proficiency rate dropped to 50.6% (123/243 = 50.6%).</w:t>
      </w:r>
    </w:p>
    <w:p w14:paraId="75B7BC37" w14:textId="77777777" w:rsidR="006835AC" w:rsidRPr="001427AF" w:rsidRDefault="006835AC" w:rsidP="006835AC">
      <w:pPr>
        <w:spacing w:line="240" w:lineRule="auto"/>
        <w:ind w:left="720"/>
        <w:contextualSpacing/>
        <w:textAlignment w:val="baseline"/>
        <w:rPr>
          <w:rFonts w:ascii="Arial" w:hAnsi="Arial" w:cs="Arial"/>
          <w:color w:val="auto"/>
          <w:sz w:val="20"/>
        </w:rPr>
      </w:pPr>
    </w:p>
    <w:p w14:paraId="24BC89E3" w14:textId="6F60BC2A" w:rsidR="006835AC" w:rsidRPr="001427AF" w:rsidRDefault="006835AC" w:rsidP="001514C3">
      <w:pPr>
        <w:pStyle w:val="Heading2"/>
      </w:pPr>
      <w:bookmarkStart w:id="524" w:name="_Toc100132549"/>
      <w:bookmarkStart w:id="525" w:name="_Toc100132753"/>
      <w:bookmarkStart w:id="526" w:name="_Toc100136554"/>
      <w:bookmarkStart w:id="527" w:name="_Toc114211799"/>
      <w:bookmarkStart w:id="528" w:name="_Toc135812524"/>
      <w:bookmarkStart w:id="529" w:name="_Toc136418905"/>
      <w:bookmarkStart w:id="530" w:name="_Toc136419161"/>
      <w:bookmarkStart w:id="531" w:name="_Toc225404975"/>
      <w:r w:rsidRPr="001427AF">
        <w:t>Participation Rule for Reading and Mathematics</w:t>
      </w:r>
      <w:bookmarkEnd w:id="524"/>
      <w:bookmarkEnd w:id="525"/>
      <w:bookmarkEnd w:id="526"/>
      <w:bookmarkEnd w:id="527"/>
      <w:bookmarkEnd w:id="528"/>
      <w:bookmarkEnd w:id="529"/>
      <w:bookmarkEnd w:id="530"/>
      <w:bookmarkEnd w:id="531"/>
      <w:r w:rsidRPr="001427AF">
        <w:t xml:space="preserve"> </w:t>
      </w:r>
    </w:p>
    <w:p w14:paraId="70027F56" w14:textId="59E79FAE" w:rsidR="006835AC" w:rsidRPr="001427AF" w:rsidRDefault="006835AC" w:rsidP="006835AC">
      <w:pPr>
        <w:spacing w:line="240" w:lineRule="auto"/>
        <w:contextualSpacing/>
        <w:rPr>
          <w:rFonts w:ascii="Arial" w:hAnsi="Arial" w:cs="Arial"/>
          <w:color w:val="auto"/>
          <w:szCs w:val="24"/>
        </w:rPr>
      </w:pPr>
      <w:r w:rsidRPr="001427AF">
        <w:rPr>
          <w:rFonts w:ascii="Arial" w:hAnsi="Arial" w:cs="Arial"/>
          <w:color w:val="auto"/>
          <w:szCs w:val="24"/>
        </w:rPr>
        <w:t>Participation targets are evaluated at the grade level</w:t>
      </w:r>
      <w:r w:rsidR="00442C2A" w:rsidRPr="001427AF">
        <w:rPr>
          <w:rFonts w:ascii="Arial" w:hAnsi="Arial" w:cs="Arial"/>
          <w:color w:val="auto"/>
          <w:szCs w:val="24"/>
        </w:rPr>
        <w:t xml:space="preserve"> or </w:t>
      </w:r>
      <w:r w:rsidRPr="001427AF">
        <w:rPr>
          <w:rFonts w:ascii="Arial" w:hAnsi="Arial" w:cs="Arial"/>
          <w:color w:val="auto"/>
          <w:szCs w:val="24"/>
        </w:rPr>
        <w:t>grade span and by subjects (</w:t>
      </w:r>
      <w:r w:rsidR="00404CDD" w:rsidRPr="001427AF">
        <w:rPr>
          <w:rFonts w:ascii="Arial" w:hAnsi="Arial" w:cs="Arial"/>
          <w:color w:val="auto"/>
          <w:szCs w:val="24"/>
        </w:rPr>
        <w:t xml:space="preserve">i.e., </w:t>
      </w:r>
      <w:r w:rsidRPr="001427AF">
        <w:rPr>
          <w:rFonts w:ascii="Arial" w:hAnsi="Arial" w:cs="Arial"/>
          <w:color w:val="auto"/>
          <w:szCs w:val="24"/>
        </w:rPr>
        <w:t>reading and mathematics) to determine if the number of assessments at that grade level</w:t>
      </w:r>
      <w:r w:rsidR="00404CDD" w:rsidRPr="001427AF">
        <w:rPr>
          <w:rFonts w:ascii="Arial" w:hAnsi="Arial" w:cs="Arial"/>
          <w:color w:val="auto"/>
          <w:szCs w:val="24"/>
        </w:rPr>
        <w:t xml:space="preserve"> or </w:t>
      </w:r>
      <w:r w:rsidRPr="001427AF">
        <w:rPr>
          <w:rFonts w:ascii="Arial" w:hAnsi="Arial" w:cs="Arial"/>
          <w:color w:val="auto"/>
          <w:szCs w:val="24"/>
        </w:rPr>
        <w:t xml:space="preserve">grade span </w:t>
      </w:r>
      <w:r w:rsidR="0058606A" w:rsidRPr="001427AF">
        <w:rPr>
          <w:rFonts w:ascii="Arial" w:hAnsi="Arial" w:cs="Arial"/>
          <w:color w:val="auto"/>
          <w:szCs w:val="24"/>
        </w:rPr>
        <w:t xml:space="preserve">is </w:t>
      </w:r>
      <w:r w:rsidRPr="001427AF">
        <w:rPr>
          <w:rFonts w:ascii="Arial" w:hAnsi="Arial" w:cs="Arial"/>
          <w:color w:val="auto"/>
          <w:szCs w:val="24"/>
        </w:rPr>
        <w:t xml:space="preserve">greater than or less than 95% of expected assessments for the </w:t>
      </w:r>
      <w:bookmarkStart w:id="532" w:name="_Int_M4qHrQRv"/>
      <w:proofErr w:type="gramStart"/>
      <w:r w:rsidRPr="001427AF">
        <w:rPr>
          <w:rFonts w:ascii="Arial" w:hAnsi="Arial" w:cs="Arial"/>
          <w:color w:val="auto"/>
          <w:szCs w:val="24"/>
        </w:rPr>
        <w:t>All Students</w:t>
      </w:r>
      <w:bookmarkEnd w:id="532"/>
      <w:proofErr w:type="gramEnd"/>
      <w:r w:rsidRPr="001427AF">
        <w:rPr>
          <w:rFonts w:ascii="Arial" w:hAnsi="Arial" w:cs="Arial"/>
          <w:color w:val="auto"/>
          <w:szCs w:val="24"/>
        </w:rPr>
        <w:t xml:space="preserve"> group and each subgroup. </w:t>
      </w:r>
    </w:p>
    <w:p w14:paraId="2ADBF716" w14:textId="77777777" w:rsidR="006835AC" w:rsidRPr="001427AF" w:rsidRDefault="006835AC" w:rsidP="00CA5853">
      <w:pPr>
        <w:numPr>
          <w:ilvl w:val="0"/>
          <w:numId w:val="25"/>
        </w:numPr>
        <w:spacing w:line="240" w:lineRule="auto"/>
        <w:ind w:left="360"/>
        <w:contextualSpacing/>
        <w:rPr>
          <w:rFonts w:ascii="Arial" w:hAnsi="Arial" w:cs="Arial"/>
          <w:color w:val="auto"/>
          <w:szCs w:val="24"/>
        </w:rPr>
      </w:pPr>
      <w:r w:rsidRPr="001427AF">
        <w:rPr>
          <w:rFonts w:ascii="Arial" w:hAnsi="Arial" w:cs="Arial"/>
          <w:color w:val="auto"/>
          <w:szCs w:val="24"/>
        </w:rPr>
        <w:t xml:space="preserve">If the percentage of assessments is greater than 95% of expected assessments, the denominator is the actual number of assessments administered. </w:t>
      </w:r>
    </w:p>
    <w:p w14:paraId="53A2CFBF" w14:textId="0C80B0D6" w:rsidR="006835AC" w:rsidRPr="001427AF" w:rsidRDefault="006835AC" w:rsidP="00CA5853">
      <w:pPr>
        <w:numPr>
          <w:ilvl w:val="0"/>
          <w:numId w:val="25"/>
        </w:numPr>
        <w:spacing w:line="240" w:lineRule="auto"/>
        <w:ind w:left="360"/>
        <w:contextualSpacing/>
        <w:rPr>
          <w:rFonts w:ascii="Arial" w:hAnsi="Arial" w:cs="Arial"/>
          <w:color w:val="auto"/>
          <w:szCs w:val="24"/>
        </w:rPr>
      </w:pPr>
      <w:r w:rsidRPr="001427AF">
        <w:rPr>
          <w:rFonts w:ascii="Arial" w:hAnsi="Arial" w:cs="Arial"/>
          <w:color w:val="auto"/>
          <w:szCs w:val="24"/>
        </w:rPr>
        <w:t xml:space="preserve">If the number of assessments is less than 95% of expected assessments, the difference between the number of assessments and 95% of expected assessments </w:t>
      </w:r>
      <w:r w:rsidR="001C5E28">
        <w:rPr>
          <w:rFonts w:ascii="Arial" w:hAnsi="Arial" w:cs="Arial"/>
          <w:color w:val="auto"/>
          <w:szCs w:val="24"/>
        </w:rPr>
        <w:t>is</w:t>
      </w:r>
      <w:r w:rsidRPr="001427AF">
        <w:rPr>
          <w:rFonts w:ascii="Arial" w:hAnsi="Arial" w:cs="Arial"/>
          <w:color w:val="auto"/>
          <w:szCs w:val="24"/>
        </w:rPr>
        <w:t xml:space="preserve"> added to the denominator for school performance grade proficiency calculations and </w:t>
      </w:r>
      <w:r w:rsidRPr="001427AF" w:rsidDel="000E0A6A">
        <w:rPr>
          <w:rFonts w:ascii="Arial" w:hAnsi="Arial" w:cs="Arial"/>
          <w:color w:val="auto"/>
          <w:szCs w:val="24"/>
        </w:rPr>
        <w:t>long</w:t>
      </w:r>
      <w:r w:rsidRPr="001427AF">
        <w:rPr>
          <w:rFonts w:ascii="Arial" w:hAnsi="Arial" w:cs="Arial"/>
          <w:color w:val="auto"/>
          <w:szCs w:val="24"/>
        </w:rPr>
        <w:t xml:space="preserve">-term goal calculations. </w:t>
      </w:r>
    </w:p>
    <w:p w14:paraId="2808BA8A" w14:textId="77777777" w:rsidR="006835AC" w:rsidRPr="001427AF" w:rsidRDefault="006835AC" w:rsidP="006835AC">
      <w:pPr>
        <w:spacing w:line="240" w:lineRule="auto"/>
        <w:contextualSpacing/>
        <w:rPr>
          <w:rFonts w:ascii="Arial" w:hAnsi="Arial" w:cs="Arial"/>
          <w:color w:val="auto"/>
          <w:szCs w:val="24"/>
        </w:rPr>
      </w:pPr>
    </w:p>
    <w:p w14:paraId="71E9060A" w14:textId="400CB30C" w:rsidR="006835AC" w:rsidRDefault="006835AC" w:rsidP="006835AC">
      <w:pPr>
        <w:spacing w:line="240" w:lineRule="auto"/>
        <w:contextualSpacing/>
        <w:rPr>
          <w:rFonts w:ascii="Arial" w:hAnsi="Arial" w:cs="Arial"/>
          <w:color w:val="auto"/>
          <w:szCs w:val="24"/>
        </w:rPr>
      </w:pPr>
      <w:r w:rsidRPr="001427AF">
        <w:rPr>
          <w:rFonts w:ascii="Arial" w:hAnsi="Arial" w:cs="Arial"/>
          <w:color w:val="auto"/>
          <w:szCs w:val="24"/>
        </w:rPr>
        <w:t>Schools</w:t>
      </w:r>
      <w:r w:rsidRPr="001427AF" w:rsidDel="001C5E28">
        <w:rPr>
          <w:rFonts w:ascii="Arial" w:hAnsi="Arial" w:cs="Arial"/>
          <w:color w:val="auto"/>
          <w:szCs w:val="24"/>
        </w:rPr>
        <w:t xml:space="preserve"> </w:t>
      </w:r>
      <w:r w:rsidRPr="001427AF">
        <w:rPr>
          <w:rFonts w:ascii="Arial" w:hAnsi="Arial" w:cs="Arial"/>
          <w:color w:val="auto"/>
          <w:szCs w:val="24"/>
        </w:rPr>
        <w:t xml:space="preserve">have a 95% participation expectation for any student group that meets a minimum of thirty students. This rule is applied only to the group for which participation was missed. For example, if the Hispanic subgroup missed participation, values are not added to the </w:t>
      </w:r>
      <w:proofErr w:type="gramStart"/>
      <w:r w:rsidRPr="001427AF">
        <w:rPr>
          <w:rFonts w:ascii="Arial" w:hAnsi="Arial" w:cs="Arial"/>
          <w:color w:val="auto"/>
          <w:szCs w:val="24"/>
        </w:rPr>
        <w:t>All Students</w:t>
      </w:r>
      <w:proofErr w:type="gramEnd"/>
      <w:r w:rsidRPr="001427AF">
        <w:rPr>
          <w:rFonts w:ascii="Arial" w:hAnsi="Arial" w:cs="Arial"/>
          <w:color w:val="auto"/>
          <w:szCs w:val="24"/>
        </w:rPr>
        <w:t xml:space="preserve"> group if it was above 95% participation. </w:t>
      </w:r>
      <w:bookmarkStart w:id="533" w:name="_Int_8YinpnUu"/>
      <w:r w:rsidRPr="001427AF">
        <w:rPr>
          <w:rFonts w:ascii="Arial" w:hAnsi="Arial" w:cs="Arial"/>
          <w:color w:val="auto"/>
          <w:szCs w:val="24"/>
        </w:rPr>
        <w:t>Special cases</w:t>
      </w:r>
      <w:bookmarkEnd w:id="533"/>
      <w:r w:rsidRPr="001427AF">
        <w:rPr>
          <w:rFonts w:ascii="Arial" w:hAnsi="Arial" w:cs="Arial"/>
          <w:color w:val="auto"/>
          <w:szCs w:val="24"/>
        </w:rPr>
        <w:t xml:space="preserve"> where students are included or excluded in participation rates are found in </w:t>
      </w:r>
      <w:r w:rsidR="008B206D" w:rsidRPr="001427AF">
        <w:rPr>
          <w:rFonts w:ascii="Arial" w:hAnsi="Arial" w:cs="Arial"/>
          <w:color w:val="auto"/>
          <w:szCs w:val="24"/>
        </w:rPr>
        <w:t>t</w:t>
      </w:r>
      <w:r w:rsidRPr="001427AF">
        <w:rPr>
          <w:rFonts w:ascii="Arial" w:hAnsi="Arial" w:cs="Arial"/>
          <w:color w:val="auto"/>
          <w:szCs w:val="24"/>
        </w:rPr>
        <w:t xml:space="preserve">able 3.8. </w:t>
      </w:r>
    </w:p>
    <w:p w14:paraId="545CA4DE" w14:textId="77777777" w:rsidR="007A53F4" w:rsidRPr="001427AF" w:rsidRDefault="007A53F4" w:rsidP="006835AC">
      <w:pPr>
        <w:spacing w:line="240" w:lineRule="auto"/>
        <w:contextualSpacing/>
        <w:rPr>
          <w:rFonts w:ascii="Arial" w:hAnsi="Arial" w:cs="Arial"/>
          <w:color w:val="auto"/>
          <w:szCs w:val="24"/>
        </w:rPr>
      </w:pPr>
    </w:p>
    <w:p w14:paraId="06A3BF77" w14:textId="19A665BF" w:rsidR="006835AC" w:rsidRPr="001427AF" w:rsidRDefault="006835AC" w:rsidP="001514C3">
      <w:pPr>
        <w:pStyle w:val="Heading2"/>
      </w:pPr>
      <w:bookmarkStart w:id="534" w:name="_Toc100132550"/>
      <w:bookmarkStart w:id="535" w:name="_Toc100132754"/>
      <w:bookmarkStart w:id="536" w:name="_Toc100136555"/>
      <w:bookmarkStart w:id="537" w:name="_Toc114211800"/>
      <w:bookmarkStart w:id="538" w:name="_Toc135812525"/>
      <w:bookmarkStart w:id="539" w:name="_Toc136418906"/>
      <w:bookmarkStart w:id="540" w:name="_Toc136419162"/>
      <w:bookmarkStart w:id="541" w:name="_Toc225404976"/>
      <w:r w:rsidRPr="001427AF">
        <w:t xml:space="preserve">Participation </w:t>
      </w:r>
      <w:bookmarkStart w:id="542" w:name="_Int_EARhXpkv"/>
      <w:r w:rsidRPr="001427AF">
        <w:t>for</w:t>
      </w:r>
      <w:bookmarkEnd w:id="542"/>
      <w:r w:rsidRPr="001427AF">
        <w:t xml:space="preserve"> Other Indicators</w:t>
      </w:r>
      <w:bookmarkEnd w:id="534"/>
      <w:bookmarkEnd w:id="535"/>
      <w:bookmarkEnd w:id="536"/>
      <w:bookmarkEnd w:id="537"/>
      <w:bookmarkEnd w:id="538"/>
      <w:bookmarkEnd w:id="539"/>
      <w:bookmarkEnd w:id="540"/>
      <w:bookmarkEnd w:id="541"/>
    </w:p>
    <w:p w14:paraId="52F4EF87" w14:textId="5ABBDB0F" w:rsidR="006835AC" w:rsidRPr="001427AF" w:rsidRDefault="00404CDD" w:rsidP="006835AC">
      <w:pPr>
        <w:spacing w:line="240" w:lineRule="auto"/>
        <w:contextualSpacing/>
        <w:rPr>
          <w:rFonts w:ascii="Arial" w:hAnsi="Arial" w:cs="Arial"/>
          <w:color w:val="auto"/>
          <w:szCs w:val="24"/>
        </w:rPr>
      </w:pPr>
      <w:r w:rsidRPr="001427AF">
        <w:rPr>
          <w:rFonts w:ascii="Arial" w:hAnsi="Arial" w:cs="Arial"/>
          <w:color w:val="auto"/>
          <w:szCs w:val="24"/>
        </w:rPr>
        <w:t xml:space="preserve">Participation rates </w:t>
      </w:r>
      <w:r w:rsidR="001C5E28">
        <w:rPr>
          <w:rFonts w:ascii="Arial" w:hAnsi="Arial" w:cs="Arial"/>
          <w:color w:val="auto"/>
          <w:szCs w:val="24"/>
        </w:rPr>
        <w:t>are</w:t>
      </w:r>
      <w:r w:rsidRPr="001427AF">
        <w:rPr>
          <w:rFonts w:ascii="Arial" w:hAnsi="Arial" w:cs="Arial"/>
          <w:color w:val="auto"/>
          <w:szCs w:val="24"/>
        </w:rPr>
        <w:t xml:space="preserve"> reported f</w:t>
      </w:r>
      <w:r w:rsidR="006835AC" w:rsidRPr="001427AF">
        <w:rPr>
          <w:rFonts w:ascii="Arial" w:hAnsi="Arial" w:cs="Arial"/>
          <w:color w:val="auto"/>
          <w:szCs w:val="24"/>
        </w:rPr>
        <w:t xml:space="preserve">or EOG </w:t>
      </w:r>
      <w:r w:rsidRPr="001427AF">
        <w:rPr>
          <w:rFonts w:ascii="Arial" w:hAnsi="Arial" w:cs="Arial"/>
          <w:color w:val="auto"/>
          <w:szCs w:val="24"/>
        </w:rPr>
        <w:t>s</w:t>
      </w:r>
      <w:r w:rsidR="006835AC" w:rsidRPr="001427AF">
        <w:rPr>
          <w:rFonts w:ascii="Arial" w:hAnsi="Arial" w:cs="Arial"/>
          <w:color w:val="auto"/>
          <w:szCs w:val="24"/>
        </w:rPr>
        <w:t xml:space="preserve">cience, EOC </w:t>
      </w:r>
      <w:r w:rsidRPr="001427AF">
        <w:rPr>
          <w:rFonts w:ascii="Arial" w:hAnsi="Arial" w:cs="Arial"/>
          <w:color w:val="auto"/>
          <w:szCs w:val="24"/>
        </w:rPr>
        <w:t>b</w:t>
      </w:r>
      <w:r w:rsidR="006835AC" w:rsidRPr="001427AF">
        <w:rPr>
          <w:rFonts w:ascii="Arial" w:hAnsi="Arial" w:cs="Arial"/>
          <w:color w:val="auto"/>
          <w:szCs w:val="24"/>
        </w:rPr>
        <w:t>iology, The ACT, and WorkKeys</w:t>
      </w:r>
      <w:r w:rsidRPr="001427AF">
        <w:rPr>
          <w:rFonts w:ascii="Arial" w:hAnsi="Arial" w:cs="Arial"/>
          <w:color w:val="auto"/>
          <w:szCs w:val="24"/>
        </w:rPr>
        <w:t>.</w:t>
      </w:r>
      <w:r w:rsidR="006835AC" w:rsidRPr="001427AF">
        <w:rPr>
          <w:rFonts w:ascii="Arial" w:hAnsi="Arial" w:cs="Arial"/>
          <w:color w:val="auto"/>
          <w:szCs w:val="24"/>
        </w:rPr>
        <w:t xml:space="preserve"> Schools not meeting the 95% participation requirement must </w:t>
      </w:r>
      <w:proofErr w:type="gramStart"/>
      <w:r w:rsidR="006835AC" w:rsidRPr="001427AF">
        <w:rPr>
          <w:rFonts w:ascii="Arial" w:hAnsi="Arial" w:cs="Arial"/>
          <w:color w:val="auto"/>
          <w:szCs w:val="24"/>
        </w:rPr>
        <w:t>submit</w:t>
      </w:r>
      <w:proofErr w:type="gramEnd"/>
      <w:r w:rsidR="006835AC" w:rsidRPr="001427AF">
        <w:rPr>
          <w:rFonts w:ascii="Arial" w:hAnsi="Arial" w:cs="Arial"/>
          <w:color w:val="auto"/>
          <w:szCs w:val="24"/>
        </w:rPr>
        <w:t xml:space="preserve"> to the </w:t>
      </w:r>
      <w:r w:rsidRPr="001427AF">
        <w:rPr>
          <w:rFonts w:ascii="Arial" w:hAnsi="Arial" w:cs="Arial"/>
          <w:color w:val="auto"/>
          <w:szCs w:val="24"/>
        </w:rPr>
        <w:t>Office of Accountability and Testing</w:t>
      </w:r>
      <w:r w:rsidR="006835AC" w:rsidRPr="001427AF">
        <w:rPr>
          <w:rFonts w:ascii="Arial" w:hAnsi="Arial" w:cs="Arial"/>
          <w:color w:val="auto"/>
          <w:szCs w:val="24"/>
        </w:rPr>
        <w:t xml:space="preserve">: </w:t>
      </w:r>
    </w:p>
    <w:p w14:paraId="1995E9D5" w14:textId="34758501" w:rsidR="006835AC" w:rsidRPr="001427AF" w:rsidRDefault="006835AC" w:rsidP="00CA5853">
      <w:pPr>
        <w:pStyle w:val="ListParagraph"/>
        <w:numPr>
          <w:ilvl w:val="0"/>
          <w:numId w:val="148"/>
        </w:numPr>
        <w:spacing w:line="240" w:lineRule="auto"/>
        <w:rPr>
          <w:rFonts w:ascii="Arial" w:hAnsi="Arial" w:cs="Arial"/>
          <w:color w:val="auto"/>
          <w:szCs w:val="24"/>
        </w:rPr>
      </w:pPr>
      <w:r w:rsidRPr="001427AF">
        <w:rPr>
          <w:rFonts w:ascii="Arial" w:hAnsi="Arial" w:cs="Arial"/>
          <w:color w:val="auto"/>
          <w:szCs w:val="24"/>
        </w:rPr>
        <w:t>a justification for not meeting participation</w:t>
      </w:r>
      <w:r w:rsidR="00025F2E" w:rsidRPr="001427AF">
        <w:rPr>
          <w:rFonts w:ascii="Arial" w:hAnsi="Arial" w:cs="Arial"/>
          <w:color w:val="auto"/>
          <w:szCs w:val="24"/>
        </w:rPr>
        <w:t>,</w:t>
      </w:r>
      <w:r w:rsidR="00404CDD" w:rsidRPr="001427AF">
        <w:rPr>
          <w:rFonts w:ascii="Arial" w:hAnsi="Arial" w:cs="Arial"/>
          <w:color w:val="auto"/>
          <w:szCs w:val="24"/>
        </w:rPr>
        <w:t xml:space="preserve"> and</w:t>
      </w:r>
    </w:p>
    <w:p w14:paraId="2738576A" w14:textId="35BE7CDD" w:rsidR="006835AC" w:rsidRPr="001427AF" w:rsidRDefault="006835AC" w:rsidP="00CA5853">
      <w:pPr>
        <w:pStyle w:val="ListParagraph"/>
        <w:numPr>
          <w:ilvl w:val="0"/>
          <w:numId w:val="148"/>
        </w:numPr>
        <w:spacing w:line="240" w:lineRule="auto"/>
        <w:rPr>
          <w:rFonts w:ascii="Arial" w:hAnsi="Arial" w:cs="Arial"/>
          <w:color w:val="auto"/>
          <w:szCs w:val="24"/>
        </w:rPr>
      </w:pPr>
      <w:r w:rsidRPr="001427AF">
        <w:rPr>
          <w:rFonts w:ascii="Arial" w:hAnsi="Arial" w:cs="Arial"/>
          <w:color w:val="auto"/>
          <w:szCs w:val="24"/>
        </w:rPr>
        <w:t>a plan of action to ensure at least 95% of students participate in the subsequent school year.</w:t>
      </w:r>
    </w:p>
    <w:p w14:paraId="09C982CD" w14:textId="77777777" w:rsidR="006835AC" w:rsidRPr="001427AF" w:rsidDel="00404CDD" w:rsidRDefault="006835AC" w:rsidP="006835AC">
      <w:pPr>
        <w:spacing w:line="240" w:lineRule="auto"/>
        <w:contextualSpacing/>
        <w:rPr>
          <w:rFonts w:ascii="Arial" w:hAnsi="Arial" w:cs="Arial"/>
          <w:color w:val="auto"/>
          <w:szCs w:val="24"/>
        </w:rPr>
      </w:pPr>
    </w:p>
    <w:p w14:paraId="0049784A" w14:textId="49113E79" w:rsidR="006835AC" w:rsidRPr="001427AF" w:rsidRDefault="006835AC" w:rsidP="006835AC">
      <w:pPr>
        <w:spacing w:line="240" w:lineRule="auto"/>
        <w:contextualSpacing/>
        <w:rPr>
          <w:rFonts w:ascii="Arial" w:hAnsi="Arial" w:cs="Arial"/>
          <w:color w:val="auto"/>
          <w:szCs w:val="24"/>
        </w:rPr>
      </w:pPr>
      <w:r w:rsidRPr="001427AF">
        <w:rPr>
          <w:rFonts w:ascii="Arial" w:hAnsi="Arial" w:cs="Arial"/>
          <w:color w:val="auto"/>
          <w:szCs w:val="24"/>
        </w:rPr>
        <w:t>Participation will be based on the following group of students for each of the assessments listed below</w:t>
      </w:r>
      <w:r w:rsidR="000E6E43">
        <w:rPr>
          <w:rFonts w:ascii="Arial" w:hAnsi="Arial" w:cs="Arial"/>
          <w:color w:val="auto"/>
          <w:szCs w:val="24"/>
        </w:rPr>
        <w:t xml:space="preserve">. As stated above, </w:t>
      </w:r>
      <w:r w:rsidR="00134DFC">
        <w:rPr>
          <w:rFonts w:ascii="Arial" w:hAnsi="Arial" w:cs="Arial"/>
        </w:rPr>
        <w:t>t</w:t>
      </w:r>
      <w:r w:rsidR="00134DFC" w:rsidRPr="001427AF">
        <w:rPr>
          <w:rFonts w:ascii="Arial" w:hAnsi="Arial" w:cs="Arial"/>
        </w:rPr>
        <w:t xml:space="preserve">he minimum number of students required to report participation rates for the </w:t>
      </w:r>
      <w:proofErr w:type="gramStart"/>
      <w:r w:rsidR="00134DFC" w:rsidRPr="001427AF">
        <w:rPr>
          <w:rFonts w:ascii="Arial" w:hAnsi="Arial" w:cs="Arial"/>
        </w:rPr>
        <w:t>All Students</w:t>
      </w:r>
      <w:proofErr w:type="gramEnd"/>
      <w:r w:rsidR="00134DFC" w:rsidRPr="001427AF">
        <w:rPr>
          <w:rFonts w:ascii="Arial" w:hAnsi="Arial" w:cs="Arial"/>
        </w:rPr>
        <w:t xml:space="preserve"> group and each subgroup is thirty.</w:t>
      </w:r>
    </w:p>
    <w:p w14:paraId="55B4F29A" w14:textId="7CD0572F" w:rsidR="00960727" w:rsidRPr="001427AF" w:rsidRDefault="00960727" w:rsidP="00CA5853">
      <w:pPr>
        <w:numPr>
          <w:ilvl w:val="0"/>
          <w:numId w:val="11"/>
        </w:numPr>
        <w:spacing w:line="240" w:lineRule="auto"/>
        <w:contextualSpacing/>
        <w:rPr>
          <w:rFonts w:ascii="Arial" w:hAnsi="Arial" w:cs="Arial"/>
          <w:color w:val="auto"/>
          <w:szCs w:val="24"/>
        </w:rPr>
      </w:pPr>
      <w:bookmarkStart w:id="543" w:name="_Int_m1Hfx1Ln"/>
      <w:r w:rsidRPr="001427AF">
        <w:rPr>
          <w:rFonts w:ascii="Arial" w:hAnsi="Arial" w:cs="Arial"/>
          <w:i/>
          <w:color w:val="auto"/>
          <w:szCs w:val="24"/>
        </w:rPr>
        <w:t xml:space="preserve">EOG science </w:t>
      </w:r>
      <w:r w:rsidR="00FD49F8" w:rsidRPr="001427AF">
        <w:rPr>
          <w:rFonts w:ascii="Arial" w:hAnsi="Arial" w:cs="Arial"/>
          <w:i/>
          <w:color w:val="auto"/>
          <w:szCs w:val="24"/>
        </w:rPr>
        <w:t>in</w:t>
      </w:r>
      <w:r w:rsidRPr="001427AF">
        <w:rPr>
          <w:rFonts w:ascii="Arial" w:hAnsi="Arial" w:cs="Arial"/>
          <w:i/>
          <w:color w:val="auto"/>
          <w:szCs w:val="24"/>
        </w:rPr>
        <w:t xml:space="preserve"> grades 5 and 8</w:t>
      </w:r>
      <w:r w:rsidRPr="001427AF">
        <w:rPr>
          <w:rFonts w:ascii="Arial" w:hAnsi="Arial" w:cs="Arial"/>
          <w:color w:val="auto"/>
          <w:szCs w:val="24"/>
        </w:rPr>
        <w:t xml:space="preserve">. Membership at the relevant grade level(s) in the school’s first day of spring data collection. </w:t>
      </w:r>
    </w:p>
    <w:p w14:paraId="19CBECB1" w14:textId="5382667F" w:rsidR="00960727" w:rsidRPr="001427AF" w:rsidRDefault="00960727" w:rsidP="00CA5853">
      <w:pPr>
        <w:numPr>
          <w:ilvl w:val="0"/>
          <w:numId w:val="11"/>
        </w:numPr>
        <w:spacing w:line="240" w:lineRule="auto"/>
        <w:contextualSpacing/>
        <w:rPr>
          <w:rFonts w:ascii="Arial" w:hAnsi="Arial" w:cs="Arial"/>
          <w:color w:val="auto"/>
          <w:szCs w:val="24"/>
        </w:rPr>
      </w:pPr>
      <w:r w:rsidRPr="001427AF">
        <w:rPr>
          <w:rFonts w:ascii="Arial" w:hAnsi="Arial" w:cs="Arial"/>
          <w:i/>
          <w:iCs/>
          <w:color w:val="auto"/>
          <w:szCs w:val="24"/>
        </w:rPr>
        <w:t>EOC biology.</w:t>
      </w:r>
      <w:r w:rsidRPr="001427AF">
        <w:rPr>
          <w:rFonts w:ascii="Arial" w:hAnsi="Arial" w:cs="Arial"/>
          <w:color w:val="auto"/>
          <w:szCs w:val="24"/>
        </w:rPr>
        <w:t xml:space="preserve"> Membership at grade 11 in the school’s first day of </w:t>
      </w:r>
      <w:r w:rsidR="00621692" w:rsidRPr="001427AF">
        <w:rPr>
          <w:rFonts w:ascii="Arial" w:hAnsi="Arial" w:cs="Arial"/>
          <w:color w:val="auto"/>
          <w:szCs w:val="24"/>
        </w:rPr>
        <w:t>fall</w:t>
      </w:r>
      <w:r w:rsidRPr="001427AF">
        <w:rPr>
          <w:rFonts w:ascii="Arial" w:hAnsi="Arial" w:cs="Arial"/>
          <w:color w:val="auto"/>
          <w:szCs w:val="24"/>
        </w:rPr>
        <w:t xml:space="preserve"> or the first day of spring data collection.</w:t>
      </w:r>
    </w:p>
    <w:p w14:paraId="3F44079C" w14:textId="491C9C05" w:rsidR="00960727" w:rsidRPr="001427AF" w:rsidRDefault="00960727" w:rsidP="00CA5853">
      <w:pPr>
        <w:numPr>
          <w:ilvl w:val="0"/>
          <w:numId w:val="11"/>
        </w:numPr>
        <w:spacing w:line="240" w:lineRule="auto"/>
        <w:contextualSpacing/>
        <w:rPr>
          <w:rFonts w:ascii="Arial" w:hAnsi="Arial" w:cs="Arial"/>
          <w:color w:val="auto"/>
          <w:szCs w:val="24"/>
        </w:rPr>
      </w:pPr>
      <w:r w:rsidRPr="001427AF">
        <w:rPr>
          <w:rFonts w:ascii="Arial" w:hAnsi="Arial" w:cs="Arial"/>
          <w:i/>
          <w:color w:val="auto"/>
          <w:szCs w:val="24"/>
        </w:rPr>
        <w:t>The ACT</w:t>
      </w:r>
      <w:r w:rsidRPr="001427AF">
        <w:rPr>
          <w:rFonts w:ascii="Arial" w:hAnsi="Arial" w:cs="Arial"/>
          <w:color w:val="auto"/>
          <w:szCs w:val="24"/>
        </w:rPr>
        <w:t>. Membership at grade 11 in the school’s March data collection</w:t>
      </w:r>
      <w:r w:rsidR="00535A5F">
        <w:rPr>
          <w:rFonts w:ascii="Arial" w:hAnsi="Arial" w:cs="Arial"/>
          <w:color w:val="auto"/>
          <w:szCs w:val="24"/>
        </w:rPr>
        <w:t>.</w:t>
      </w:r>
      <w:r w:rsidRPr="001427AF">
        <w:rPr>
          <w:rFonts w:ascii="Arial" w:hAnsi="Arial" w:cs="Arial"/>
          <w:color w:val="auto"/>
          <w:szCs w:val="24"/>
        </w:rPr>
        <w:t xml:space="preserve"> </w:t>
      </w:r>
    </w:p>
    <w:p w14:paraId="2FE4C630" w14:textId="6A239F19" w:rsidR="00960727" w:rsidRPr="001427AF" w:rsidRDefault="00960727" w:rsidP="00CA5853">
      <w:pPr>
        <w:numPr>
          <w:ilvl w:val="0"/>
          <w:numId w:val="11"/>
        </w:numPr>
        <w:spacing w:line="240" w:lineRule="auto"/>
        <w:contextualSpacing/>
        <w:rPr>
          <w:rFonts w:ascii="Arial" w:hAnsi="Arial" w:cs="Arial"/>
          <w:color w:val="auto"/>
          <w:szCs w:val="24"/>
        </w:rPr>
      </w:pPr>
      <w:r w:rsidRPr="001427AF">
        <w:rPr>
          <w:rFonts w:ascii="Arial" w:hAnsi="Arial" w:cs="Arial"/>
          <w:i/>
          <w:color w:val="auto"/>
          <w:szCs w:val="24"/>
        </w:rPr>
        <w:t>WorkKeys</w:t>
      </w:r>
      <w:r w:rsidRPr="001427AF">
        <w:rPr>
          <w:rFonts w:ascii="Arial" w:hAnsi="Arial" w:cs="Arial"/>
          <w:color w:val="auto"/>
          <w:szCs w:val="24"/>
        </w:rPr>
        <w:t>.</w:t>
      </w:r>
      <w:r w:rsidRPr="001427AF" w:rsidDel="00EC1D31">
        <w:rPr>
          <w:rFonts w:ascii="Arial" w:hAnsi="Arial" w:cs="Arial"/>
          <w:color w:val="auto"/>
          <w:szCs w:val="24"/>
        </w:rPr>
        <w:t xml:space="preserve"> </w:t>
      </w:r>
      <w:r w:rsidRPr="001427AF">
        <w:rPr>
          <w:rFonts w:ascii="Arial" w:hAnsi="Arial" w:cs="Arial"/>
          <w:color w:val="auto"/>
          <w:szCs w:val="24"/>
        </w:rPr>
        <w:t xml:space="preserve">CTE concentrators in membership at grade 12 in the school’s first day of spring data collection, or if a student was a mid-year graduate and in membership at grade 12 </w:t>
      </w:r>
      <w:r w:rsidR="00FD49F8" w:rsidRPr="001427AF">
        <w:rPr>
          <w:rFonts w:ascii="Arial" w:hAnsi="Arial" w:cs="Arial"/>
          <w:color w:val="auto"/>
          <w:szCs w:val="24"/>
        </w:rPr>
        <w:t>on</w:t>
      </w:r>
      <w:r w:rsidRPr="001427AF">
        <w:rPr>
          <w:rFonts w:ascii="Arial" w:hAnsi="Arial" w:cs="Arial"/>
          <w:color w:val="auto"/>
          <w:szCs w:val="24"/>
        </w:rPr>
        <w:t xml:space="preserve"> the first day of fall data collection. (Incomplete tests are considered as participants, but the earned score is invalid and </w:t>
      </w:r>
      <w:r w:rsidR="000F4A7A">
        <w:rPr>
          <w:rFonts w:ascii="Arial" w:hAnsi="Arial" w:cs="Arial"/>
          <w:color w:val="auto"/>
          <w:szCs w:val="24"/>
        </w:rPr>
        <w:t>does</w:t>
      </w:r>
      <w:r w:rsidR="00C84083">
        <w:rPr>
          <w:rFonts w:ascii="Arial" w:hAnsi="Arial" w:cs="Arial"/>
          <w:color w:val="auto"/>
          <w:szCs w:val="24"/>
        </w:rPr>
        <w:t xml:space="preserve"> </w:t>
      </w:r>
      <w:r w:rsidRPr="001427AF">
        <w:rPr>
          <w:rFonts w:ascii="Arial" w:hAnsi="Arial" w:cs="Arial"/>
          <w:color w:val="auto"/>
          <w:szCs w:val="24"/>
        </w:rPr>
        <w:t>not count in proficiency calculations</w:t>
      </w:r>
      <w:r w:rsidR="00604A87">
        <w:rPr>
          <w:rFonts w:ascii="Arial" w:hAnsi="Arial" w:cs="Arial"/>
          <w:color w:val="auto"/>
          <w:szCs w:val="24"/>
        </w:rPr>
        <w:t>)</w:t>
      </w:r>
      <w:r w:rsidRPr="001427AF">
        <w:rPr>
          <w:rFonts w:ascii="Arial" w:hAnsi="Arial" w:cs="Arial"/>
          <w:color w:val="auto"/>
          <w:szCs w:val="24"/>
        </w:rPr>
        <w:t>.</w:t>
      </w:r>
    </w:p>
    <w:p w14:paraId="63BEBFCE" w14:textId="77777777" w:rsidR="00960727" w:rsidRPr="001427AF" w:rsidRDefault="00960727" w:rsidP="006835AC">
      <w:pPr>
        <w:spacing w:line="240" w:lineRule="auto"/>
        <w:contextualSpacing/>
        <w:rPr>
          <w:rFonts w:ascii="Arial" w:hAnsi="Arial" w:cs="Arial"/>
          <w:color w:val="auto"/>
          <w:szCs w:val="24"/>
        </w:rPr>
      </w:pPr>
    </w:p>
    <w:p w14:paraId="6C0A135B" w14:textId="2075D6D0" w:rsidR="006835AC" w:rsidRPr="001427AF" w:rsidRDefault="006835AC" w:rsidP="006835AC">
      <w:pPr>
        <w:spacing w:line="240" w:lineRule="auto"/>
        <w:contextualSpacing/>
        <w:rPr>
          <w:rFonts w:ascii="Arial" w:hAnsi="Arial" w:cs="Arial"/>
          <w:color w:val="auto"/>
          <w:szCs w:val="24"/>
        </w:rPr>
      </w:pPr>
      <w:r w:rsidRPr="001427AF">
        <w:rPr>
          <w:rFonts w:ascii="Arial" w:hAnsi="Arial" w:cs="Arial"/>
          <w:color w:val="auto"/>
          <w:szCs w:val="24"/>
        </w:rPr>
        <w:lastRenderedPageBreak/>
        <w:t>Special cases</w:t>
      </w:r>
      <w:bookmarkEnd w:id="543"/>
      <w:r w:rsidRPr="001427AF">
        <w:rPr>
          <w:rFonts w:ascii="Arial" w:hAnsi="Arial" w:cs="Arial"/>
          <w:color w:val="auto"/>
          <w:szCs w:val="24"/>
        </w:rPr>
        <w:t xml:space="preserve"> where students are included or excluded in participation rates are found in </w:t>
      </w:r>
      <w:r w:rsidR="00EA2BB2" w:rsidRPr="001427AF">
        <w:rPr>
          <w:rFonts w:ascii="Arial" w:hAnsi="Arial" w:cs="Arial"/>
          <w:color w:val="auto"/>
          <w:szCs w:val="24"/>
        </w:rPr>
        <w:t>t</w:t>
      </w:r>
      <w:r w:rsidRPr="001427AF">
        <w:rPr>
          <w:rFonts w:ascii="Arial" w:hAnsi="Arial" w:cs="Arial"/>
          <w:color w:val="auto"/>
          <w:szCs w:val="24"/>
        </w:rPr>
        <w:t>able 3.8.</w:t>
      </w:r>
    </w:p>
    <w:p w14:paraId="0DEE8439" w14:textId="77777777" w:rsidR="00B725E2" w:rsidRPr="00E711C3" w:rsidRDefault="00B725E2" w:rsidP="001514C3">
      <w:pPr>
        <w:pStyle w:val="Heading2"/>
      </w:pPr>
      <w:bookmarkStart w:id="544" w:name="_Toc100132551"/>
      <w:bookmarkStart w:id="545" w:name="_Toc100132755"/>
      <w:bookmarkStart w:id="546" w:name="_Toc100136556"/>
      <w:bookmarkStart w:id="547" w:name="_Toc111714537"/>
      <w:bookmarkStart w:id="548" w:name="_Toc114211801"/>
      <w:bookmarkStart w:id="549" w:name="_Toc135812526"/>
      <w:bookmarkStart w:id="550" w:name="_Toc136418907"/>
      <w:bookmarkStart w:id="551" w:name="_Toc136419163"/>
      <w:bookmarkStart w:id="552" w:name="_Toc164434985"/>
      <w:bookmarkStart w:id="553" w:name="_Toc225404977"/>
      <w:r w:rsidRPr="00E711C3">
        <w:t>The ACT Assessment (Grade 11 Participation)</w:t>
      </w:r>
      <w:bookmarkEnd w:id="544"/>
      <w:bookmarkEnd w:id="545"/>
      <w:bookmarkEnd w:id="546"/>
      <w:bookmarkEnd w:id="547"/>
      <w:bookmarkEnd w:id="548"/>
      <w:bookmarkEnd w:id="549"/>
      <w:bookmarkEnd w:id="550"/>
      <w:bookmarkEnd w:id="551"/>
      <w:bookmarkEnd w:id="552"/>
      <w:bookmarkEnd w:id="553"/>
    </w:p>
    <w:p w14:paraId="59E05FFF" w14:textId="77777777" w:rsidR="00EA1B66" w:rsidRPr="001427AF" w:rsidRDefault="00EA1B66" w:rsidP="00CA5853">
      <w:pPr>
        <w:numPr>
          <w:ilvl w:val="0"/>
          <w:numId w:val="29"/>
        </w:num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The denominator is based on students enrolled in grade 11 in the March data collection. </w:t>
      </w:r>
    </w:p>
    <w:p w14:paraId="6DB49368" w14:textId="71D55A24" w:rsidR="006835AC" w:rsidRPr="001427AF" w:rsidRDefault="006835AC" w:rsidP="00CA5853">
      <w:pPr>
        <w:numPr>
          <w:ilvl w:val="0"/>
          <w:numId w:val="5"/>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Students whose assessments are declared </w:t>
      </w:r>
      <w:proofErr w:type="gramStart"/>
      <w:r w:rsidRPr="001427AF">
        <w:rPr>
          <w:rFonts w:ascii="Arial" w:hAnsi="Arial" w:cs="Arial"/>
          <w:szCs w:val="24"/>
        </w:rPr>
        <w:t>a misadministration</w:t>
      </w:r>
      <w:proofErr w:type="gramEnd"/>
      <w:r w:rsidRPr="001427AF">
        <w:rPr>
          <w:rFonts w:ascii="Arial" w:hAnsi="Arial" w:cs="Arial"/>
          <w:szCs w:val="24"/>
        </w:rPr>
        <w:t xml:space="preserve"> or are vacated by ACT are included in the denominator. </w:t>
      </w:r>
    </w:p>
    <w:p w14:paraId="043B6C8C" w14:textId="77777777" w:rsidR="00217C78" w:rsidRPr="001427AF" w:rsidRDefault="00217C78" w:rsidP="00CA5853">
      <w:pPr>
        <w:numPr>
          <w:ilvl w:val="0"/>
          <w:numId w:val="5"/>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Students who are repeating grade 11, who have a previous score on The ACT assessment (therefore are not eligible to test) do not count against participation and are removed from both the numerator and the denominator.</w:t>
      </w:r>
    </w:p>
    <w:p w14:paraId="76BFF306" w14:textId="77777777" w:rsidR="00217C78" w:rsidRPr="001427AF" w:rsidRDefault="00217C78" w:rsidP="00CA5853">
      <w:pPr>
        <w:numPr>
          <w:ilvl w:val="0"/>
          <w:numId w:val="5"/>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Students who take the NCEXTEND1 alternate assessment at grade 11 are included in the denominator. </w:t>
      </w:r>
    </w:p>
    <w:p w14:paraId="61DBC53E" w14:textId="77777777" w:rsidR="006835AC" w:rsidRPr="001427AF" w:rsidRDefault="006835AC" w:rsidP="00CA5853">
      <w:pPr>
        <w:numPr>
          <w:ilvl w:val="0"/>
          <w:numId w:val="5"/>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Students who meet the eligibility requirements and take the CCRAA are included in the denominator. </w:t>
      </w:r>
    </w:p>
    <w:p w14:paraId="472ABDE7" w14:textId="111A03DE" w:rsidR="006835AC" w:rsidRPr="001427AF" w:rsidRDefault="006835AC" w:rsidP="00CA5853">
      <w:pPr>
        <w:numPr>
          <w:ilvl w:val="0"/>
          <w:numId w:val="5"/>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Students with a medical exception </w:t>
      </w:r>
      <w:r w:rsidR="007324C7" w:rsidRPr="001427AF">
        <w:rPr>
          <w:rFonts w:ascii="Arial" w:hAnsi="Arial" w:cs="Arial"/>
          <w:szCs w:val="24"/>
        </w:rPr>
        <w:t xml:space="preserve">approved by the Office of Accountability and Testing </w:t>
      </w:r>
      <w:r w:rsidRPr="001427AF">
        <w:rPr>
          <w:rFonts w:ascii="Arial" w:hAnsi="Arial" w:cs="Arial"/>
          <w:szCs w:val="24"/>
        </w:rPr>
        <w:t xml:space="preserve">do not count in the denominator. </w:t>
      </w:r>
    </w:p>
    <w:p w14:paraId="4DC433B7" w14:textId="00CB96D6" w:rsidR="006835AC" w:rsidRPr="001427AF" w:rsidRDefault="006835AC" w:rsidP="00CA5853">
      <w:pPr>
        <w:numPr>
          <w:ilvl w:val="0"/>
          <w:numId w:val="5"/>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Students who have an </w:t>
      </w:r>
      <w:proofErr w:type="gramStart"/>
      <w:r w:rsidRPr="001427AF">
        <w:rPr>
          <w:rFonts w:ascii="Arial" w:hAnsi="Arial" w:cs="Arial"/>
          <w:szCs w:val="24"/>
        </w:rPr>
        <w:t>approved exception</w:t>
      </w:r>
      <w:proofErr w:type="gramEnd"/>
      <w:r w:rsidRPr="001427AF">
        <w:rPr>
          <w:rFonts w:ascii="Arial" w:hAnsi="Arial" w:cs="Arial"/>
          <w:szCs w:val="24"/>
        </w:rPr>
        <w:t xml:space="preserve"> request </w:t>
      </w:r>
      <w:r w:rsidR="008C4B5F" w:rsidRPr="001427AF">
        <w:rPr>
          <w:rFonts w:ascii="Arial" w:hAnsi="Arial" w:cs="Arial"/>
          <w:szCs w:val="24"/>
        </w:rPr>
        <w:t xml:space="preserve">for The ACT </w:t>
      </w:r>
      <w:r w:rsidRPr="001427AF">
        <w:rPr>
          <w:rFonts w:ascii="Arial" w:hAnsi="Arial" w:cs="Arial"/>
          <w:szCs w:val="24"/>
        </w:rPr>
        <w:t>(as noted in section 2.</w:t>
      </w:r>
      <w:r w:rsidR="00133334">
        <w:rPr>
          <w:rFonts w:ascii="Arial" w:hAnsi="Arial" w:cs="Arial"/>
          <w:szCs w:val="24"/>
        </w:rPr>
        <w:t>9</w:t>
      </w:r>
      <w:r w:rsidRPr="001427AF">
        <w:rPr>
          <w:rFonts w:ascii="Arial" w:hAnsi="Arial" w:cs="Arial"/>
          <w:szCs w:val="24"/>
        </w:rPr>
        <w:t>.1</w:t>
      </w:r>
      <w:r w:rsidR="007324C7" w:rsidRPr="001427AF">
        <w:rPr>
          <w:rFonts w:ascii="Arial" w:hAnsi="Arial" w:cs="Arial"/>
          <w:szCs w:val="24"/>
        </w:rPr>
        <w:t xml:space="preserve"> of this guide</w:t>
      </w:r>
      <w:r w:rsidRPr="001427AF">
        <w:rPr>
          <w:rFonts w:ascii="Arial" w:hAnsi="Arial" w:cs="Arial"/>
          <w:szCs w:val="24"/>
        </w:rPr>
        <w:t xml:space="preserve">) submitted by the </w:t>
      </w:r>
      <w:bookmarkStart w:id="554" w:name="_Int_zl1flFmk"/>
      <w:proofErr w:type="gramStart"/>
      <w:r w:rsidRPr="001427AF">
        <w:rPr>
          <w:rFonts w:ascii="Arial" w:hAnsi="Arial" w:cs="Arial"/>
          <w:szCs w:val="24"/>
        </w:rPr>
        <w:t>public school</w:t>
      </w:r>
      <w:bookmarkEnd w:id="554"/>
      <w:proofErr w:type="gramEnd"/>
      <w:r w:rsidRPr="001427AF">
        <w:rPr>
          <w:rFonts w:ascii="Arial" w:hAnsi="Arial" w:cs="Arial"/>
          <w:szCs w:val="24"/>
        </w:rPr>
        <w:t xml:space="preserve"> unit</w:t>
      </w:r>
      <w:r w:rsidR="007324C7" w:rsidRPr="001427AF">
        <w:rPr>
          <w:rFonts w:ascii="Arial" w:hAnsi="Arial" w:cs="Arial"/>
          <w:szCs w:val="24"/>
        </w:rPr>
        <w:t>’</w:t>
      </w:r>
      <w:r w:rsidRPr="001427AF">
        <w:rPr>
          <w:rFonts w:ascii="Arial" w:hAnsi="Arial" w:cs="Arial"/>
          <w:szCs w:val="24"/>
        </w:rPr>
        <w:t xml:space="preserve">s test coordinator are included in the denominator. </w:t>
      </w:r>
    </w:p>
    <w:p w14:paraId="7B00C36D" w14:textId="77777777" w:rsidR="006835AC" w:rsidRPr="001427AF" w:rsidRDefault="006835AC" w:rsidP="006835AC">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 </w:t>
      </w:r>
    </w:p>
    <w:p w14:paraId="67562588" w14:textId="6AD4BA02" w:rsidR="006835AC" w:rsidRPr="001427AF" w:rsidRDefault="006835AC" w:rsidP="00CA5853">
      <w:pPr>
        <w:numPr>
          <w:ilvl w:val="0"/>
          <w:numId w:val="29"/>
        </w:num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The numerator includes students who took </w:t>
      </w:r>
      <w:bookmarkStart w:id="555" w:name="_Int_t3zsfLu8"/>
      <w:proofErr w:type="gramStart"/>
      <w:r w:rsidRPr="001427AF">
        <w:rPr>
          <w:rFonts w:ascii="Arial" w:hAnsi="Arial" w:cs="Arial"/>
          <w:szCs w:val="24"/>
        </w:rPr>
        <w:t>The</w:t>
      </w:r>
      <w:bookmarkEnd w:id="555"/>
      <w:proofErr w:type="gramEnd"/>
      <w:r w:rsidRPr="001427AF">
        <w:rPr>
          <w:rFonts w:ascii="Arial" w:hAnsi="Arial" w:cs="Arial"/>
          <w:szCs w:val="24"/>
        </w:rPr>
        <w:t xml:space="preserve"> ACT, one of the alternate assessments for </w:t>
      </w:r>
      <w:proofErr w:type="gramStart"/>
      <w:r w:rsidRPr="001427AF">
        <w:rPr>
          <w:rFonts w:ascii="Arial" w:hAnsi="Arial" w:cs="Arial"/>
          <w:szCs w:val="24"/>
        </w:rPr>
        <w:t>The</w:t>
      </w:r>
      <w:proofErr w:type="gramEnd"/>
      <w:r w:rsidRPr="001427AF">
        <w:rPr>
          <w:rFonts w:ascii="Arial" w:hAnsi="Arial" w:cs="Arial"/>
          <w:szCs w:val="24"/>
        </w:rPr>
        <w:t xml:space="preserve"> ACT, or have an approved exception request</w:t>
      </w:r>
      <w:r w:rsidR="00EC6E91" w:rsidRPr="001427AF">
        <w:rPr>
          <w:rFonts w:ascii="Arial" w:hAnsi="Arial" w:cs="Arial"/>
          <w:szCs w:val="24"/>
        </w:rPr>
        <w:t xml:space="preserve"> for </w:t>
      </w:r>
      <w:proofErr w:type="gramStart"/>
      <w:r w:rsidR="00EC6E91" w:rsidRPr="001427AF">
        <w:rPr>
          <w:rFonts w:ascii="Arial" w:hAnsi="Arial" w:cs="Arial"/>
          <w:szCs w:val="24"/>
        </w:rPr>
        <w:t>The</w:t>
      </w:r>
      <w:proofErr w:type="gramEnd"/>
      <w:r w:rsidR="00EC6E91" w:rsidRPr="001427AF">
        <w:rPr>
          <w:rFonts w:ascii="Arial" w:hAnsi="Arial" w:cs="Arial"/>
          <w:szCs w:val="24"/>
        </w:rPr>
        <w:t xml:space="preserve"> ACT</w:t>
      </w:r>
      <w:r w:rsidRPr="001427AF">
        <w:rPr>
          <w:rFonts w:ascii="Arial" w:hAnsi="Arial" w:cs="Arial"/>
          <w:szCs w:val="24"/>
        </w:rPr>
        <w:t>.</w:t>
      </w:r>
    </w:p>
    <w:p w14:paraId="6EEAB2D6" w14:textId="6DF5B3DD" w:rsidR="006835AC" w:rsidRPr="001427AF" w:rsidRDefault="006835AC" w:rsidP="00CA5853">
      <w:pPr>
        <w:numPr>
          <w:ilvl w:val="0"/>
          <w:numId w:val="6"/>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Students who have an approved exception request </w:t>
      </w:r>
      <w:r w:rsidR="00EC6E91" w:rsidRPr="001427AF">
        <w:rPr>
          <w:rFonts w:ascii="Arial" w:hAnsi="Arial" w:cs="Arial"/>
          <w:szCs w:val="24"/>
        </w:rPr>
        <w:t xml:space="preserve">for The ACT </w:t>
      </w:r>
      <w:r w:rsidRPr="001427AF">
        <w:rPr>
          <w:rFonts w:ascii="Arial" w:hAnsi="Arial" w:cs="Arial"/>
          <w:szCs w:val="24"/>
        </w:rPr>
        <w:t>(as noted in section 2.</w:t>
      </w:r>
      <w:r w:rsidR="00133334">
        <w:rPr>
          <w:rFonts w:ascii="Arial" w:hAnsi="Arial" w:cs="Arial"/>
          <w:szCs w:val="24"/>
        </w:rPr>
        <w:t>9</w:t>
      </w:r>
      <w:r w:rsidRPr="001427AF">
        <w:rPr>
          <w:rFonts w:ascii="Arial" w:hAnsi="Arial" w:cs="Arial"/>
          <w:szCs w:val="24"/>
        </w:rPr>
        <w:t>.1</w:t>
      </w:r>
      <w:r w:rsidR="00FC14B2" w:rsidRPr="001427AF">
        <w:rPr>
          <w:rFonts w:ascii="Arial" w:hAnsi="Arial" w:cs="Arial"/>
          <w:szCs w:val="24"/>
        </w:rPr>
        <w:t xml:space="preserve"> of this guide</w:t>
      </w:r>
      <w:r w:rsidRPr="001427AF">
        <w:rPr>
          <w:rFonts w:ascii="Arial" w:hAnsi="Arial" w:cs="Arial"/>
          <w:szCs w:val="24"/>
        </w:rPr>
        <w:t xml:space="preserve">) submitted by the </w:t>
      </w:r>
      <w:bookmarkStart w:id="556" w:name="_Int_1L4OEwef"/>
      <w:proofErr w:type="gramStart"/>
      <w:r w:rsidRPr="001427AF">
        <w:rPr>
          <w:rFonts w:ascii="Arial" w:hAnsi="Arial" w:cs="Arial"/>
          <w:szCs w:val="24"/>
        </w:rPr>
        <w:t>public school</w:t>
      </w:r>
      <w:bookmarkEnd w:id="556"/>
      <w:proofErr w:type="gramEnd"/>
      <w:r w:rsidRPr="001427AF">
        <w:rPr>
          <w:rFonts w:ascii="Arial" w:hAnsi="Arial" w:cs="Arial"/>
          <w:szCs w:val="24"/>
        </w:rPr>
        <w:t xml:space="preserve"> unit</w:t>
      </w:r>
      <w:r w:rsidR="00FC14B2" w:rsidRPr="001427AF">
        <w:rPr>
          <w:rFonts w:ascii="Arial" w:hAnsi="Arial" w:cs="Arial"/>
          <w:szCs w:val="24"/>
        </w:rPr>
        <w:t>’</w:t>
      </w:r>
      <w:r w:rsidRPr="001427AF">
        <w:rPr>
          <w:rFonts w:ascii="Arial" w:hAnsi="Arial" w:cs="Arial"/>
          <w:szCs w:val="24"/>
        </w:rPr>
        <w:t xml:space="preserve">s test coordinator are included in the performance measure as meeting the UNC System’s minimum composite score of </w:t>
      </w:r>
      <w:r w:rsidR="00C332C7" w:rsidRPr="001427AF">
        <w:rPr>
          <w:rFonts w:ascii="Arial" w:hAnsi="Arial" w:cs="Arial"/>
          <w:szCs w:val="24"/>
        </w:rPr>
        <w:t>seventeen</w:t>
      </w:r>
      <w:r w:rsidRPr="001427AF">
        <w:rPr>
          <w:rFonts w:ascii="Arial" w:hAnsi="Arial" w:cs="Arial"/>
          <w:szCs w:val="24"/>
        </w:rPr>
        <w:t xml:space="preserve">. </w:t>
      </w:r>
    </w:p>
    <w:p w14:paraId="3CDBB32E" w14:textId="77777777" w:rsidR="006835AC" w:rsidRPr="001427AF" w:rsidDel="005D42FD" w:rsidRDefault="006835AC" w:rsidP="006835AC">
      <w:pPr>
        <w:autoSpaceDE w:val="0"/>
        <w:autoSpaceDN w:val="0"/>
        <w:adjustRightInd w:val="0"/>
        <w:spacing w:line="240" w:lineRule="auto"/>
        <w:ind w:left="1080"/>
        <w:contextualSpacing/>
        <w:rPr>
          <w:rFonts w:ascii="Arial" w:hAnsi="Arial" w:cs="Arial"/>
          <w:szCs w:val="24"/>
        </w:rPr>
      </w:pPr>
      <w:bookmarkStart w:id="557" w:name="_Toc102997755"/>
      <w:bookmarkStart w:id="558" w:name="_Toc102997861"/>
      <w:bookmarkStart w:id="559" w:name="_Toc102997967"/>
      <w:bookmarkStart w:id="560" w:name="_Toc106102886"/>
      <w:bookmarkStart w:id="561" w:name="_Toc106102991"/>
      <w:bookmarkEnd w:id="557"/>
      <w:bookmarkEnd w:id="558"/>
      <w:bookmarkEnd w:id="559"/>
      <w:bookmarkEnd w:id="560"/>
      <w:bookmarkEnd w:id="561"/>
    </w:p>
    <w:p w14:paraId="5375B3DE" w14:textId="44F20D91" w:rsidR="006835AC" w:rsidRPr="001427AF" w:rsidRDefault="006835AC" w:rsidP="001514C3">
      <w:pPr>
        <w:pStyle w:val="Heading2"/>
      </w:pPr>
      <w:bookmarkStart w:id="562" w:name="_Toc100132552"/>
      <w:bookmarkStart w:id="563" w:name="_Toc100132756"/>
      <w:bookmarkStart w:id="564" w:name="_Toc100136557"/>
      <w:bookmarkStart w:id="565" w:name="_Toc114211802"/>
      <w:bookmarkStart w:id="566" w:name="_Toc135812527"/>
      <w:bookmarkStart w:id="567" w:name="_Toc136418908"/>
      <w:bookmarkStart w:id="568" w:name="_Toc136419164"/>
      <w:bookmarkStart w:id="569" w:name="_Toc225404978"/>
      <w:r w:rsidRPr="001427AF">
        <w:t>North Carolina College-and-Career Readiness Alternate Assessment</w:t>
      </w:r>
      <w:bookmarkEnd w:id="562"/>
      <w:bookmarkEnd w:id="563"/>
      <w:bookmarkEnd w:id="564"/>
      <w:bookmarkEnd w:id="565"/>
      <w:bookmarkEnd w:id="566"/>
      <w:bookmarkEnd w:id="567"/>
      <w:bookmarkEnd w:id="568"/>
      <w:bookmarkEnd w:id="569"/>
      <w:r w:rsidRPr="001427AF">
        <w:t xml:space="preserve"> </w:t>
      </w:r>
    </w:p>
    <w:p w14:paraId="6582226A" w14:textId="50BFDA42" w:rsidR="006835AC" w:rsidRPr="001427AF" w:rsidRDefault="006835AC" w:rsidP="006835AC">
      <w:pPr>
        <w:tabs>
          <w:tab w:val="left" w:pos="180"/>
        </w:tabs>
        <w:spacing w:line="240" w:lineRule="auto"/>
        <w:contextualSpacing/>
        <w:rPr>
          <w:rFonts w:ascii="Arial" w:hAnsi="Arial" w:cs="Arial"/>
          <w:color w:val="auto"/>
          <w:szCs w:val="24"/>
        </w:rPr>
      </w:pPr>
      <w:r w:rsidRPr="001427AF">
        <w:rPr>
          <w:rFonts w:ascii="Arial" w:hAnsi="Arial" w:cs="Arial"/>
          <w:szCs w:val="24"/>
        </w:rPr>
        <w:t xml:space="preserve">The North Carolina CCRAA was designed in response to House Bill 587 passed by the North Carolina General Assembly during the 2013 Session. House Bill 587 requires the administration of an alternate assessment to the </w:t>
      </w:r>
      <w:proofErr w:type="spellStart"/>
      <w:r w:rsidRPr="001427AF" w:rsidDel="004948CE">
        <w:rPr>
          <w:rFonts w:ascii="Arial" w:hAnsi="Arial" w:cs="Arial"/>
          <w:szCs w:val="24"/>
        </w:rPr>
        <w:t>PreACT</w:t>
      </w:r>
      <w:proofErr w:type="spellEnd"/>
      <w:r w:rsidRPr="001427AF">
        <w:rPr>
          <w:rFonts w:ascii="Arial" w:hAnsi="Arial" w:cs="Arial"/>
          <w:szCs w:val="24"/>
        </w:rPr>
        <w:t xml:space="preserve"> and The ACT for students who exhibit severe and pervasive delays in all areas of conceptual, linguistic, and academic development as well as in adaptive behaviors, including communication, daily living skills, and selfcare, and who are following a course of study that, upon completion of high school, may not lead to admission into a college-level course of study resulting in </w:t>
      </w:r>
      <w:r w:rsidRPr="001427AF">
        <w:rPr>
          <w:rFonts w:ascii="Arial" w:hAnsi="Arial" w:cs="Arial"/>
          <w:color w:val="auto"/>
          <w:szCs w:val="24"/>
        </w:rPr>
        <w:t xml:space="preserve">a college degree. </w:t>
      </w:r>
    </w:p>
    <w:p w14:paraId="4C6F2362" w14:textId="77777777" w:rsidR="006835AC" w:rsidRPr="001427AF" w:rsidRDefault="006835AC" w:rsidP="006835AC">
      <w:pPr>
        <w:tabs>
          <w:tab w:val="left" w:pos="180"/>
        </w:tabs>
        <w:spacing w:line="240" w:lineRule="auto"/>
        <w:contextualSpacing/>
        <w:rPr>
          <w:rFonts w:ascii="Arial" w:hAnsi="Arial" w:cs="Arial"/>
          <w:color w:val="auto"/>
          <w:szCs w:val="24"/>
        </w:rPr>
      </w:pPr>
    </w:p>
    <w:p w14:paraId="4B8B052C" w14:textId="77777777" w:rsidR="00BE4FAE" w:rsidRPr="001427AF" w:rsidRDefault="00BE4FAE" w:rsidP="00BE4FAE">
      <w:pPr>
        <w:tabs>
          <w:tab w:val="left" w:pos="180"/>
        </w:tabs>
        <w:spacing w:line="240" w:lineRule="auto"/>
        <w:contextualSpacing/>
        <w:rPr>
          <w:rFonts w:ascii="Arial" w:hAnsi="Arial" w:cs="Arial"/>
          <w:szCs w:val="24"/>
        </w:rPr>
      </w:pPr>
      <w:r w:rsidRPr="001427AF">
        <w:rPr>
          <w:rFonts w:ascii="Arial" w:hAnsi="Arial" w:cs="Arial"/>
          <w:color w:val="000000" w:themeColor="text1"/>
          <w:szCs w:val="24"/>
        </w:rPr>
        <w:t xml:space="preserve">The CCRAA at grade 10 is the alternate assessment to the </w:t>
      </w:r>
      <w:proofErr w:type="spellStart"/>
      <w:r w:rsidRPr="001427AF" w:rsidDel="004948CE">
        <w:rPr>
          <w:rFonts w:ascii="Arial" w:hAnsi="Arial" w:cs="Arial"/>
          <w:color w:val="000000" w:themeColor="text1"/>
          <w:szCs w:val="24"/>
        </w:rPr>
        <w:t>PreACT</w:t>
      </w:r>
      <w:proofErr w:type="spellEnd"/>
      <w:r w:rsidRPr="001427AF">
        <w:rPr>
          <w:rFonts w:ascii="Arial" w:hAnsi="Arial" w:cs="Arial"/>
          <w:color w:val="000000" w:themeColor="text1"/>
          <w:szCs w:val="24"/>
        </w:rPr>
        <w:t xml:space="preserve"> and is taken at grade 10. The CCRAA at grade 11 is the alternate assessment to The ACT and is taken at grade 11. </w:t>
      </w:r>
    </w:p>
    <w:p w14:paraId="023C25EE" w14:textId="77777777" w:rsidR="00BE4FAE" w:rsidRPr="001427AF" w:rsidRDefault="00BE4FAE" w:rsidP="00BE4FAE">
      <w:pPr>
        <w:tabs>
          <w:tab w:val="left" w:pos="180"/>
        </w:tabs>
        <w:spacing w:line="240" w:lineRule="auto"/>
        <w:contextualSpacing/>
        <w:rPr>
          <w:rFonts w:ascii="Arial" w:hAnsi="Arial" w:cs="Arial"/>
          <w:szCs w:val="24"/>
        </w:rPr>
      </w:pPr>
      <w:r w:rsidRPr="001427AF">
        <w:rPr>
          <w:rFonts w:ascii="Arial" w:hAnsi="Arial" w:cs="Arial"/>
          <w:color w:val="000000" w:themeColor="text1"/>
          <w:szCs w:val="24"/>
        </w:rPr>
        <w:t xml:space="preserve">The CCRAA for grade 11 test administrations are included in participation calculations for </w:t>
      </w:r>
      <w:bookmarkStart w:id="570" w:name="_Int_rro0Nvnz"/>
      <w:proofErr w:type="gramStart"/>
      <w:r w:rsidRPr="001427AF">
        <w:rPr>
          <w:rFonts w:ascii="Arial" w:hAnsi="Arial" w:cs="Arial"/>
          <w:color w:val="000000" w:themeColor="text1"/>
          <w:szCs w:val="24"/>
        </w:rPr>
        <w:t>The</w:t>
      </w:r>
      <w:bookmarkEnd w:id="570"/>
      <w:proofErr w:type="gramEnd"/>
      <w:r w:rsidRPr="001427AF">
        <w:rPr>
          <w:rFonts w:ascii="Arial" w:hAnsi="Arial" w:cs="Arial"/>
          <w:color w:val="000000" w:themeColor="text1"/>
          <w:szCs w:val="24"/>
        </w:rPr>
        <w:t xml:space="preserve"> ACT. </w:t>
      </w:r>
    </w:p>
    <w:p w14:paraId="09F5BE91" w14:textId="77777777" w:rsidR="006835AC" w:rsidRPr="001427AF" w:rsidRDefault="006835AC" w:rsidP="006835AC">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 </w:t>
      </w:r>
    </w:p>
    <w:p w14:paraId="339C7B32" w14:textId="7EF0EB67" w:rsidR="006835AC" w:rsidRPr="003100C9" w:rsidRDefault="006835AC" w:rsidP="001514C3">
      <w:pPr>
        <w:pStyle w:val="Heading2"/>
      </w:pPr>
      <w:bookmarkStart w:id="571" w:name="_Toc100132553"/>
      <w:bookmarkStart w:id="572" w:name="_Toc100132757"/>
      <w:bookmarkStart w:id="573" w:name="_Toc100136558"/>
      <w:bookmarkStart w:id="574" w:name="_Toc114211803"/>
      <w:bookmarkStart w:id="575" w:name="_Toc135812528"/>
      <w:bookmarkStart w:id="576" w:name="_Toc136418909"/>
      <w:bookmarkStart w:id="577" w:name="_Toc136419165"/>
      <w:bookmarkStart w:id="578" w:name="_Toc225404979"/>
      <w:proofErr w:type="gramStart"/>
      <w:r w:rsidRPr="003100C9">
        <w:t>WorkKeys</w:t>
      </w:r>
      <w:proofErr w:type="gramEnd"/>
      <w:r w:rsidRPr="003100C9">
        <w:t xml:space="preserve"> Assessment (Grade 12 Participation)</w:t>
      </w:r>
      <w:bookmarkEnd w:id="571"/>
      <w:bookmarkEnd w:id="572"/>
      <w:bookmarkEnd w:id="573"/>
      <w:bookmarkEnd w:id="574"/>
      <w:bookmarkEnd w:id="575"/>
      <w:bookmarkEnd w:id="576"/>
      <w:bookmarkEnd w:id="577"/>
      <w:bookmarkEnd w:id="578"/>
    </w:p>
    <w:p w14:paraId="542A135F" w14:textId="6630C0F3" w:rsidR="00397C98" w:rsidRPr="001427AF" w:rsidRDefault="00397C98" w:rsidP="00CA5853">
      <w:pPr>
        <w:numPr>
          <w:ilvl w:val="0"/>
          <w:numId w:val="28"/>
        </w:num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The denominator is based on students </w:t>
      </w:r>
      <w:r w:rsidR="004D41AA" w:rsidRPr="001427AF">
        <w:rPr>
          <w:rFonts w:ascii="Arial" w:hAnsi="Arial" w:cs="Arial"/>
          <w:szCs w:val="24"/>
        </w:rPr>
        <w:t>in</w:t>
      </w:r>
      <w:r w:rsidRPr="001427AF">
        <w:rPr>
          <w:rFonts w:ascii="Arial" w:hAnsi="Arial" w:cs="Arial"/>
          <w:szCs w:val="24"/>
        </w:rPr>
        <w:t xml:space="preserve"> grade 12 who are CTE concentrators. A CTE concentrator is a student who has successfully completed a concentrator </w:t>
      </w:r>
      <w:r w:rsidRPr="001427AF">
        <w:rPr>
          <w:rFonts w:ascii="Arial" w:hAnsi="Arial" w:cs="Arial"/>
          <w:szCs w:val="24"/>
        </w:rPr>
        <w:lastRenderedPageBreak/>
        <w:t xml:space="preserve">course in an approved career pathway. Concentrator courses are second- or third-level courses in a career pathway that build upon technical skills acquired in a prerequisite course. </w:t>
      </w:r>
    </w:p>
    <w:p w14:paraId="5107AF4C" w14:textId="77777777" w:rsidR="0018491D" w:rsidRPr="001427AF" w:rsidRDefault="0018491D" w:rsidP="00CA5853">
      <w:pPr>
        <w:numPr>
          <w:ilvl w:val="0"/>
          <w:numId w:val="6"/>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Grade 12 students include those who are in grade 12 on the first day of spring (FDS) or who are in grade 12 on the first day of fall (FDF) and are mid-year graduates. </w:t>
      </w:r>
    </w:p>
    <w:p w14:paraId="59246B6C" w14:textId="3D110574" w:rsidR="006835AC" w:rsidRPr="001427AF" w:rsidRDefault="006835AC" w:rsidP="00CA5853">
      <w:pPr>
        <w:numPr>
          <w:ilvl w:val="0"/>
          <w:numId w:val="6"/>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 xml:space="preserve">Students with a medical exception </w:t>
      </w:r>
      <w:r w:rsidR="00AF7E58" w:rsidRPr="001427AF">
        <w:rPr>
          <w:rFonts w:ascii="Arial" w:hAnsi="Arial" w:cs="Arial"/>
          <w:szCs w:val="24"/>
        </w:rPr>
        <w:t xml:space="preserve">approved by the Office of Accountability and Testing </w:t>
      </w:r>
      <w:r w:rsidRPr="001427AF">
        <w:rPr>
          <w:rFonts w:ascii="Arial" w:hAnsi="Arial" w:cs="Arial"/>
          <w:szCs w:val="24"/>
        </w:rPr>
        <w:t xml:space="preserve">do not count in the denominator. </w:t>
      </w:r>
    </w:p>
    <w:p w14:paraId="6539E839" w14:textId="4C3FCE1F" w:rsidR="006835AC" w:rsidRPr="001427AF" w:rsidRDefault="006835AC" w:rsidP="00CA5853">
      <w:pPr>
        <w:numPr>
          <w:ilvl w:val="0"/>
          <w:numId w:val="6"/>
        </w:numPr>
        <w:autoSpaceDE w:val="0"/>
        <w:autoSpaceDN w:val="0"/>
        <w:adjustRightInd w:val="0"/>
        <w:spacing w:line="240" w:lineRule="auto"/>
        <w:ind w:left="1080"/>
        <w:contextualSpacing/>
        <w:rPr>
          <w:rFonts w:ascii="Arial" w:hAnsi="Arial" w:cs="Arial"/>
          <w:szCs w:val="24"/>
        </w:rPr>
      </w:pPr>
      <w:r w:rsidRPr="001427AF">
        <w:rPr>
          <w:rFonts w:ascii="Arial" w:hAnsi="Arial" w:cs="Arial"/>
          <w:szCs w:val="24"/>
        </w:rPr>
        <w:t>Students who have an approved WorkKeys exception request (as noted in section 2.</w:t>
      </w:r>
      <w:r w:rsidR="005824F7">
        <w:rPr>
          <w:rFonts w:ascii="Arial" w:hAnsi="Arial" w:cs="Arial"/>
          <w:szCs w:val="24"/>
        </w:rPr>
        <w:t>10</w:t>
      </w:r>
      <w:r w:rsidR="00AF7E58" w:rsidRPr="001427AF">
        <w:rPr>
          <w:rFonts w:ascii="Arial" w:hAnsi="Arial" w:cs="Arial"/>
          <w:szCs w:val="24"/>
        </w:rPr>
        <w:t xml:space="preserve"> of this guide</w:t>
      </w:r>
      <w:r w:rsidRPr="001427AF">
        <w:rPr>
          <w:rFonts w:ascii="Arial" w:hAnsi="Arial" w:cs="Arial"/>
          <w:szCs w:val="24"/>
        </w:rPr>
        <w:t xml:space="preserve">) submitted by the </w:t>
      </w:r>
      <w:bookmarkStart w:id="579" w:name="_Int_LzBcV6DF"/>
      <w:proofErr w:type="gramStart"/>
      <w:r w:rsidRPr="001427AF">
        <w:rPr>
          <w:rFonts w:ascii="Arial" w:hAnsi="Arial" w:cs="Arial"/>
          <w:szCs w:val="24"/>
        </w:rPr>
        <w:t>public school</w:t>
      </w:r>
      <w:bookmarkEnd w:id="579"/>
      <w:proofErr w:type="gramEnd"/>
      <w:r w:rsidRPr="001427AF">
        <w:rPr>
          <w:rFonts w:ascii="Arial" w:hAnsi="Arial" w:cs="Arial"/>
          <w:szCs w:val="24"/>
        </w:rPr>
        <w:t xml:space="preserve"> unit</w:t>
      </w:r>
      <w:r w:rsidR="00AF7E58" w:rsidRPr="001427AF">
        <w:rPr>
          <w:rFonts w:ascii="Arial" w:hAnsi="Arial" w:cs="Arial"/>
          <w:szCs w:val="24"/>
        </w:rPr>
        <w:t>’</w:t>
      </w:r>
      <w:r w:rsidRPr="001427AF">
        <w:rPr>
          <w:rFonts w:ascii="Arial" w:hAnsi="Arial" w:cs="Arial"/>
          <w:szCs w:val="24"/>
        </w:rPr>
        <w:t xml:space="preserve">s test coordinator are included in the denominator. </w:t>
      </w:r>
    </w:p>
    <w:p w14:paraId="798EB250" w14:textId="77777777" w:rsidR="006835AC" w:rsidRPr="001427AF" w:rsidRDefault="006835AC" w:rsidP="006835AC">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 </w:t>
      </w:r>
    </w:p>
    <w:p w14:paraId="725B9E92" w14:textId="77777777" w:rsidR="006835AC" w:rsidRPr="001427AF" w:rsidRDefault="006835AC" w:rsidP="00CA5853">
      <w:pPr>
        <w:numPr>
          <w:ilvl w:val="0"/>
          <w:numId w:val="28"/>
        </w:numPr>
        <w:autoSpaceDE w:val="0"/>
        <w:autoSpaceDN w:val="0"/>
        <w:adjustRightInd w:val="0"/>
        <w:spacing w:line="240" w:lineRule="auto"/>
        <w:contextualSpacing/>
        <w:rPr>
          <w:rFonts w:ascii="Arial" w:hAnsi="Arial" w:cs="Arial"/>
          <w:szCs w:val="24"/>
        </w:rPr>
      </w:pPr>
      <w:r w:rsidRPr="001427AF">
        <w:rPr>
          <w:rFonts w:ascii="Arial" w:hAnsi="Arial" w:cs="Arial"/>
          <w:szCs w:val="24"/>
        </w:rPr>
        <w:t>The numerator is the number of CTE concentrators who took the WorkKeys assessment.</w:t>
      </w:r>
    </w:p>
    <w:p w14:paraId="2707BE04" w14:textId="77777777" w:rsidR="00CA5C2A" w:rsidRDefault="00CA5C2A" w:rsidP="006835AC">
      <w:pPr>
        <w:autoSpaceDE w:val="0"/>
        <w:autoSpaceDN w:val="0"/>
        <w:adjustRightInd w:val="0"/>
        <w:spacing w:line="240" w:lineRule="auto"/>
        <w:ind w:left="360"/>
        <w:contextualSpacing/>
        <w:rPr>
          <w:rFonts w:ascii="Arial" w:hAnsi="Arial" w:cs="Arial"/>
          <w:szCs w:val="24"/>
        </w:rPr>
      </w:pPr>
    </w:p>
    <w:p w14:paraId="3FDF3C74" w14:textId="625396AD" w:rsidR="006835AC" w:rsidRPr="001427AF" w:rsidDel="005D42FD" w:rsidRDefault="006835AC" w:rsidP="006835AC">
      <w:pPr>
        <w:autoSpaceDE w:val="0"/>
        <w:autoSpaceDN w:val="0"/>
        <w:adjustRightInd w:val="0"/>
        <w:spacing w:line="240" w:lineRule="auto"/>
        <w:ind w:left="360"/>
        <w:contextualSpacing/>
        <w:rPr>
          <w:rFonts w:ascii="Arial" w:hAnsi="Arial" w:cs="Arial"/>
          <w:szCs w:val="24"/>
        </w:rPr>
      </w:pPr>
      <w:r w:rsidRPr="001427AF">
        <w:rPr>
          <w:rFonts w:ascii="Arial" w:hAnsi="Arial" w:cs="Arial"/>
          <w:szCs w:val="24"/>
        </w:rPr>
        <w:t>Students who have an approved WorkKeys exception request (as noted in section 2.</w:t>
      </w:r>
      <w:r w:rsidR="005824F7">
        <w:rPr>
          <w:rFonts w:ascii="Arial" w:hAnsi="Arial" w:cs="Arial"/>
          <w:szCs w:val="24"/>
        </w:rPr>
        <w:t>10</w:t>
      </w:r>
      <w:r w:rsidR="00AF7E58" w:rsidRPr="001427AF">
        <w:rPr>
          <w:rFonts w:ascii="Arial" w:hAnsi="Arial" w:cs="Arial"/>
          <w:szCs w:val="24"/>
        </w:rPr>
        <w:t xml:space="preserve"> of this guide</w:t>
      </w:r>
      <w:r w:rsidRPr="001427AF">
        <w:rPr>
          <w:rFonts w:ascii="Arial" w:hAnsi="Arial" w:cs="Arial"/>
          <w:szCs w:val="24"/>
        </w:rPr>
        <w:t xml:space="preserve">) submitted by the </w:t>
      </w:r>
      <w:bookmarkStart w:id="580" w:name="_Int_5hM50TQ4"/>
      <w:proofErr w:type="gramStart"/>
      <w:r w:rsidRPr="001427AF">
        <w:rPr>
          <w:rFonts w:ascii="Arial" w:hAnsi="Arial" w:cs="Arial"/>
          <w:szCs w:val="24"/>
        </w:rPr>
        <w:t>public school</w:t>
      </w:r>
      <w:bookmarkEnd w:id="580"/>
      <w:proofErr w:type="gramEnd"/>
      <w:r w:rsidRPr="001427AF">
        <w:rPr>
          <w:rFonts w:ascii="Arial" w:hAnsi="Arial" w:cs="Arial"/>
          <w:szCs w:val="24"/>
        </w:rPr>
        <w:t xml:space="preserve"> unit</w:t>
      </w:r>
      <w:r w:rsidR="00AF7E58" w:rsidRPr="001427AF">
        <w:rPr>
          <w:rFonts w:ascii="Arial" w:hAnsi="Arial" w:cs="Arial"/>
          <w:szCs w:val="24"/>
        </w:rPr>
        <w:t>’</w:t>
      </w:r>
      <w:r w:rsidRPr="001427AF">
        <w:rPr>
          <w:rFonts w:ascii="Arial" w:hAnsi="Arial" w:cs="Arial"/>
          <w:szCs w:val="24"/>
        </w:rPr>
        <w:t xml:space="preserve">s test coordinator are included in the numerator. </w:t>
      </w:r>
      <w:bookmarkStart w:id="581" w:name="_Toc102997758"/>
      <w:bookmarkStart w:id="582" w:name="_Toc102997864"/>
      <w:bookmarkStart w:id="583" w:name="_Toc102997970"/>
      <w:bookmarkStart w:id="584" w:name="_Toc106102889"/>
      <w:bookmarkStart w:id="585" w:name="_Toc106102994"/>
      <w:bookmarkEnd w:id="581"/>
      <w:bookmarkEnd w:id="582"/>
      <w:bookmarkEnd w:id="583"/>
      <w:bookmarkEnd w:id="584"/>
      <w:bookmarkEnd w:id="585"/>
    </w:p>
    <w:p w14:paraId="721EF9E4" w14:textId="77777777" w:rsidR="006835AC" w:rsidRPr="001427AF" w:rsidDel="005D42FD" w:rsidRDefault="006835AC" w:rsidP="006835AC">
      <w:pPr>
        <w:autoSpaceDE w:val="0"/>
        <w:autoSpaceDN w:val="0"/>
        <w:adjustRightInd w:val="0"/>
        <w:spacing w:line="240" w:lineRule="auto"/>
        <w:contextualSpacing/>
        <w:rPr>
          <w:rFonts w:ascii="Arial" w:hAnsi="Arial" w:cs="Arial"/>
          <w:szCs w:val="24"/>
        </w:rPr>
      </w:pPr>
    </w:p>
    <w:p w14:paraId="2965922C" w14:textId="131ABA9C" w:rsidR="006835AC" w:rsidRPr="001427AF" w:rsidRDefault="006835AC" w:rsidP="001514C3">
      <w:pPr>
        <w:pStyle w:val="Heading2"/>
      </w:pPr>
      <w:bookmarkStart w:id="586" w:name="_Toc114211804"/>
      <w:bookmarkStart w:id="587" w:name="_Toc135812529"/>
      <w:bookmarkStart w:id="588" w:name="_Toc136418910"/>
      <w:bookmarkStart w:id="589" w:name="_Toc136419166"/>
      <w:bookmarkStart w:id="590" w:name="_Toc225404980"/>
      <w:r w:rsidRPr="001427AF">
        <w:t>Subgroup Participation Guidelines</w:t>
      </w:r>
      <w:bookmarkEnd w:id="586"/>
      <w:bookmarkEnd w:id="587"/>
      <w:bookmarkEnd w:id="588"/>
      <w:bookmarkEnd w:id="589"/>
      <w:bookmarkEnd w:id="590"/>
    </w:p>
    <w:p w14:paraId="38A55CA7" w14:textId="65A71001" w:rsidR="006835AC" w:rsidRPr="001427AF" w:rsidRDefault="006835AC" w:rsidP="00CA5853">
      <w:pPr>
        <w:numPr>
          <w:ilvl w:val="0"/>
          <w:numId w:val="12"/>
        </w:numPr>
        <w:autoSpaceDE w:val="0"/>
        <w:autoSpaceDN w:val="0"/>
        <w:adjustRightInd w:val="0"/>
        <w:spacing w:line="240" w:lineRule="auto"/>
        <w:contextualSpacing/>
        <w:rPr>
          <w:rFonts w:ascii="Arial" w:hAnsi="Arial" w:cs="Arial"/>
          <w:color w:val="auto"/>
          <w:szCs w:val="24"/>
        </w:rPr>
      </w:pPr>
      <w:r w:rsidRPr="001427AF">
        <w:rPr>
          <w:rFonts w:ascii="Arial" w:hAnsi="Arial" w:cs="Arial"/>
          <w:color w:val="auto"/>
          <w:szCs w:val="24"/>
        </w:rPr>
        <w:t xml:space="preserve">Students categorized as </w:t>
      </w:r>
      <w:proofErr w:type="gramStart"/>
      <w:r w:rsidR="00D87F37" w:rsidRPr="001427AF">
        <w:rPr>
          <w:rFonts w:ascii="Arial" w:hAnsi="Arial" w:cs="Arial"/>
          <w:color w:val="auto"/>
          <w:szCs w:val="24"/>
        </w:rPr>
        <w:t>a student</w:t>
      </w:r>
      <w:proofErr w:type="gramEnd"/>
      <w:r w:rsidR="00D87F37" w:rsidRPr="001427AF">
        <w:rPr>
          <w:rFonts w:ascii="Arial" w:hAnsi="Arial" w:cs="Arial"/>
          <w:color w:val="auto"/>
          <w:szCs w:val="24"/>
        </w:rPr>
        <w:t xml:space="preserve"> with disabilities (</w:t>
      </w:r>
      <w:r w:rsidRPr="001427AF">
        <w:rPr>
          <w:rFonts w:ascii="Arial" w:hAnsi="Arial" w:cs="Arial"/>
          <w:color w:val="auto"/>
          <w:szCs w:val="24"/>
        </w:rPr>
        <w:t>SWD</w:t>
      </w:r>
      <w:r w:rsidR="00D87F37" w:rsidRPr="001427AF">
        <w:rPr>
          <w:rFonts w:ascii="Arial" w:hAnsi="Arial" w:cs="Arial"/>
          <w:color w:val="auto"/>
          <w:szCs w:val="24"/>
        </w:rPr>
        <w:t>)</w:t>
      </w:r>
      <w:r w:rsidRPr="001427AF">
        <w:rPr>
          <w:rFonts w:ascii="Arial" w:hAnsi="Arial" w:cs="Arial"/>
          <w:color w:val="auto"/>
          <w:szCs w:val="24"/>
        </w:rPr>
        <w:t xml:space="preserve"> or EL (at any time during their designated four-year graduation cohort) count in these associated subgroups for calculations of the Cohort Graduation Rate. </w:t>
      </w:r>
    </w:p>
    <w:p w14:paraId="3AE05520" w14:textId="77777777" w:rsidR="006835AC" w:rsidRPr="001427AF" w:rsidRDefault="006835AC" w:rsidP="00CA5853">
      <w:pPr>
        <w:numPr>
          <w:ilvl w:val="0"/>
          <w:numId w:val="12"/>
        </w:num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Students who met the defined criteria for </w:t>
      </w:r>
      <w:proofErr w:type="gramStart"/>
      <w:r w:rsidRPr="001427AF">
        <w:rPr>
          <w:rFonts w:ascii="Arial" w:hAnsi="Arial" w:cs="Arial"/>
          <w:szCs w:val="24"/>
        </w:rPr>
        <w:t>exiting</w:t>
      </w:r>
      <w:proofErr w:type="gramEnd"/>
      <w:r w:rsidRPr="001427AF">
        <w:rPr>
          <w:rFonts w:ascii="Arial" w:hAnsi="Arial" w:cs="Arial"/>
          <w:szCs w:val="24"/>
        </w:rPr>
        <w:t xml:space="preserve"> EL status at any point in the previous four years are included in the denominator of the EL subgroup for all indicators, except the ELP indicator. </w:t>
      </w:r>
    </w:p>
    <w:p w14:paraId="50D59AC6" w14:textId="2D9F8CC0" w:rsidR="002326D8" w:rsidRPr="001427AF" w:rsidRDefault="002326D8" w:rsidP="00CA5853">
      <w:pPr>
        <w:numPr>
          <w:ilvl w:val="0"/>
          <w:numId w:val="12"/>
        </w:numPr>
        <w:autoSpaceDE w:val="0"/>
        <w:autoSpaceDN w:val="0"/>
        <w:adjustRightInd w:val="0"/>
        <w:spacing w:line="240" w:lineRule="auto"/>
        <w:contextualSpacing/>
        <w:rPr>
          <w:rFonts w:ascii="Arial" w:hAnsi="Arial" w:cs="Arial"/>
          <w:szCs w:val="24"/>
        </w:rPr>
      </w:pPr>
      <w:r w:rsidRPr="001427AF">
        <w:rPr>
          <w:rFonts w:ascii="Arial" w:hAnsi="Arial" w:cs="Arial"/>
          <w:color w:val="auto"/>
        </w:rPr>
        <w:t xml:space="preserve">Membership is based on the relevant grade level(s) in the school’s first day of spring data collection (see section 3.3 for test exceptions). </w:t>
      </w:r>
    </w:p>
    <w:p w14:paraId="690B1A67" w14:textId="77777777" w:rsidR="00AF2903" w:rsidRDefault="00AF2903" w:rsidP="002326D8">
      <w:pPr>
        <w:autoSpaceDE w:val="0"/>
        <w:autoSpaceDN w:val="0"/>
        <w:adjustRightInd w:val="0"/>
        <w:spacing w:line="240" w:lineRule="auto"/>
        <w:contextualSpacing/>
        <w:rPr>
          <w:rFonts w:ascii="Arial" w:hAnsi="Arial" w:cs="Arial"/>
          <w:szCs w:val="24"/>
        </w:rPr>
      </w:pPr>
    </w:p>
    <w:p w14:paraId="4B2E7A07" w14:textId="0A61E7ED" w:rsidR="006835AC" w:rsidRPr="001427AF" w:rsidRDefault="006835AC" w:rsidP="002326D8">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The following subgroups </w:t>
      </w:r>
      <w:r w:rsidR="007E75C0" w:rsidRPr="001427AF">
        <w:rPr>
          <w:rFonts w:ascii="Arial" w:hAnsi="Arial" w:cs="Arial"/>
          <w:szCs w:val="24"/>
        </w:rPr>
        <w:t xml:space="preserve">in </w:t>
      </w:r>
      <w:r w:rsidR="00F66B42" w:rsidRPr="001427AF">
        <w:rPr>
          <w:rFonts w:ascii="Arial" w:hAnsi="Arial" w:cs="Arial"/>
          <w:szCs w:val="24"/>
        </w:rPr>
        <w:t>t</w:t>
      </w:r>
      <w:r w:rsidR="007E75C0" w:rsidRPr="001427AF">
        <w:rPr>
          <w:rFonts w:ascii="Arial" w:hAnsi="Arial" w:cs="Arial"/>
          <w:szCs w:val="24"/>
        </w:rPr>
        <w:t xml:space="preserve">able 3.7 </w:t>
      </w:r>
      <w:r w:rsidRPr="001427AF">
        <w:rPr>
          <w:rFonts w:ascii="Arial" w:hAnsi="Arial" w:cs="Arial"/>
          <w:szCs w:val="24"/>
        </w:rPr>
        <w:t>receive a school performance grade, and all participation requirements are reported for the</w:t>
      </w:r>
      <w:r w:rsidR="007E75C0" w:rsidRPr="001427AF">
        <w:rPr>
          <w:rFonts w:ascii="Arial" w:hAnsi="Arial" w:cs="Arial"/>
          <w:szCs w:val="24"/>
        </w:rPr>
        <w:t>se</w:t>
      </w:r>
      <w:r w:rsidRPr="001427AF">
        <w:rPr>
          <w:rFonts w:ascii="Arial" w:hAnsi="Arial" w:cs="Arial"/>
          <w:szCs w:val="24"/>
        </w:rPr>
        <w:t xml:space="preserve"> subgroups</w:t>
      </w:r>
      <w:r w:rsidR="007E75C0" w:rsidRPr="001427AF">
        <w:rPr>
          <w:rFonts w:ascii="Arial" w:hAnsi="Arial" w:cs="Arial"/>
          <w:szCs w:val="24"/>
        </w:rPr>
        <w:t>.</w:t>
      </w:r>
    </w:p>
    <w:p w14:paraId="510A20FD" w14:textId="77777777" w:rsidR="00481BDF" w:rsidRPr="001427AF" w:rsidRDefault="00481BDF" w:rsidP="006835AC">
      <w:pPr>
        <w:spacing w:line="240" w:lineRule="auto"/>
        <w:contextualSpacing/>
        <w:rPr>
          <w:rFonts w:ascii="Arial" w:hAnsi="Arial" w:cs="Arial"/>
          <w:b/>
          <w:iCs/>
          <w:sz w:val="20"/>
        </w:rPr>
      </w:pPr>
    </w:p>
    <w:p w14:paraId="510C2A5F" w14:textId="7883402E" w:rsidR="006835AC" w:rsidRPr="001427AF" w:rsidRDefault="006835AC" w:rsidP="006835AC">
      <w:pPr>
        <w:spacing w:line="240" w:lineRule="auto"/>
        <w:contextualSpacing/>
        <w:rPr>
          <w:rFonts w:ascii="Arial" w:hAnsi="Arial" w:cs="Arial"/>
          <w:sz w:val="20"/>
        </w:rPr>
      </w:pPr>
      <w:r w:rsidRPr="001427AF">
        <w:rPr>
          <w:rFonts w:ascii="Arial" w:hAnsi="Arial" w:cs="Arial"/>
          <w:sz w:val="20"/>
        </w:rPr>
        <w:t>TABLE 3.7. Participation subgroups</w:t>
      </w:r>
    </w:p>
    <w:tbl>
      <w:tblPr>
        <w:tblStyle w:val="TableGrid"/>
        <w:tblW w:w="3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lists all subgroups that have participation requirements reported. "/>
      </w:tblPr>
      <w:tblGrid>
        <w:gridCol w:w="3169"/>
      </w:tblGrid>
      <w:tr w:rsidR="00937692" w:rsidRPr="001427AF" w14:paraId="5041C4D7" w14:textId="77777777" w:rsidTr="00937692">
        <w:tc>
          <w:tcPr>
            <w:tcW w:w="3169" w:type="dxa"/>
            <w:shd w:val="clear" w:color="auto" w:fill="ACB9CA" w:themeFill="text2" w:themeFillTint="66"/>
          </w:tcPr>
          <w:p w14:paraId="17526D8F" w14:textId="45ACFD4B" w:rsidR="00937692" w:rsidRPr="00937692" w:rsidRDefault="00937692">
            <w:pPr>
              <w:autoSpaceDE w:val="0"/>
              <w:autoSpaceDN w:val="0"/>
              <w:adjustRightInd w:val="0"/>
              <w:spacing w:line="240" w:lineRule="auto"/>
              <w:contextualSpacing/>
              <w:rPr>
                <w:rFonts w:ascii="Arial" w:hAnsi="Arial" w:cs="Arial"/>
                <w:b/>
                <w:bCs/>
                <w:sz w:val="20"/>
              </w:rPr>
            </w:pPr>
            <w:r w:rsidRPr="00937692">
              <w:rPr>
                <w:rFonts w:ascii="Arial" w:hAnsi="Arial" w:cs="Arial"/>
                <w:b/>
                <w:bCs/>
                <w:sz w:val="20"/>
              </w:rPr>
              <w:t>Subgroups</w:t>
            </w:r>
          </w:p>
        </w:tc>
      </w:tr>
      <w:tr w:rsidR="00937692" w:rsidRPr="001427AF" w14:paraId="50ACC2C1" w14:textId="77777777" w:rsidTr="00937692">
        <w:tc>
          <w:tcPr>
            <w:tcW w:w="3169" w:type="dxa"/>
          </w:tcPr>
          <w:p w14:paraId="7AE1F110" w14:textId="77777777" w:rsidR="00937692" w:rsidRPr="001427AF" w:rsidRDefault="00937692">
            <w:pPr>
              <w:autoSpaceDE w:val="0"/>
              <w:autoSpaceDN w:val="0"/>
              <w:adjustRightInd w:val="0"/>
              <w:spacing w:line="240" w:lineRule="auto"/>
              <w:contextualSpacing/>
              <w:rPr>
                <w:rFonts w:ascii="Arial" w:hAnsi="Arial" w:cs="Arial"/>
                <w:b/>
                <w:bCs/>
                <w:sz w:val="20"/>
              </w:rPr>
            </w:pPr>
            <w:r w:rsidRPr="001427AF">
              <w:rPr>
                <w:rFonts w:ascii="Arial" w:hAnsi="Arial" w:cs="Arial"/>
                <w:sz w:val="20"/>
              </w:rPr>
              <w:t>All Students (school as a whole)</w:t>
            </w:r>
          </w:p>
        </w:tc>
      </w:tr>
      <w:tr w:rsidR="00937692" w:rsidRPr="001427AF" w14:paraId="3D7AF1EF" w14:textId="77777777" w:rsidTr="00937692">
        <w:tc>
          <w:tcPr>
            <w:tcW w:w="3169" w:type="dxa"/>
          </w:tcPr>
          <w:p w14:paraId="0EB83CE2" w14:textId="77777777" w:rsidR="00937692" w:rsidRPr="001427AF" w:rsidRDefault="00937692">
            <w:pPr>
              <w:autoSpaceDE w:val="0"/>
              <w:autoSpaceDN w:val="0"/>
              <w:adjustRightInd w:val="0"/>
              <w:spacing w:line="240" w:lineRule="auto"/>
              <w:contextualSpacing/>
              <w:rPr>
                <w:rFonts w:ascii="Arial" w:hAnsi="Arial" w:cs="Arial"/>
                <w:sz w:val="20"/>
              </w:rPr>
            </w:pPr>
            <w:r w:rsidRPr="001427AF">
              <w:rPr>
                <w:rFonts w:ascii="Arial" w:hAnsi="Arial" w:cs="Arial"/>
                <w:sz w:val="20"/>
              </w:rPr>
              <w:t>American Indian</w:t>
            </w:r>
          </w:p>
        </w:tc>
      </w:tr>
      <w:tr w:rsidR="00937692" w:rsidRPr="001427AF" w14:paraId="205DA2BC" w14:textId="77777777" w:rsidTr="00937692">
        <w:tc>
          <w:tcPr>
            <w:tcW w:w="3169" w:type="dxa"/>
          </w:tcPr>
          <w:p w14:paraId="30A0430E" w14:textId="77777777" w:rsidR="00937692" w:rsidRPr="001427AF" w:rsidRDefault="00937692">
            <w:pPr>
              <w:autoSpaceDE w:val="0"/>
              <w:autoSpaceDN w:val="0"/>
              <w:adjustRightInd w:val="0"/>
              <w:spacing w:line="240" w:lineRule="auto"/>
              <w:contextualSpacing/>
              <w:rPr>
                <w:rFonts w:ascii="Arial" w:hAnsi="Arial" w:cs="Arial"/>
                <w:sz w:val="20"/>
              </w:rPr>
            </w:pPr>
            <w:r w:rsidRPr="001427AF">
              <w:rPr>
                <w:rFonts w:ascii="Arial" w:hAnsi="Arial" w:cs="Arial"/>
                <w:sz w:val="20"/>
              </w:rPr>
              <w:t>Asian</w:t>
            </w:r>
          </w:p>
        </w:tc>
      </w:tr>
      <w:tr w:rsidR="00937692" w:rsidRPr="001427AF" w14:paraId="06D40F2C" w14:textId="77777777" w:rsidTr="00937692">
        <w:tc>
          <w:tcPr>
            <w:tcW w:w="3169" w:type="dxa"/>
          </w:tcPr>
          <w:p w14:paraId="4338C0BE" w14:textId="77777777" w:rsidR="00937692" w:rsidRPr="001427AF" w:rsidRDefault="00937692">
            <w:pPr>
              <w:autoSpaceDE w:val="0"/>
              <w:autoSpaceDN w:val="0"/>
              <w:adjustRightInd w:val="0"/>
              <w:spacing w:line="240" w:lineRule="auto"/>
              <w:contextualSpacing/>
              <w:rPr>
                <w:rFonts w:ascii="Arial" w:hAnsi="Arial" w:cs="Arial"/>
                <w:sz w:val="20"/>
              </w:rPr>
            </w:pPr>
            <w:r w:rsidRPr="001427AF">
              <w:rPr>
                <w:rFonts w:ascii="Arial" w:hAnsi="Arial" w:cs="Arial"/>
                <w:sz w:val="20"/>
              </w:rPr>
              <w:t>Black</w:t>
            </w:r>
          </w:p>
        </w:tc>
      </w:tr>
      <w:tr w:rsidR="00937692" w:rsidRPr="001427AF" w14:paraId="75947B63" w14:textId="77777777" w:rsidTr="00937692">
        <w:trPr>
          <w:trHeight w:val="197"/>
        </w:trPr>
        <w:tc>
          <w:tcPr>
            <w:tcW w:w="3169" w:type="dxa"/>
          </w:tcPr>
          <w:p w14:paraId="1056AF7A" w14:textId="77777777" w:rsidR="00937692" w:rsidRPr="001427AF" w:rsidRDefault="00937692">
            <w:pPr>
              <w:autoSpaceDE w:val="0"/>
              <w:autoSpaceDN w:val="0"/>
              <w:adjustRightInd w:val="0"/>
              <w:spacing w:line="240" w:lineRule="auto"/>
              <w:contextualSpacing/>
              <w:rPr>
                <w:rFonts w:ascii="Arial" w:hAnsi="Arial" w:cs="Arial"/>
                <w:sz w:val="20"/>
              </w:rPr>
            </w:pPr>
            <w:r w:rsidRPr="001427AF">
              <w:rPr>
                <w:rFonts w:ascii="Arial" w:hAnsi="Arial" w:cs="Arial"/>
                <w:sz w:val="20"/>
              </w:rPr>
              <w:t>Hispanic</w:t>
            </w:r>
          </w:p>
        </w:tc>
      </w:tr>
      <w:tr w:rsidR="00937692" w:rsidRPr="001427AF" w14:paraId="6E698B26" w14:textId="77777777" w:rsidTr="00937692">
        <w:trPr>
          <w:trHeight w:val="197"/>
        </w:trPr>
        <w:tc>
          <w:tcPr>
            <w:tcW w:w="3169" w:type="dxa"/>
          </w:tcPr>
          <w:p w14:paraId="139A8B55" w14:textId="6AF0712D" w:rsidR="00937692" w:rsidRPr="001427AF" w:rsidRDefault="00937692" w:rsidP="00937692">
            <w:pPr>
              <w:autoSpaceDE w:val="0"/>
              <w:autoSpaceDN w:val="0"/>
              <w:adjustRightInd w:val="0"/>
              <w:spacing w:line="240" w:lineRule="auto"/>
              <w:contextualSpacing/>
              <w:rPr>
                <w:rFonts w:ascii="Arial" w:hAnsi="Arial" w:cs="Arial"/>
                <w:sz w:val="20"/>
              </w:rPr>
            </w:pPr>
            <w:r w:rsidRPr="001427AF">
              <w:rPr>
                <w:rFonts w:ascii="Arial" w:hAnsi="Arial" w:cs="Arial"/>
                <w:sz w:val="20"/>
              </w:rPr>
              <w:t>Two or More Races</w:t>
            </w:r>
          </w:p>
        </w:tc>
      </w:tr>
      <w:tr w:rsidR="00937692" w:rsidRPr="001427AF" w14:paraId="14340148" w14:textId="77777777" w:rsidTr="00937692">
        <w:trPr>
          <w:trHeight w:val="197"/>
        </w:trPr>
        <w:tc>
          <w:tcPr>
            <w:tcW w:w="3169" w:type="dxa"/>
          </w:tcPr>
          <w:p w14:paraId="620C1428" w14:textId="2532C868" w:rsidR="00937692" w:rsidRPr="001427AF" w:rsidRDefault="00937692" w:rsidP="00937692">
            <w:pPr>
              <w:autoSpaceDE w:val="0"/>
              <w:autoSpaceDN w:val="0"/>
              <w:adjustRightInd w:val="0"/>
              <w:spacing w:line="240" w:lineRule="auto"/>
              <w:contextualSpacing/>
              <w:rPr>
                <w:rFonts w:ascii="Arial" w:hAnsi="Arial" w:cs="Arial"/>
                <w:sz w:val="20"/>
              </w:rPr>
            </w:pPr>
            <w:r w:rsidRPr="001427AF">
              <w:rPr>
                <w:rFonts w:ascii="Arial" w:hAnsi="Arial" w:cs="Arial"/>
                <w:sz w:val="20"/>
              </w:rPr>
              <w:t>White</w:t>
            </w:r>
          </w:p>
        </w:tc>
      </w:tr>
      <w:tr w:rsidR="00937692" w:rsidRPr="001427AF" w14:paraId="1375DB9E" w14:textId="77777777" w:rsidTr="00937692">
        <w:trPr>
          <w:trHeight w:val="197"/>
        </w:trPr>
        <w:tc>
          <w:tcPr>
            <w:tcW w:w="3169" w:type="dxa"/>
          </w:tcPr>
          <w:p w14:paraId="2A21F65B" w14:textId="283EF767" w:rsidR="00937692" w:rsidRPr="001427AF" w:rsidRDefault="00937692" w:rsidP="00937692">
            <w:pPr>
              <w:autoSpaceDE w:val="0"/>
              <w:autoSpaceDN w:val="0"/>
              <w:adjustRightInd w:val="0"/>
              <w:spacing w:line="240" w:lineRule="auto"/>
              <w:contextualSpacing/>
              <w:rPr>
                <w:rFonts w:ascii="Arial" w:hAnsi="Arial" w:cs="Arial"/>
                <w:sz w:val="20"/>
              </w:rPr>
            </w:pPr>
            <w:r w:rsidRPr="001427AF">
              <w:rPr>
                <w:rFonts w:ascii="Arial" w:hAnsi="Arial" w:cs="Arial"/>
                <w:sz w:val="20"/>
              </w:rPr>
              <w:t>English learners (EL)</w:t>
            </w:r>
          </w:p>
        </w:tc>
      </w:tr>
      <w:tr w:rsidR="00937692" w:rsidRPr="001427AF" w14:paraId="09717242" w14:textId="77777777" w:rsidTr="00937692">
        <w:trPr>
          <w:trHeight w:val="197"/>
        </w:trPr>
        <w:tc>
          <w:tcPr>
            <w:tcW w:w="3169" w:type="dxa"/>
            <w:vAlign w:val="center"/>
          </w:tcPr>
          <w:p w14:paraId="2B76FBDD" w14:textId="12A5F80C" w:rsidR="00937692" w:rsidRPr="001427AF" w:rsidRDefault="00937692" w:rsidP="00937692">
            <w:pPr>
              <w:autoSpaceDE w:val="0"/>
              <w:autoSpaceDN w:val="0"/>
              <w:adjustRightInd w:val="0"/>
              <w:spacing w:line="240" w:lineRule="auto"/>
              <w:contextualSpacing/>
              <w:rPr>
                <w:rFonts w:ascii="Arial" w:hAnsi="Arial" w:cs="Arial"/>
                <w:sz w:val="20"/>
              </w:rPr>
            </w:pPr>
            <w:r w:rsidRPr="001427AF">
              <w:rPr>
                <w:rFonts w:ascii="Arial" w:hAnsi="Arial" w:cs="Arial"/>
                <w:sz w:val="20"/>
              </w:rPr>
              <w:t>Students with Disabilities (SWD)</w:t>
            </w:r>
          </w:p>
        </w:tc>
      </w:tr>
      <w:tr w:rsidR="00937692" w:rsidRPr="001427AF" w14:paraId="1CCA586A" w14:textId="77777777" w:rsidTr="00937692">
        <w:trPr>
          <w:trHeight w:val="197"/>
        </w:trPr>
        <w:tc>
          <w:tcPr>
            <w:tcW w:w="3169" w:type="dxa"/>
            <w:vAlign w:val="center"/>
          </w:tcPr>
          <w:p w14:paraId="60390B6B" w14:textId="04299EBC" w:rsidR="00937692" w:rsidRPr="001427AF" w:rsidRDefault="00937692" w:rsidP="00937692">
            <w:pPr>
              <w:autoSpaceDE w:val="0"/>
              <w:autoSpaceDN w:val="0"/>
              <w:adjustRightInd w:val="0"/>
              <w:spacing w:line="240" w:lineRule="auto"/>
              <w:contextualSpacing/>
              <w:rPr>
                <w:rFonts w:ascii="Arial" w:hAnsi="Arial" w:cs="Arial"/>
                <w:sz w:val="20"/>
              </w:rPr>
            </w:pPr>
            <w:r w:rsidRPr="001427AF">
              <w:rPr>
                <w:rFonts w:ascii="Arial" w:hAnsi="Arial" w:cs="Arial"/>
                <w:sz w:val="20"/>
              </w:rPr>
              <w:t>Economically Disadvantaged Students (EDS)</w:t>
            </w:r>
          </w:p>
        </w:tc>
      </w:tr>
    </w:tbl>
    <w:p w14:paraId="50C78AD6" w14:textId="77777777" w:rsidR="006835AC" w:rsidRPr="001427AF" w:rsidRDefault="006835AC" w:rsidP="006835AC">
      <w:pPr>
        <w:spacing w:line="240" w:lineRule="auto"/>
        <w:rPr>
          <w:rFonts w:ascii="Arial" w:hAnsi="Arial" w:cs="Arial"/>
        </w:rPr>
      </w:pPr>
    </w:p>
    <w:p w14:paraId="12262603" w14:textId="05F6A090" w:rsidR="006835AC" w:rsidRPr="001427AF" w:rsidRDefault="006835AC" w:rsidP="001514C3">
      <w:pPr>
        <w:pStyle w:val="Heading2"/>
      </w:pPr>
      <w:bookmarkStart w:id="591" w:name="_Toc100132554"/>
      <w:bookmarkStart w:id="592" w:name="_Toc100132758"/>
      <w:bookmarkStart w:id="593" w:name="_Toc100136559"/>
      <w:bookmarkStart w:id="594" w:name="_Toc114211805"/>
      <w:bookmarkStart w:id="595" w:name="_Toc135812530"/>
      <w:bookmarkStart w:id="596" w:name="_Toc136418911"/>
      <w:bookmarkStart w:id="597" w:name="_Toc136419167"/>
      <w:bookmarkStart w:id="598" w:name="_Toc225404981"/>
      <w:r w:rsidRPr="001427AF">
        <w:lastRenderedPageBreak/>
        <w:t>Special Cases</w:t>
      </w:r>
      <w:bookmarkEnd w:id="591"/>
      <w:bookmarkEnd w:id="592"/>
      <w:bookmarkEnd w:id="593"/>
      <w:bookmarkEnd w:id="594"/>
      <w:bookmarkEnd w:id="595"/>
      <w:bookmarkEnd w:id="596"/>
      <w:bookmarkEnd w:id="597"/>
      <w:bookmarkEnd w:id="598"/>
      <w:r w:rsidRPr="001427AF">
        <w:t xml:space="preserve"> </w:t>
      </w:r>
    </w:p>
    <w:p w14:paraId="7B383099" w14:textId="12644810" w:rsidR="00815490" w:rsidRDefault="006835AC" w:rsidP="006835AC">
      <w:pPr>
        <w:spacing w:line="240" w:lineRule="auto"/>
        <w:contextualSpacing/>
        <w:rPr>
          <w:rFonts w:ascii="Arial" w:hAnsi="Arial" w:cs="Arial"/>
          <w:color w:val="auto"/>
          <w:szCs w:val="24"/>
        </w:rPr>
      </w:pPr>
      <w:r w:rsidRPr="001427AF">
        <w:rPr>
          <w:rFonts w:ascii="Arial" w:hAnsi="Arial" w:cs="Arial"/>
          <w:color w:val="auto"/>
          <w:szCs w:val="24"/>
        </w:rPr>
        <w:t xml:space="preserve">In some instances, students may not have a regular assessment on record. These students may be included or excluded from the participation calculation and may also count for or against participation. These conditions can be found in </w:t>
      </w:r>
      <w:r w:rsidR="00F66B42" w:rsidRPr="001427AF">
        <w:rPr>
          <w:rFonts w:ascii="Arial" w:hAnsi="Arial" w:cs="Arial"/>
          <w:color w:val="auto"/>
          <w:szCs w:val="24"/>
        </w:rPr>
        <w:t>t</w:t>
      </w:r>
      <w:r w:rsidRPr="001427AF">
        <w:rPr>
          <w:rFonts w:ascii="Arial" w:hAnsi="Arial" w:cs="Arial"/>
          <w:color w:val="auto"/>
          <w:szCs w:val="24"/>
        </w:rPr>
        <w:t>able</w:t>
      </w:r>
      <w:r w:rsidR="002A12F1">
        <w:rPr>
          <w:rFonts w:ascii="Arial" w:hAnsi="Arial" w:cs="Arial"/>
          <w:color w:val="auto"/>
          <w:szCs w:val="24"/>
        </w:rPr>
        <w:t>s</w:t>
      </w:r>
      <w:r w:rsidRPr="001427AF">
        <w:rPr>
          <w:rFonts w:ascii="Arial" w:hAnsi="Arial" w:cs="Arial"/>
          <w:color w:val="auto"/>
          <w:szCs w:val="24"/>
        </w:rPr>
        <w:t xml:space="preserve"> 3.8</w:t>
      </w:r>
      <w:bookmarkStart w:id="599" w:name="_Toc102997760"/>
      <w:bookmarkStart w:id="600" w:name="_Toc102997866"/>
      <w:bookmarkStart w:id="601" w:name="_Toc102997972"/>
      <w:bookmarkStart w:id="602" w:name="_Toc106102891"/>
      <w:bookmarkStart w:id="603" w:name="_Toc106102996"/>
      <w:bookmarkEnd w:id="599"/>
      <w:bookmarkEnd w:id="600"/>
      <w:bookmarkEnd w:id="601"/>
      <w:bookmarkEnd w:id="602"/>
      <w:bookmarkEnd w:id="603"/>
      <w:r w:rsidR="002A12F1">
        <w:rPr>
          <w:rFonts w:ascii="Arial" w:hAnsi="Arial" w:cs="Arial"/>
          <w:color w:val="auto"/>
          <w:szCs w:val="24"/>
        </w:rPr>
        <w:t xml:space="preserve"> through 3.8.2. </w:t>
      </w:r>
    </w:p>
    <w:p w14:paraId="6C3CF795" w14:textId="77777777" w:rsidR="00481BDF" w:rsidRDefault="00481BDF" w:rsidP="006835AC">
      <w:pPr>
        <w:spacing w:line="240" w:lineRule="auto"/>
        <w:contextualSpacing/>
        <w:rPr>
          <w:rFonts w:ascii="Arial" w:hAnsi="Arial" w:cs="Arial"/>
          <w:b/>
          <w:iCs/>
          <w:sz w:val="20"/>
        </w:rPr>
      </w:pPr>
    </w:p>
    <w:p w14:paraId="49014D9A" w14:textId="3A26A10F" w:rsidR="009148E9" w:rsidRPr="003C0796" w:rsidRDefault="00523170" w:rsidP="006835AC">
      <w:pPr>
        <w:spacing w:line="240" w:lineRule="auto"/>
        <w:contextualSpacing/>
        <w:rPr>
          <w:rFonts w:ascii="Arial" w:hAnsi="Arial" w:cs="Arial"/>
          <w:sz w:val="20"/>
        </w:rPr>
      </w:pPr>
      <w:r w:rsidRPr="003C0796">
        <w:rPr>
          <w:rFonts w:ascii="Arial" w:hAnsi="Arial" w:cs="Arial"/>
          <w:sz w:val="20"/>
        </w:rPr>
        <w:t xml:space="preserve">TABLE 3.8. Condition under which a student missing a regular administration test score does not </w:t>
      </w:r>
      <w:r w:rsidR="00897AB5" w:rsidRPr="003C0796">
        <w:rPr>
          <w:rFonts w:ascii="Arial" w:hAnsi="Arial" w:cs="Arial"/>
          <w:sz w:val="20"/>
        </w:rPr>
        <w:t>count for or against participation rates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provides conditions in which the end of grade, end of course, The ACT, and WorkKeys do and do not count students missing a regular administration test score in participation rates.&#10;&#10;1. This rule applies to all tests&#10;2. This rule applies to The ACT&#10;3. This rule applies to The ACT and WorkKeys&#10;4. This rule applies to all tests&#10;5. This rule applies to all tests&#10;6. This rule applies to The ACT and WorkKeys&#10;7. This rule applies to EOG, EOC, and The ACT&#10;8. This rule applies to The ACT and WorkKeys&#10;9. This rule applies to The ACT&#10;10. This rule applies to EOC&#10;"/>
      </w:tblPr>
      <w:tblGrid>
        <w:gridCol w:w="5591"/>
        <w:gridCol w:w="735"/>
        <w:gridCol w:w="735"/>
        <w:gridCol w:w="1094"/>
        <w:gridCol w:w="1195"/>
      </w:tblGrid>
      <w:tr w:rsidR="006835AC" w:rsidRPr="003C0796" w14:paraId="3ED0D16A" w14:textId="77777777" w:rsidTr="00897AB5">
        <w:trPr>
          <w:trHeight w:val="260"/>
          <w:tblHeader/>
          <w:jc w:val="center"/>
        </w:trPr>
        <w:tc>
          <w:tcPr>
            <w:tcW w:w="5591" w:type="dxa"/>
            <w:shd w:val="clear" w:color="auto" w:fill="ACB9CA" w:themeFill="text2" w:themeFillTint="66"/>
          </w:tcPr>
          <w:p w14:paraId="26CE9AA3" w14:textId="2D832421" w:rsidR="00F50757" w:rsidRPr="003C0796" w:rsidRDefault="006835AC" w:rsidP="00C6632D">
            <w:pPr>
              <w:spacing w:line="240" w:lineRule="auto"/>
              <w:contextualSpacing/>
              <w:rPr>
                <w:rFonts w:ascii="Arial" w:hAnsi="Arial" w:cs="Arial"/>
                <w:b/>
                <w:iCs/>
                <w:sz w:val="20"/>
              </w:rPr>
            </w:pPr>
            <w:r w:rsidRPr="003C0796">
              <w:rPr>
                <w:rFonts w:ascii="Arial" w:hAnsi="Arial" w:cs="Arial"/>
                <w:b/>
                <w:iCs/>
                <w:sz w:val="20"/>
              </w:rPr>
              <w:t>Condition</w:t>
            </w:r>
          </w:p>
        </w:tc>
        <w:tc>
          <w:tcPr>
            <w:tcW w:w="735" w:type="dxa"/>
            <w:shd w:val="clear" w:color="auto" w:fill="ACB9CA" w:themeFill="text2" w:themeFillTint="66"/>
          </w:tcPr>
          <w:p w14:paraId="5F0F2772" w14:textId="77777777" w:rsidR="006835AC" w:rsidRPr="003C0796" w:rsidRDefault="006835AC" w:rsidP="006835AC">
            <w:pPr>
              <w:spacing w:line="240" w:lineRule="auto"/>
              <w:contextualSpacing/>
              <w:rPr>
                <w:rFonts w:ascii="Arial" w:hAnsi="Arial" w:cs="Arial"/>
                <w:b/>
                <w:iCs/>
                <w:sz w:val="20"/>
              </w:rPr>
            </w:pPr>
            <w:r w:rsidRPr="003C0796">
              <w:rPr>
                <w:rFonts w:ascii="Arial" w:hAnsi="Arial" w:cs="Arial"/>
                <w:b/>
                <w:iCs/>
                <w:sz w:val="20"/>
              </w:rPr>
              <w:t>EOG</w:t>
            </w:r>
          </w:p>
        </w:tc>
        <w:tc>
          <w:tcPr>
            <w:tcW w:w="735" w:type="dxa"/>
            <w:shd w:val="clear" w:color="auto" w:fill="ACB9CA" w:themeFill="text2" w:themeFillTint="66"/>
          </w:tcPr>
          <w:p w14:paraId="63691E26" w14:textId="77777777" w:rsidR="006835AC" w:rsidRPr="003C0796" w:rsidRDefault="006835AC" w:rsidP="006835AC">
            <w:pPr>
              <w:spacing w:line="240" w:lineRule="auto"/>
              <w:contextualSpacing/>
              <w:rPr>
                <w:rFonts w:ascii="Arial" w:hAnsi="Arial" w:cs="Arial"/>
                <w:b/>
                <w:iCs/>
                <w:sz w:val="20"/>
              </w:rPr>
            </w:pPr>
            <w:r w:rsidRPr="003C0796">
              <w:rPr>
                <w:rFonts w:ascii="Arial" w:hAnsi="Arial" w:cs="Arial"/>
                <w:b/>
                <w:iCs/>
                <w:sz w:val="20"/>
              </w:rPr>
              <w:t>EOC</w:t>
            </w:r>
          </w:p>
        </w:tc>
        <w:tc>
          <w:tcPr>
            <w:tcW w:w="1094" w:type="dxa"/>
            <w:shd w:val="clear" w:color="auto" w:fill="ACB9CA" w:themeFill="text2" w:themeFillTint="66"/>
          </w:tcPr>
          <w:p w14:paraId="52B67A8F" w14:textId="77777777" w:rsidR="006835AC" w:rsidRPr="003C0796" w:rsidRDefault="006835AC" w:rsidP="006835AC">
            <w:pPr>
              <w:spacing w:line="240" w:lineRule="auto"/>
              <w:contextualSpacing/>
              <w:rPr>
                <w:rFonts w:ascii="Arial" w:hAnsi="Arial" w:cs="Arial"/>
                <w:b/>
                <w:iCs/>
                <w:sz w:val="20"/>
              </w:rPr>
            </w:pPr>
            <w:r w:rsidRPr="003C0796">
              <w:rPr>
                <w:rFonts w:ascii="Arial" w:hAnsi="Arial" w:cs="Arial"/>
                <w:b/>
                <w:iCs/>
                <w:sz w:val="20"/>
              </w:rPr>
              <w:t>The ACT</w:t>
            </w:r>
          </w:p>
        </w:tc>
        <w:tc>
          <w:tcPr>
            <w:tcW w:w="1195" w:type="dxa"/>
            <w:shd w:val="clear" w:color="auto" w:fill="ACB9CA" w:themeFill="text2" w:themeFillTint="66"/>
          </w:tcPr>
          <w:p w14:paraId="3D88A939" w14:textId="77777777" w:rsidR="006835AC" w:rsidRPr="003C0796" w:rsidRDefault="006835AC" w:rsidP="006835AC">
            <w:pPr>
              <w:spacing w:line="240" w:lineRule="auto"/>
              <w:contextualSpacing/>
              <w:rPr>
                <w:rFonts w:ascii="Arial" w:hAnsi="Arial" w:cs="Arial"/>
                <w:b/>
                <w:iCs/>
                <w:sz w:val="20"/>
              </w:rPr>
            </w:pPr>
            <w:r w:rsidRPr="003C0796">
              <w:rPr>
                <w:rFonts w:ascii="Arial" w:hAnsi="Arial" w:cs="Arial"/>
                <w:b/>
                <w:iCs/>
                <w:sz w:val="20"/>
              </w:rPr>
              <w:t>WorkKeys</w:t>
            </w:r>
          </w:p>
        </w:tc>
      </w:tr>
      <w:tr w:rsidR="006835AC" w:rsidRPr="003C0796" w14:paraId="7D2C7277" w14:textId="77777777" w:rsidTr="00897AB5">
        <w:trPr>
          <w:trHeight w:val="746"/>
          <w:jc w:val="center"/>
        </w:trPr>
        <w:tc>
          <w:tcPr>
            <w:tcW w:w="5591" w:type="dxa"/>
          </w:tcPr>
          <w:p w14:paraId="77F2858D" w14:textId="62252A1D" w:rsidR="006835AC" w:rsidRPr="003C0796" w:rsidRDefault="006835AC" w:rsidP="00AA75D8">
            <w:pPr>
              <w:spacing w:line="240" w:lineRule="auto"/>
              <w:contextualSpacing/>
              <w:rPr>
                <w:rFonts w:ascii="Arial" w:hAnsi="Arial" w:cs="Arial"/>
                <w:iCs/>
                <w:sz w:val="20"/>
              </w:rPr>
            </w:pPr>
            <w:r w:rsidRPr="003C0796">
              <w:rPr>
                <w:rFonts w:ascii="Arial" w:hAnsi="Arial" w:cs="Arial"/>
                <w:iCs/>
                <w:sz w:val="20"/>
              </w:rPr>
              <w:t xml:space="preserve">Students with a medical exception </w:t>
            </w:r>
            <w:r w:rsidR="00CD5F7C" w:rsidRPr="003C0796">
              <w:rPr>
                <w:rFonts w:ascii="Arial" w:hAnsi="Arial" w:cs="Arial"/>
                <w:iCs/>
                <w:sz w:val="20"/>
              </w:rPr>
              <w:t xml:space="preserve">approved by the Office of Accountability and Testing </w:t>
            </w:r>
            <w:r w:rsidRPr="003C0796">
              <w:rPr>
                <w:rFonts w:ascii="Arial" w:hAnsi="Arial" w:cs="Arial"/>
                <w:iCs/>
                <w:sz w:val="20"/>
              </w:rPr>
              <w:t>do not count for or against participation calculations.</w:t>
            </w:r>
          </w:p>
        </w:tc>
        <w:tc>
          <w:tcPr>
            <w:tcW w:w="735" w:type="dxa"/>
            <w:vAlign w:val="center"/>
          </w:tcPr>
          <w:p w14:paraId="2DFA6C0F" w14:textId="36C031FF" w:rsidR="006835AC" w:rsidRPr="003C0796" w:rsidRDefault="00B1664B" w:rsidP="006835AC">
            <w:pPr>
              <w:spacing w:line="240" w:lineRule="auto"/>
              <w:contextualSpacing/>
              <w:jc w:val="center"/>
              <w:rPr>
                <w:rFonts w:ascii="Arial" w:hAnsi="Arial" w:cs="Arial"/>
                <w:b/>
                <w:iCs/>
                <w:sz w:val="20"/>
              </w:rPr>
            </w:pPr>
            <w:r w:rsidRPr="003C0796">
              <w:rPr>
                <w:rFonts w:ascii="Arial" w:hAnsi="Arial" w:cs="Arial"/>
                <w:iCs/>
                <w:noProof/>
                <w:sz w:val="20"/>
              </w:rPr>
              <w:t>Yes</w:t>
            </w:r>
          </w:p>
        </w:tc>
        <w:tc>
          <w:tcPr>
            <w:tcW w:w="735" w:type="dxa"/>
            <w:vAlign w:val="center"/>
          </w:tcPr>
          <w:p w14:paraId="7B103C69" w14:textId="20749F98" w:rsidR="006835AC" w:rsidRPr="003C0796" w:rsidRDefault="00B1664B" w:rsidP="006835AC">
            <w:pPr>
              <w:spacing w:line="240" w:lineRule="auto"/>
              <w:contextualSpacing/>
              <w:jc w:val="center"/>
              <w:rPr>
                <w:rFonts w:ascii="Arial" w:hAnsi="Arial" w:cs="Arial"/>
                <w:b/>
                <w:iCs/>
                <w:sz w:val="20"/>
              </w:rPr>
            </w:pPr>
            <w:r w:rsidRPr="003C0796">
              <w:rPr>
                <w:rFonts w:ascii="Arial" w:hAnsi="Arial" w:cs="Arial"/>
                <w:iCs/>
                <w:noProof/>
                <w:sz w:val="20"/>
              </w:rPr>
              <w:t>Yes</w:t>
            </w:r>
          </w:p>
        </w:tc>
        <w:tc>
          <w:tcPr>
            <w:tcW w:w="1094" w:type="dxa"/>
            <w:vAlign w:val="center"/>
          </w:tcPr>
          <w:p w14:paraId="38EA747E" w14:textId="09C3D8CB" w:rsidR="006835AC" w:rsidRPr="003C0796" w:rsidRDefault="00B1664B" w:rsidP="006835AC">
            <w:pPr>
              <w:spacing w:line="240" w:lineRule="auto"/>
              <w:contextualSpacing/>
              <w:jc w:val="center"/>
              <w:rPr>
                <w:rFonts w:ascii="Arial" w:hAnsi="Arial" w:cs="Arial"/>
                <w:b/>
                <w:iCs/>
                <w:sz w:val="20"/>
              </w:rPr>
            </w:pPr>
            <w:r w:rsidRPr="003C0796">
              <w:rPr>
                <w:rFonts w:ascii="Arial" w:hAnsi="Arial" w:cs="Arial"/>
                <w:iCs/>
                <w:noProof/>
                <w:sz w:val="20"/>
              </w:rPr>
              <w:t>Yes</w:t>
            </w:r>
          </w:p>
        </w:tc>
        <w:tc>
          <w:tcPr>
            <w:tcW w:w="1195" w:type="dxa"/>
            <w:vAlign w:val="center"/>
          </w:tcPr>
          <w:p w14:paraId="1583D26E" w14:textId="199076A9" w:rsidR="006835AC" w:rsidRPr="003C0796" w:rsidRDefault="00B1664B" w:rsidP="006835AC">
            <w:pPr>
              <w:spacing w:line="240" w:lineRule="auto"/>
              <w:contextualSpacing/>
              <w:jc w:val="center"/>
              <w:rPr>
                <w:rFonts w:ascii="Arial" w:hAnsi="Arial" w:cs="Arial"/>
                <w:b/>
                <w:iCs/>
                <w:sz w:val="20"/>
              </w:rPr>
            </w:pPr>
            <w:r w:rsidRPr="003C0796">
              <w:rPr>
                <w:rFonts w:ascii="Arial" w:hAnsi="Arial" w:cs="Arial"/>
                <w:iCs/>
                <w:noProof/>
                <w:sz w:val="20"/>
              </w:rPr>
              <w:t>Yes</w:t>
            </w:r>
          </w:p>
        </w:tc>
      </w:tr>
      <w:tr w:rsidR="006835AC" w:rsidRPr="003C0796" w14:paraId="2F1CED30" w14:textId="77777777" w:rsidTr="00897AB5">
        <w:trPr>
          <w:trHeight w:val="764"/>
          <w:jc w:val="center"/>
        </w:trPr>
        <w:tc>
          <w:tcPr>
            <w:tcW w:w="5591" w:type="dxa"/>
          </w:tcPr>
          <w:p w14:paraId="2D303B63" w14:textId="4DA14249" w:rsidR="006835AC" w:rsidRPr="003C0796" w:rsidRDefault="006E5A99" w:rsidP="00AA75D8">
            <w:pPr>
              <w:spacing w:line="240" w:lineRule="auto"/>
              <w:contextualSpacing/>
              <w:rPr>
                <w:rFonts w:ascii="Arial" w:hAnsi="Arial" w:cs="Arial"/>
                <w:iCs/>
                <w:sz w:val="20"/>
              </w:rPr>
            </w:pPr>
            <w:r w:rsidRPr="003C0796">
              <w:rPr>
                <w:rFonts w:ascii="Arial" w:hAnsi="Arial" w:cs="Arial"/>
                <w:iCs/>
                <w:sz w:val="20"/>
              </w:rPr>
              <w:t xml:space="preserve">Grade 11 repeaters who have a previous </w:t>
            </w:r>
            <w:proofErr w:type="gramStart"/>
            <w:r w:rsidRPr="003C0796">
              <w:rPr>
                <w:rFonts w:ascii="Arial" w:hAnsi="Arial" w:cs="Arial"/>
                <w:iCs/>
                <w:sz w:val="20"/>
              </w:rPr>
              <w:t>The ACT</w:t>
            </w:r>
            <w:proofErr w:type="gramEnd"/>
            <w:r w:rsidRPr="003C0796">
              <w:rPr>
                <w:rFonts w:ascii="Arial" w:hAnsi="Arial" w:cs="Arial"/>
                <w:iCs/>
                <w:sz w:val="20"/>
              </w:rPr>
              <w:t xml:space="preserve"> score do not count for or against participation, as they are not eligible to test.</w:t>
            </w:r>
          </w:p>
        </w:tc>
        <w:tc>
          <w:tcPr>
            <w:tcW w:w="735" w:type="dxa"/>
            <w:shd w:val="clear" w:color="auto" w:fill="FFFFFF" w:themeFill="background1"/>
            <w:vAlign w:val="center"/>
          </w:tcPr>
          <w:p w14:paraId="2E631E0E" w14:textId="7B35AC6A" w:rsidR="006835AC" w:rsidRPr="003C0796" w:rsidRDefault="002A12F1" w:rsidP="002A12F1">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735" w:type="dxa"/>
            <w:shd w:val="clear" w:color="auto" w:fill="FFFFFF" w:themeFill="background1"/>
            <w:vAlign w:val="center"/>
          </w:tcPr>
          <w:p w14:paraId="2B84D7CD" w14:textId="55244D07" w:rsidR="006835AC" w:rsidRPr="003C0796" w:rsidRDefault="002A12F1" w:rsidP="002A12F1">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1094" w:type="dxa"/>
            <w:vAlign w:val="center"/>
          </w:tcPr>
          <w:p w14:paraId="2257AFB6" w14:textId="63696A1D" w:rsidR="006835AC" w:rsidRPr="003C0796" w:rsidRDefault="00B1664B" w:rsidP="002A12F1">
            <w:pPr>
              <w:widowControl w:val="0"/>
              <w:autoSpaceDE w:val="0"/>
              <w:autoSpaceDN w:val="0"/>
              <w:spacing w:line="240" w:lineRule="auto"/>
              <w:contextualSpacing/>
              <w:jc w:val="center"/>
              <w:rPr>
                <w:rFonts w:ascii="Arial" w:eastAsia="Calibri" w:hAnsi="Arial" w:cs="Arial"/>
                <w:color w:val="auto"/>
                <w:sz w:val="20"/>
                <w:lang w:bidi="en-US"/>
              </w:rPr>
            </w:pPr>
            <w:r w:rsidRPr="003C0796">
              <w:rPr>
                <w:rFonts w:ascii="Arial" w:hAnsi="Arial" w:cs="Arial"/>
                <w:iCs/>
                <w:noProof/>
                <w:sz w:val="20"/>
              </w:rPr>
              <w:t>Yes</w:t>
            </w:r>
          </w:p>
        </w:tc>
        <w:tc>
          <w:tcPr>
            <w:tcW w:w="1195" w:type="dxa"/>
            <w:shd w:val="clear" w:color="auto" w:fill="FFFFFF" w:themeFill="background1"/>
            <w:vAlign w:val="center"/>
          </w:tcPr>
          <w:p w14:paraId="18FCA399" w14:textId="6CABDC62" w:rsidR="006835AC" w:rsidRPr="003C0796" w:rsidRDefault="002A12F1" w:rsidP="002A12F1">
            <w:pPr>
              <w:spacing w:line="240" w:lineRule="auto"/>
              <w:contextualSpacing/>
              <w:jc w:val="center"/>
              <w:rPr>
                <w:rFonts w:ascii="Arial" w:hAnsi="Arial" w:cs="Arial"/>
                <w:b/>
                <w:iCs/>
                <w:sz w:val="20"/>
              </w:rPr>
            </w:pPr>
            <w:r w:rsidRPr="003C0796">
              <w:rPr>
                <w:rFonts w:ascii="Arial" w:hAnsi="Arial" w:cs="Arial"/>
                <w:b/>
                <w:iCs/>
                <w:color w:val="auto"/>
                <w:sz w:val="20"/>
              </w:rPr>
              <w:t>-</w:t>
            </w:r>
          </w:p>
        </w:tc>
      </w:tr>
      <w:tr w:rsidR="002A12F1" w:rsidRPr="003C0796" w14:paraId="2128305B" w14:textId="77777777" w:rsidTr="002A12F1">
        <w:trPr>
          <w:trHeight w:val="764"/>
          <w:jc w:val="center"/>
        </w:trPr>
        <w:tc>
          <w:tcPr>
            <w:tcW w:w="5591" w:type="dxa"/>
          </w:tcPr>
          <w:p w14:paraId="6C3A07FE" w14:textId="273C3E96" w:rsidR="002A12F1" w:rsidRPr="003C0796" w:rsidRDefault="002A12F1" w:rsidP="00AA75D8">
            <w:pPr>
              <w:spacing w:line="240" w:lineRule="auto"/>
              <w:contextualSpacing/>
              <w:rPr>
                <w:rFonts w:ascii="Arial" w:hAnsi="Arial" w:cs="Arial"/>
                <w:iCs/>
                <w:sz w:val="20"/>
              </w:rPr>
            </w:pPr>
            <w:r w:rsidRPr="003C0796">
              <w:rPr>
                <w:rFonts w:ascii="Arial" w:hAnsi="Arial" w:cs="Arial"/>
                <w:iCs/>
                <w:sz w:val="20"/>
              </w:rPr>
              <w:t xml:space="preserve">Students who graduate in grade 11 and </w:t>
            </w:r>
            <w:proofErr w:type="gramStart"/>
            <w:r w:rsidRPr="003C0796">
              <w:rPr>
                <w:rFonts w:ascii="Arial" w:hAnsi="Arial" w:cs="Arial"/>
                <w:iCs/>
                <w:sz w:val="20"/>
              </w:rPr>
              <w:t>never</w:t>
            </w:r>
            <w:proofErr w:type="gramEnd"/>
            <w:r w:rsidRPr="003C0796">
              <w:rPr>
                <w:rFonts w:ascii="Arial" w:hAnsi="Arial" w:cs="Arial"/>
                <w:iCs/>
                <w:sz w:val="20"/>
              </w:rPr>
              <w:t xml:space="preserve"> promoted to grade 12 are not</w:t>
            </w:r>
            <w:r w:rsidRPr="003C0796" w:rsidDel="00D33FFC">
              <w:rPr>
                <w:rFonts w:ascii="Arial" w:hAnsi="Arial" w:cs="Arial"/>
                <w:iCs/>
                <w:sz w:val="20"/>
              </w:rPr>
              <w:t xml:space="preserve"> </w:t>
            </w:r>
            <w:r w:rsidRPr="003C0796">
              <w:rPr>
                <w:rFonts w:ascii="Arial" w:hAnsi="Arial" w:cs="Arial"/>
                <w:iCs/>
                <w:sz w:val="20"/>
              </w:rPr>
              <w:t>included in the grade 12 ACT and WorkKeys accountability measures.</w:t>
            </w:r>
          </w:p>
        </w:tc>
        <w:tc>
          <w:tcPr>
            <w:tcW w:w="735" w:type="dxa"/>
            <w:shd w:val="clear" w:color="auto" w:fill="FFFFFF" w:themeFill="background1"/>
            <w:vAlign w:val="center"/>
          </w:tcPr>
          <w:p w14:paraId="09518141" w14:textId="75783CFA" w:rsidR="002A12F1" w:rsidRPr="003C0796" w:rsidRDefault="002A12F1" w:rsidP="002A12F1">
            <w:pPr>
              <w:spacing w:line="240" w:lineRule="auto"/>
              <w:contextualSpacing/>
              <w:jc w:val="center"/>
              <w:rPr>
                <w:rFonts w:ascii="Arial" w:hAnsi="Arial" w:cs="Arial"/>
                <w:b/>
                <w:iCs/>
                <w:color w:val="FFFFFF" w:themeColor="background1"/>
                <w:sz w:val="20"/>
              </w:rPr>
            </w:pPr>
            <w:r w:rsidRPr="00977C9F">
              <w:rPr>
                <w:rFonts w:ascii="Arial" w:hAnsi="Arial" w:cs="Arial"/>
                <w:b/>
                <w:iCs/>
                <w:color w:val="auto"/>
                <w:sz w:val="20"/>
              </w:rPr>
              <w:t>-</w:t>
            </w:r>
          </w:p>
        </w:tc>
        <w:tc>
          <w:tcPr>
            <w:tcW w:w="735" w:type="dxa"/>
            <w:shd w:val="clear" w:color="auto" w:fill="FFFFFF" w:themeFill="background1"/>
            <w:vAlign w:val="center"/>
          </w:tcPr>
          <w:p w14:paraId="16D85655" w14:textId="20C84905" w:rsidR="002A12F1" w:rsidRPr="003C0796" w:rsidRDefault="002A12F1" w:rsidP="002A12F1">
            <w:pPr>
              <w:spacing w:line="240" w:lineRule="auto"/>
              <w:contextualSpacing/>
              <w:jc w:val="center"/>
              <w:rPr>
                <w:rFonts w:ascii="Arial" w:hAnsi="Arial" w:cs="Arial"/>
                <w:b/>
                <w:iCs/>
                <w:color w:val="FFFFFF" w:themeColor="background1"/>
                <w:sz w:val="20"/>
              </w:rPr>
            </w:pPr>
            <w:r w:rsidRPr="00977C9F">
              <w:rPr>
                <w:rFonts w:ascii="Arial" w:hAnsi="Arial" w:cs="Arial"/>
                <w:b/>
                <w:iCs/>
                <w:color w:val="auto"/>
                <w:sz w:val="20"/>
              </w:rPr>
              <w:t>-</w:t>
            </w:r>
          </w:p>
        </w:tc>
        <w:tc>
          <w:tcPr>
            <w:tcW w:w="1094" w:type="dxa"/>
            <w:vAlign w:val="center"/>
          </w:tcPr>
          <w:p w14:paraId="0474CBCE" w14:textId="457A74F9" w:rsidR="002A12F1" w:rsidRPr="003C0796" w:rsidRDefault="002A12F1" w:rsidP="002A12F1">
            <w:pPr>
              <w:widowControl w:val="0"/>
              <w:autoSpaceDE w:val="0"/>
              <w:autoSpaceDN w:val="0"/>
              <w:spacing w:line="240" w:lineRule="auto"/>
              <w:contextualSpacing/>
              <w:jc w:val="center"/>
              <w:rPr>
                <w:rFonts w:ascii="Arial" w:eastAsia="Calibri" w:hAnsi="Arial" w:cs="Arial"/>
                <w:noProof/>
                <w:color w:val="auto"/>
                <w:sz w:val="20"/>
                <w:lang w:bidi="en-US"/>
              </w:rPr>
            </w:pPr>
            <w:r w:rsidRPr="003C0796">
              <w:rPr>
                <w:rFonts w:ascii="Arial" w:hAnsi="Arial" w:cs="Arial"/>
                <w:iCs/>
                <w:noProof/>
                <w:sz w:val="20"/>
              </w:rPr>
              <w:t>Yes</w:t>
            </w:r>
          </w:p>
        </w:tc>
        <w:tc>
          <w:tcPr>
            <w:tcW w:w="1195" w:type="dxa"/>
            <w:vAlign w:val="center"/>
          </w:tcPr>
          <w:p w14:paraId="0FBB57E9" w14:textId="6431FE87" w:rsidR="002A12F1" w:rsidRPr="003C0796" w:rsidRDefault="002A12F1" w:rsidP="002A12F1">
            <w:pPr>
              <w:spacing w:line="240" w:lineRule="auto"/>
              <w:contextualSpacing/>
              <w:jc w:val="center"/>
              <w:rPr>
                <w:rFonts w:ascii="Arial" w:hAnsi="Arial" w:cs="Arial"/>
                <w:b/>
                <w:iCs/>
                <w:sz w:val="20"/>
              </w:rPr>
            </w:pPr>
            <w:r w:rsidRPr="003C0796">
              <w:rPr>
                <w:rFonts w:ascii="Arial" w:hAnsi="Arial" w:cs="Arial"/>
                <w:iCs/>
                <w:noProof/>
                <w:sz w:val="20"/>
              </w:rPr>
              <w:t>Yes</w:t>
            </w:r>
          </w:p>
        </w:tc>
      </w:tr>
    </w:tbl>
    <w:p w14:paraId="6A566CB8" w14:textId="77777777" w:rsidR="006835AC" w:rsidRPr="003C0796" w:rsidRDefault="006835AC" w:rsidP="006835AC">
      <w:pPr>
        <w:rPr>
          <w:rFonts w:ascii="Arial" w:hAnsi="Arial" w:cs="Arial"/>
          <w:sz w:val="20"/>
        </w:rPr>
      </w:pPr>
    </w:p>
    <w:p w14:paraId="43E2B3D2" w14:textId="3D9A4A4A" w:rsidR="00A55DAF" w:rsidRPr="003C0796" w:rsidRDefault="00A55DAF" w:rsidP="00A55DAF">
      <w:pPr>
        <w:spacing w:line="240" w:lineRule="auto"/>
        <w:contextualSpacing/>
        <w:rPr>
          <w:rFonts w:ascii="Arial" w:hAnsi="Arial" w:cs="Arial"/>
          <w:sz w:val="20"/>
        </w:rPr>
      </w:pPr>
      <w:r w:rsidRPr="003C0796">
        <w:rPr>
          <w:rFonts w:ascii="Arial" w:hAnsi="Arial" w:cs="Arial"/>
          <w:sz w:val="20"/>
        </w:rPr>
        <w:t>TABLE 3.8.1. Condition under which a student missing a regular administration test score counts as nonparticipant</w:t>
      </w:r>
    </w:p>
    <w:tbl>
      <w:tblPr>
        <w:tblStyle w:val="TableGrid"/>
        <w:tblW w:w="0" w:type="auto"/>
        <w:tblLook w:val="04A0" w:firstRow="1" w:lastRow="0" w:firstColumn="1" w:lastColumn="0" w:noHBand="0" w:noVBand="1"/>
      </w:tblPr>
      <w:tblGrid>
        <w:gridCol w:w="5587"/>
        <w:gridCol w:w="735"/>
        <w:gridCol w:w="735"/>
        <w:gridCol w:w="1093"/>
        <w:gridCol w:w="1195"/>
      </w:tblGrid>
      <w:tr w:rsidR="00A55DAF" w:rsidRPr="003C0796" w14:paraId="4FF472F5" w14:textId="77777777" w:rsidTr="00A55DAF">
        <w:trPr>
          <w:trHeight w:val="260"/>
        </w:trPr>
        <w:tc>
          <w:tcPr>
            <w:tcW w:w="55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31FE194" w14:textId="77777777" w:rsidR="00A55DAF" w:rsidRPr="003C0796" w:rsidRDefault="00A55DAF" w:rsidP="00C435B7">
            <w:pPr>
              <w:spacing w:line="240" w:lineRule="auto"/>
              <w:contextualSpacing/>
              <w:rPr>
                <w:rFonts w:ascii="Arial" w:hAnsi="Arial" w:cs="Arial"/>
                <w:b/>
                <w:iCs/>
                <w:sz w:val="20"/>
              </w:rPr>
            </w:pPr>
            <w:r w:rsidRPr="003C0796">
              <w:rPr>
                <w:rFonts w:ascii="Arial" w:hAnsi="Arial" w:cs="Arial"/>
                <w:b/>
                <w:iCs/>
                <w:sz w:val="20"/>
              </w:rPr>
              <w:t>Condition</w:t>
            </w:r>
          </w:p>
        </w:tc>
        <w:tc>
          <w:tcPr>
            <w:tcW w:w="7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91DD803" w14:textId="77777777" w:rsidR="00A55DAF" w:rsidRPr="003C0796" w:rsidRDefault="00A55DAF" w:rsidP="00C435B7">
            <w:pPr>
              <w:spacing w:line="240" w:lineRule="auto"/>
              <w:contextualSpacing/>
              <w:rPr>
                <w:rFonts w:ascii="Arial" w:hAnsi="Arial" w:cs="Arial"/>
                <w:b/>
                <w:iCs/>
                <w:sz w:val="20"/>
              </w:rPr>
            </w:pPr>
            <w:r w:rsidRPr="003C0796">
              <w:rPr>
                <w:rFonts w:ascii="Arial" w:hAnsi="Arial" w:cs="Arial"/>
                <w:b/>
                <w:iCs/>
                <w:sz w:val="20"/>
              </w:rPr>
              <w:t>EOG</w:t>
            </w:r>
          </w:p>
        </w:tc>
        <w:tc>
          <w:tcPr>
            <w:tcW w:w="7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8F4BEA2" w14:textId="77777777" w:rsidR="00A55DAF" w:rsidRPr="003C0796" w:rsidRDefault="00A55DAF" w:rsidP="00C435B7">
            <w:pPr>
              <w:spacing w:line="240" w:lineRule="auto"/>
              <w:contextualSpacing/>
              <w:rPr>
                <w:rFonts w:ascii="Arial" w:hAnsi="Arial" w:cs="Arial"/>
                <w:b/>
                <w:iCs/>
                <w:sz w:val="20"/>
              </w:rPr>
            </w:pPr>
            <w:r w:rsidRPr="003C0796">
              <w:rPr>
                <w:rFonts w:ascii="Arial" w:hAnsi="Arial" w:cs="Arial"/>
                <w:b/>
                <w:iCs/>
                <w:sz w:val="20"/>
              </w:rPr>
              <w:t>EOC</w:t>
            </w:r>
          </w:p>
        </w:tc>
        <w:tc>
          <w:tcPr>
            <w:tcW w:w="109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0423AFF" w14:textId="77777777" w:rsidR="00A55DAF" w:rsidRPr="003C0796" w:rsidRDefault="00A55DAF" w:rsidP="00C435B7">
            <w:pPr>
              <w:spacing w:line="240" w:lineRule="auto"/>
              <w:contextualSpacing/>
              <w:rPr>
                <w:rFonts w:ascii="Arial" w:hAnsi="Arial" w:cs="Arial"/>
                <w:b/>
                <w:iCs/>
                <w:sz w:val="20"/>
              </w:rPr>
            </w:pPr>
            <w:r w:rsidRPr="003C0796">
              <w:rPr>
                <w:rFonts w:ascii="Arial" w:hAnsi="Arial" w:cs="Arial"/>
                <w:b/>
                <w:iCs/>
                <w:sz w:val="20"/>
              </w:rPr>
              <w:t>The ACT</w:t>
            </w:r>
          </w:p>
        </w:tc>
        <w:tc>
          <w:tcPr>
            <w:tcW w:w="119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7DE2313" w14:textId="77777777" w:rsidR="00A55DAF" w:rsidRPr="003C0796" w:rsidRDefault="00A55DAF" w:rsidP="00C435B7">
            <w:pPr>
              <w:spacing w:line="240" w:lineRule="auto"/>
              <w:contextualSpacing/>
              <w:rPr>
                <w:rFonts w:ascii="Arial" w:hAnsi="Arial" w:cs="Arial"/>
                <w:b/>
                <w:iCs/>
                <w:sz w:val="20"/>
              </w:rPr>
            </w:pPr>
            <w:r w:rsidRPr="003C0796">
              <w:rPr>
                <w:rFonts w:ascii="Arial" w:hAnsi="Arial" w:cs="Arial"/>
                <w:b/>
                <w:iCs/>
                <w:sz w:val="20"/>
              </w:rPr>
              <w:t>WorkKeys</w:t>
            </w:r>
          </w:p>
        </w:tc>
      </w:tr>
      <w:tr w:rsidR="00A55DAF" w:rsidRPr="003C0796" w14:paraId="69C1E4F6" w14:textId="77777777" w:rsidTr="002A12F1">
        <w:trPr>
          <w:trHeight w:val="512"/>
        </w:trPr>
        <w:tc>
          <w:tcPr>
            <w:tcW w:w="5587" w:type="dxa"/>
            <w:tcBorders>
              <w:top w:val="single" w:sz="4" w:space="0" w:color="auto"/>
              <w:left w:val="single" w:sz="4" w:space="0" w:color="auto"/>
              <w:bottom w:val="single" w:sz="4" w:space="0" w:color="auto"/>
              <w:right w:val="single" w:sz="4" w:space="0" w:color="auto"/>
            </w:tcBorders>
          </w:tcPr>
          <w:p w14:paraId="70A8E548" w14:textId="77777777" w:rsidR="00A55DAF" w:rsidRPr="003C0796" w:rsidRDefault="00A55DAF" w:rsidP="00AA75D8">
            <w:pPr>
              <w:spacing w:line="240" w:lineRule="auto"/>
              <w:contextualSpacing/>
              <w:rPr>
                <w:rFonts w:ascii="Arial" w:hAnsi="Arial" w:cs="Arial"/>
                <w:iCs/>
                <w:sz w:val="20"/>
              </w:rPr>
            </w:pPr>
            <w:r w:rsidRPr="003C0796">
              <w:rPr>
                <w:rFonts w:ascii="Arial" w:hAnsi="Arial" w:cs="Arial"/>
                <w:iCs/>
                <w:sz w:val="20"/>
              </w:rPr>
              <w:t>Students who are absent from the assessment count in participation calculations as nonparticipants.</w:t>
            </w:r>
          </w:p>
        </w:tc>
        <w:tc>
          <w:tcPr>
            <w:tcW w:w="735" w:type="dxa"/>
            <w:tcBorders>
              <w:top w:val="single" w:sz="4" w:space="0" w:color="auto"/>
              <w:left w:val="single" w:sz="4" w:space="0" w:color="auto"/>
              <w:bottom w:val="single" w:sz="4" w:space="0" w:color="auto"/>
              <w:right w:val="single" w:sz="4" w:space="0" w:color="auto"/>
            </w:tcBorders>
            <w:vAlign w:val="center"/>
          </w:tcPr>
          <w:p w14:paraId="1A70FCC9" w14:textId="77777777" w:rsidR="00A55DAF" w:rsidRPr="003C0796" w:rsidRDefault="00A55DAF" w:rsidP="00C435B7">
            <w:pPr>
              <w:spacing w:line="240" w:lineRule="auto"/>
              <w:contextualSpacing/>
              <w:jc w:val="center"/>
              <w:rPr>
                <w:rFonts w:ascii="Arial" w:hAnsi="Arial" w:cs="Arial"/>
                <w:b/>
                <w:iCs/>
                <w:sz w:val="20"/>
              </w:rPr>
            </w:pPr>
            <w:r w:rsidRPr="003C0796">
              <w:rPr>
                <w:rFonts w:ascii="Arial" w:hAnsi="Arial" w:cs="Arial"/>
                <w:iCs/>
                <w:noProof/>
                <w:sz w:val="20"/>
              </w:rPr>
              <w:t>Yes</w:t>
            </w:r>
          </w:p>
        </w:tc>
        <w:tc>
          <w:tcPr>
            <w:tcW w:w="735" w:type="dxa"/>
            <w:tcBorders>
              <w:top w:val="single" w:sz="4" w:space="0" w:color="auto"/>
              <w:left w:val="single" w:sz="4" w:space="0" w:color="auto"/>
              <w:bottom w:val="single" w:sz="4" w:space="0" w:color="auto"/>
              <w:right w:val="single" w:sz="4" w:space="0" w:color="auto"/>
            </w:tcBorders>
            <w:vAlign w:val="center"/>
          </w:tcPr>
          <w:p w14:paraId="7B9E67C8" w14:textId="77777777" w:rsidR="00A55DAF" w:rsidRPr="003C0796" w:rsidRDefault="00A55DAF" w:rsidP="00C435B7">
            <w:pPr>
              <w:spacing w:line="240" w:lineRule="auto"/>
              <w:contextualSpacing/>
              <w:jc w:val="center"/>
              <w:rPr>
                <w:rFonts w:ascii="Arial" w:hAnsi="Arial" w:cs="Arial"/>
                <w:b/>
                <w:iCs/>
                <w:sz w:val="20"/>
              </w:rPr>
            </w:pPr>
            <w:r w:rsidRPr="003C0796">
              <w:rPr>
                <w:rFonts w:ascii="Arial" w:hAnsi="Arial" w:cs="Arial"/>
                <w:iCs/>
                <w:noProof/>
                <w:sz w:val="20"/>
              </w:rPr>
              <w:t>Yes</w:t>
            </w:r>
          </w:p>
        </w:tc>
        <w:tc>
          <w:tcPr>
            <w:tcW w:w="1093" w:type="dxa"/>
            <w:tcBorders>
              <w:top w:val="single" w:sz="4" w:space="0" w:color="auto"/>
              <w:left w:val="single" w:sz="4" w:space="0" w:color="auto"/>
              <w:bottom w:val="single" w:sz="4" w:space="0" w:color="auto"/>
              <w:right w:val="single" w:sz="4" w:space="0" w:color="auto"/>
            </w:tcBorders>
            <w:vAlign w:val="center"/>
          </w:tcPr>
          <w:p w14:paraId="07006FC7" w14:textId="77777777" w:rsidR="00A55DAF" w:rsidRPr="003C0796" w:rsidRDefault="00A55DAF" w:rsidP="00C435B7">
            <w:pPr>
              <w:spacing w:line="240" w:lineRule="auto"/>
              <w:contextualSpacing/>
              <w:jc w:val="center"/>
              <w:rPr>
                <w:rFonts w:ascii="Arial" w:hAnsi="Arial" w:cs="Arial"/>
                <w:b/>
                <w:iCs/>
                <w:sz w:val="20"/>
              </w:rPr>
            </w:pPr>
            <w:r w:rsidRPr="003C0796">
              <w:rPr>
                <w:rFonts w:ascii="Arial" w:hAnsi="Arial" w:cs="Arial"/>
                <w:iCs/>
                <w:noProof/>
                <w:sz w:val="20"/>
              </w:rPr>
              <w:t>Yes</w:t>
            </w:r>
          </w:p>
        </w:tc>
        <w:tc>
          <w:tcPr>
            <w:tcW w:w="1195" w:type="dxa"/>
            <w:tcBorders>
              <w:top w:val="single" w:sz="4" w:space="0" w:color="auto"/>
              <w:left w:val="single" w:sz="4" w:space="0" w:color="auto"/>
              <w:bottom w:val="single" w:sz="4" w:space="0" w:color="auto"/>
              <w:right w:val="single" w:sz="4" w:space="0" w:color="auto"/>
            </w:tcBorders>
            <w:vAlign w:val="center"/>
          </w:tcPr>
          <w:p w14:paraId="36CCCC2F" w14:textId="77777777" w:rsidR="00A55DAF" w:rsidRPr="003C0796" w:rsidRDefault="00A55DAF" w:rsidP="00C435B7">
            <w:pPr>
              <w:spacing w:line="240" w:lineRule="auto"/>
              <w:contextualSpacing/>
              <w:jc w:val="center"/>
              <w:rPr>
                <w:rFonts w:ascii="Arial" w:hAnsi="Arial" w:cs="Arial"/>
                <w:b/>
                <w:iCs/>
                <w:sz w:val="20"/>
              </w:rPr>
            </w:pPr>
            <w:r w:rsidRPr="003C0796">
              <w:rPr>
                <w:rFonts w:ascii="Arial" w:hAnsi="Arial" w:cs="Arial"/>
                <w:iCs/>
                <w:noProof/>
                <w:sz w:val="20"/>
              </w:rPr>
              <w:t>Yes</w:t>
            </w:r>
          </w:p>
        </w:tc>
      </w:tr>
      <w:tr w:rsidR="00A55DAF" w:rsidRPr="003C0796" w14:paraId="19DADB75" w14:textId="77777777" w:rsidTr="002A12F1">
        <w:trPr>
          <w:trHeight w:val="647"/>
        </w:trPr>
        <w:tc>
          <w:tcPr>
            <w:tcW w:w="5587" w:type="dxa"/>
            <w:tcBorders>
              <w:top w:val="single" w:sz="4" w:space="0" w:color="auto"/>
              <w:left w:val="single" w:sz="4" w:space="0" w:color="auto"/>
              <w:bottom w:val="single" w:sz="4" w:space="0" w:color="auto"/>
              <w:right w:val="single" w:sz="4" w:space="0" w:color="auto"/>
            </w:tcBorders>
          </w:tcPr>
          <w:p w14:paraId="4E79B2EB" w14:textId="77777777" w:rsidR="00A55DAF" w:rsidRPr="003C0796" w:rsidRDefault="00A55DAF" w:rsidP="00AA75D8">
            <w:pPr>
              <w:spacing w:line="240" w:lineRule="auto"/>
              <w:contextualSpacing/>
              <w:rPr>
                <w:rFonts w:ascii="Arial" w:hAnsi="Arial" w:cs="Arial"/>
                <w:iCs/>
                <w:sz w:val="20"/>
              </w:rPr>
            </w:pPr>
            <w:r w:rsidRPr="003C0796">
              <w:rPr>
                <w:rFonts w:ascii="Arial" w:hAnsi="Arial" w:cs="Arial"/>
                <w:iCs/>
                <w:sz w:val="20"/>
              </w:rPr>
              <w:t>Students whose tests were declared a misadministration or are invalidated and did not have an opportunity to test again, count in participation calculations as nonparticipants.</w:t>
            </w:r>
          </w:p>
        </w:tc>
        <w:tc>
          <w:tcPr>
            <w:tcW w:w="735" w:type="dxa"/>
            <w:tcBorders>
              <w:top w:val="single" w:sz="4" w:space="0" w:color="auto"/>
              <w:left w:val="single" w:sz="4" w:space="0" w:color="auto"/>
              <w:bottom w:val="single" w:sz="4" w:space="0" w:color="auto"/>
              <w:right w:val="single" w:sz="4" w:space="0" w:color="auto"/>
            </w:tcBorders>
            <w:vAlign w:val="center"/>
          </w:tcPr>
          <w:p w14:paraId="5FFB671A" w14:textId="734BA28F" w:rsidR="00A55DAF" w:rsidRPr="003C0796" w:rsidRDefault="00A55DAF" w:rsidP="009D50BC">
            <w:pPr>
              <w:widowControl w:val="0"/>
              <w:autoSpaceDE w:val="0"/>
              <w:autoSpaceDN w:val="0"/>
              <w:spacing w:line="240" w:lineRule="auto"/>
              <w:ind w:left="40"/>
              <w:contextualSpacing/>
              <w:jc w:val="center"/>
              <w:rPr>
                <w:rFonts w:ascii="Arial" w:hAnsi="Arial" w:cs="Arial"/>
                <w:b/>
                <w:iCs/>
                <w:sz w:val="20"/>
              </w:rPr>
            </w:pPr>
            <w:r w:rsidRPr="003C0796">
              <w:rPr>
                <w:rFonts w:ascii="Arial" w:hAnsi="Arial" w:cs="Arial"/>
                <w:iCs/>
                <w:noProof/>
                <w:sz w:val="20"/>
              </w:rPr>
              <w:t>Yes</w:t>
            </w:r>
          </w:p>
        </w:tc>
        <w:tc>
          <w:tcPr>
            <w:tcW w:w="735" w:type="dxa"/>
            <w:tcBorders>
              <w:top w:val="single" w:sz="4" w:space="0" w:color="auto"/>
              <w:left w:val="single" w:sz="4" w:space="0" w:color="auto"/>
              <w:bottom w:val="single" w:sz="4" w:space="0" w:color="auto"/>
              <w:right w:val="single" w:sz="4" w:space="0" w:color="auto"/>
            </w:tcBorders>
            <w:vAlign w:val="center"/>
          </w:tcPr>
          <w:p w14:paraId="764B8248" w14:textId="510FF5B2" w:rsidR="00A55DAF" w:rsidRPr="003C0796" w:rsidRDefault="00A55DAF" w:rsidP="009D50BC">
            <w:pPr>
              <w:widowControl w:val="0"/>
              <w:autoSpaceDE w:val="0"/>
              <w:autoSpaceDN w:val="0"/>
              <w:spacing w:line="240" w:lineRule="auto"/>
              <w:ind w:left="40"/>
              <w:contextualSpacing/>
              <w:jc w:val="center"/>
              <w:rPr>
                <w:rFonts w:ascii="Arial" w:hAnsi="Arial" w:cs="Arial"/>
                <w:b/>
                <w:iCs/>
                <w:sz w:val="20"/>
              </w:rPr>
            </w:pPr>
            <w:r w:rsidRPr="003C0796">
              <w:rPr>
                <w:rFonts w:ascii="Arial" w:hAnsi="Arial" w:cs="Arial"/>
                <w:iCs/>
                <w:noProof/>
                <w:sz w:val="20"/>
              </w:rPr>
              <w:t>Yes</w:t>
            </w:r>
          </w:p>
        </w:tc>
        <w:tc>
          <w:tcPr>
            <w:tcW w:w="1093" w:type="dxa"/>
            <w:tcBorders>
              <w:top w:val="single" w:sz="4" w:space="0" w:color="auto"/>
              <w:left w:val="single" w:sz="4" w:space="0" w:color="auto"/>
              <w:bottom w:val="single" w:sz="4" w:space="0" w:color="auto"/>
              <w:right w:val="single" w:sz="4" w:space="0" w:color="auto"/>
            </w:tcBorders>
            <w:vAlign w:val="center"/>
          </w:tcPr>
          <w:p w14:paraId="1738D944" w14:textId="69146D75" w:rsidR="00A55DAF" w:rsidRPr="003C0796" w:rsidRDefault="00A55DAF" w:rsidP="009D50BC">
            <w:pPr>
              <w:widowControl w:val="0"/>
              <w:autoSpaceDE w:val="0"/>
              <w:autoSpaceDN w:val="0"/>
              <w:spacing w:line="240" w:lineRule="auto"/>
              <w:ind w:left="40"/>
              <w:contextualSpacing/>
              <w:jc w:val="center"/>
              <w:rPr>
                <w:rFonts w:ascii="Arial" w:hAnsi="Arial" w:cs="Arial"/>
                <w:b/>
                <w:iCs/>
                <w:sz w:val="20"/>
              </w:rPr>
            </w:pPr>
            <w:r w:rsidRPr="003C0796">
              <w:rPr>
                <w:rFonts w:ascii="Arial" w:hAnsi="Arial" w:cs="Arial"/>
                <w:iCs/>
                <w:noProof/>
                <w:sz w:val="20"/>
              </w:rPr>
              <w:t>Yes</w:t>
            </w:r>
          </w:p>
        </w:tc>
        <w:tc>
          <w:tcPr>
            <w:tcW w:w="1195" w:type="dxa"/>
            <w:tcBorders>
              <w:top w:val="single" w:sz="4" w:space="0" w:color="auto"/>
              <w:left w:val="single" w:sz="4" w:space="0" w:color="auto"/>
              <w:bottom w:val="single" w:sz="4" w:space="0" w:color="auto"/>
              <w:right w:val="single" w:sz="4" w:space="0" w:color="auto"/>
            </w:tcBorders>
            <w:vAlign w:val="center"/>
          </w:tcPr>
          <w:p w14:paraId="55E3A918" w14:textId="23E1BEE6" w:rsidR="00A55DAF" w:rsidRPr="003C0796" w:rsidRDefault="00A55DAF" w:rsidP="009D50BC">
            <w:pPr>
              <w:widowControl w:val="0"/>
              <w:autoSpaceDE w:val="0"/>
              <w:autoSpaceDN w:val="0"/>
              <w:spacing w:line="240" w:lineRule="auto"/>
              <w:ind w:left="50"/>
              <w:contextualSpacing/>
              <w:jc w:val="center"/>
              <w:rPr>
                <w:rFonts w:ascii="Arial" w:hAnsi="Arial" w:cs="Arial"/>
                <w:b/>
                <w:iCs/>
                <w:sz w:val="20"/>
              </w:rPr>
            </w:pPr>
            <w:r w:rsidRPr="003C0796">
              <w:rPr>
                <w:rFonts w:ascii="Arial" w:hAnsi="Arial" w:cs="Arial"/>
                <w:iCs/>
                <w:noProof/>
                <w:sz w:val="20"/>
              </w:rPr>
              <w:t>Yes</w:t>
            </w:r>
          </w:p>
        </w:tc>
      </w:tr>
    </w:tbl>
    <w:p w14:paraId="0EF40EA6" w14:textId="77777777" w:rsidR="00A55DAF" w:rsidRPr="003C0796" w:rsidRDefault="00A55DAF" w:rsidP="006835AC">
      <w:pPr>
        <w:rPr>
          <w:rFonts w:ascii="Arial" w:hAnsi="Arial" w:cs="Arial"/>
          <w:sz w:val="20"/>
        </w:rPr>
      </w:pPr>
    </w:p>
    <w:p w14:paraId="6E2F26DA" w14:textId="428D30EA" w:rsidR="00897AB5" w:rsidRPr="003C0796" w:rsidRDefault="00897AB5" w:rsidP="00897AB5">
      <w:pPr>
        <w:spacing w:line="240" w:lineRule="auto"/>
        <w:contextualSpacing/>
        <w:rPr>
          <w:rFonts w:ascii="Arial" w:hAnsi="Arial" w:cs="Arial"/>
          <w:sz w:val="20"/>
        </w:rPr>
      </w:pPr>
      <w:r w:rsidRPr="003C0796">
        <w:rPr>
          <w:rFonts w:ascii="Arial" w:hAnsi="Arial" w:cs="Arial"/>
          <w:sz w:val="20"/>
        </w:rPr>
        <w:t>TABLE 3.8.</w:t>
      </w:r>
      <w:r w:rsidR="00A55DAF" w:rsidRPr="003C0796">
        <w:rPr>
          <w:rFonts w:ascii="Arial" w:hAnsi="Arial" w:cs="Arial"/>
          <w:sz w:val="20"/>
        </w:rPr>
        <w:t>2</w:t>
      </w:r>
      <w:r w:rsidRPr="003C0796">
        <w:rPr>
          <w:rFonts w:ascii="Arial" w:hAnsi="Arial" w:cs="Arial"/>
          <w:sz w:val="20"/>
        </w:rPr>
        <w:t>.</w:t>
      </w:r>
      <w:r w:rsidR="004A3734" w:rsidRPr="003C0796">
        <w:rPr>
          <w:rFonts w:ascii="Arial" w:hAnsi="Arial" w:cs="Arial"/>
          <w:sz w:val="20"/>
        </w:rPr>
        <w:t xml:space="preserve"> </w:t>
      </w:r>
      <w:r w:rsidRPr="003C0796">
        <w:rPr>
          <w:rFonts w:ascii="Arial" w:hAnsi="Arial" w:cs="Arial"/>
          <w:sz w:val="20"/>
        </w:rPr>
        <w:t xml:space="preserve">Condition under which a student missing a regular administration test score </w:t>
      </w:r>
      <w:r w:rsidR="004A3734" w:rsidRPr="003C0796">
        <w:rPr>
          <w:rFonts w:ascii="Arial" w:hAnsi="Arial" w:cs="Arial"/>
          <w:sz w:val="20"/>
        </w:rPr>
        <w:t>counts as participant</w:t>
      </w:r>
    </w:p>
    <w:tbl>
      <w:tblPr>
        <w:tblStyle w:val="TableGrid"/>
        <w:tblW w:w="0" w:type="auto"/>
        <w:tblLook w:val="04A0" w:firstRow="1" w:lastRow="0" w:firstColumn="1" w:lastColumn="0" w:noHBand="0" w:noVBand="1"/>
      </w:tblPr>
      <w:tblGrid>
        <w:gridCol w:w="5587"/>
        <w:gridCol w:w="735"/>
        <w:gridCol w:w="735"/>
        <w:gridCol w:w="1093"/>
        <w:gridCol w:w="1195"/>
      </w:tblGrid>
      <w:tr w:rsidR="0052327C" w:rsidRPr="003C0796" w14:paraId="64EBCB50" w14:textId="77777777" w:rsidTr="000131F9">
        <w:trPr>
          <w:trHeight w:val="260"/>
        </w:trPr>
        <w:tc>
          <w:tcPr>
            <w:tcW w:w="55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13AB74F" w14:textId="77777777" w:rsidR="0052327C" w:rsidRPr="003C0796" w:rsidRDefault="0052327C" w:rsidP="00C435B7">
            <w:pPr>
              <w:spacing w:line="240" w:lineRule="auto"/>
              <w:contextualSpacing/>
              <w:rPr>
                <w:rFonts w:ascii="Arial" w:hAnsi="Arial" w:cs="Arial"/>
                <w:b/>
                <w:iCs/>
                <w:sz w:val="20"/>
              </w:rPr>
            </w:pPr>
            <w:r w:rsidRPr="003C0796">
              <w:rPr>
                <w:rFonts w:ascii="Arial" w:hAnsi="Arial" w:cs="Arial"/>
                <w:b/>
                <w:iCs/>
                <w:sz w:val="20"/>
              </w:rPr>
              <w:t>Condition</w:t>
            </w:r>
          </w:p>
        </w:tc>
        <w:tc>
          <w:tcPr>
            <w:tcW w:w="7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496F43E" w14:textId="77777777" w:rsidR="0052327C" w:rsidRPr="003C0796" w:rsidRDefault="0052327C" w:rsidP="00C435B7">
            <w:pPr>
              <w:spacing w:line="240" w:lineRule="auto"/>
              <w:contextualSpacing/>
              <w:rPr>
                <w:rFonts w:ascii="Arial" w:hAnsi="Arial" w:cs="Arial"/>
                <w:b/>
                <w:iCs/>
                <w:sz w:val="20"/>
              </w:rPr>
            </w:pPr>
            <w:r w:rsidRPr="003C0796">
              <w:rPr>
                <w:rFonts w:ascii="Arial" w:hAnsi="Arial" w:cs="Arial"/>
                <w:b/>
                <w:iCs/>
                <w:sz w:val="20"/>
              </w:rPr>
              <w:t>EOG</w:t>
            </w:r>
          </w:p>
        </w:tc>
        <w:tc>
          <w:tcPr>
            <w:tcW w:w="73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E24BE3F" w14:textId="77777777" w:rsidR="0052327C" w:rsidRPr="003C0796" w:rsidRDefault="0052327C" w:rsidP="00C435B7">
            <w:pPr>
              <w:spacing w:line="240" w:lineRule="auto"/>
              <w:contextualSpacing/>
              <w:rPr>
                <w:rFonts w:ascii="Arial" w:hAnsi="Arial" w:cs="Arial"/>
                <w:b/>
                <w:iCs/>
                <w:sz w:val="20"/>
              </w:rPr>
            </w:pPr>
            <w:r w:rsidRPr="003C0796">
              <w:rPr>
                <w:rFonts w:ascii="Arial" w:hAnsi="Arial" w:cs="Arial"/>
                <w:b/>
                <w:iCs/>
                <w:sz w:val="20"/>
              </w:rPr>
              <w:t>EOC</w:t>
            </w:r>
          </w:p>
        </w:tc>
        <w:tc>
          <w:tcPr>
            <w:tcW w:w="109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2A36662" w14:textId="77777777" w:rsidR="0052327C" w:rsidRPr="003C0796" w:rsidRDefault="0052327C" w:rsidP="00C435B7">
            <w:pPr>
              <w:spacing w:line="240" w:lineRule="auto"/>
              <w:contextualSpacing/>
              <w:rPr>
                <w:rFonts w:ascii="Arial" w:hAnsi="Arial" w:cs="Arial"/>
                <w:b/>
                <w:iCs/>
                <w:sz w:val="20"/>
              </w:rPr>
            </w:pPr>
            <w:r w:rsidRPr="003C0796">
              <w:rPr>
                <w:rFonts w:ascii="Arial" w:hAnsi="Arial" w:cs="Arial"/>
                <w:b/>
                <w:iCs/>
                <w:sz w:val="20"/>
              </w:rPr>
              <w:t>The ACT</w:t>
            </w:r>
          </w:p>
        </w:tc>
        <w:tc>
          <w:tcPr>
            <w:tcW w:w="119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19B7BDF" w14:textId="77777777" w:rsidR="0052327C" w:rsidRPr="003C0796" w:rsidRDefault="0052327C" w:rsidP="00C435B7">
            <w:pPr>
              <w:spacing w:line="240" w:lineRule="auto"/>
              <w:contextualSpacing/>
              <w:rPr>
                <w:rFonts w:ascii="Arial" w:hAnsi="Arial" w:cs="Arial"/>
                <w:b/>
                <w:iCs/>
                <w:sz w:val="20"/>
              </w:rPr>
            </w:pPr>
            <w:r w:rsidRPr="003C0796">
              <w:rPr>
                <w:rFonts w:ascii="Arial" w:hAnsi="Arial" w:cs="Arial"/>
                <w:b/>
                <w:iCs/>
                <w:sz w:val="20"/>
              </w:rPr>
              <w:t>WorkKeys</w:t>
            </w:r>
          </w:p>
        </w:tc>
      </w:tr>
      <w:tr w:rsidR="004A3734" w:rsidRPr="003C0796" w14:paraId="2D2CC210" w14:textId="77777777" w:rsidTr="000131F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7" w:type="dxa"/>
            <w:tcBorders>
              <w:top w:val="single" w:sz="4" w:space="0" w:color="auto"/>
            </w:tcBorders>
          </w:tcPr>
          <w:p w14:paraId="7F3D0803" w14:textId="77777777" w:rsidR="004A3734" w:rsidRPr="003C0796" w:rsidRDefault="004A3734" w:rsidP="00AA75D8">
            <w:pPr>
              <w:spacing w:line="240" w:lineRule="auto"/>
              <w:contextualSpacing/>
              <w:rPr>
                <w:rFonts w:ascii="Arial" w:hAnsi="Arial" w:cs="Arial"/>
                <w:iCs/>
                <w:sz w:val="20"/>
              </w:rPr>
            </w:pPr>
            <w:r w:rsidRPr="003C0796">
              <w:rPr>
                <w:rFonts w:ascii="Arial" w:hAnsi="Arial" w:cs="Arial"/>
                <w:iCs/>
                <w:sz w:val="20"/>
              </w:rPr>
              <w:t>Students who take at least one part of a multi-part assessment count in participation calculations as participants.</w:t>
            </w:r>
          </w:p>
        </w:tc>
        <w:tc>
          <w:tcPr>
            <w:tcW w:w="735" w:type="dxa"/>
            <w:tcBorders>
              <w:top w:val="single" w:sz="4" w:space="0" w:color="auto"/>
            </w:tcBorders>
            <w:shd w:val="clear" w:color="auto" w:fill="FFFFFF" w:themeFill="background1"/>
            <w:vAlign w:val="center"/>
          </w:tcPr>
          <w:p w14:paraId="63695F56" w14:textId="1150280D" w:rsidR="004A3734" w:rsidRPr="003C0796" w:rsidRDefault="0052327C" w:rsidP="000131F9">
            <w:pPr>
              <w:spacing w:line="240" w:lineRule="auto"/>
              <w:contextualSpacing/>
              <w:jc w:val="center"/>
              <w:rPr>
                <w:rFonts w:ascii="Arial" w:hAnsi="Arial" w:cs="Arial"/>
                <w:b/>
                <w:iCs/>
                <w:color w:val="auto"/>
                <w:sz w:val="20"/>
              </w:rPr>
            </w:pPr>
            <w:r w:rsidRPr="003C0796">
              <w:rPr>
                <w:rFonts w:ascii="Arial" w:hAnsi="Arial" w:cs="Arial"/>
                <w:b/>
                <w:iCs/>
                <w:color w:val="auto"/>
                <w:sz w:val="20"/>
              </w:rPr>
              <w:t>-</w:t>
            </w:r>
          </w:p>
        </w:tc>
        <w:tc>
          <w:tcPr>
            <w:tcW w:w="735" w:type="dxa"/>
            <w:tcBorders>
              <w:top w:val="single" w:sz="4" w:space="0" w:color="auto"/>
            </w:tcBorders>
            <w:shd w:val="clear" w:color="auto" w:fill="FFFFFF" w:themeFill="background1"/>
            <w:vAlign w:val="center"/>
          </w:tcPr>
          <w:p w14:paraId="5C7B5702" w14:textId="4DC31033" w:rsidR="004A3734" w:rsidRPr="003C0796" w:rsidRDefault="000131F9" w:rsidP="000131F9">
            <w:pPr>
              <w:spacing w:line="240" w:lineRule="auto"/>
              <w:contextualSpacing/>
              <w:jc w:val="center"/>
              <w:rPr>
                <w:rFonts w:ascii="Arial" w:hAnsi="Arial" w:cs="Arial"/>
                <w:b/>
                <w:iCs/>
                <w:color w:val="auto"/>
                <w:sz w:val="20"/>
              </w:rPr>
            </w:pPr>
            <w:r w:rsidRPr="003C0796">
              <w:rPr>
                <w:rFonts w:ascii="Arial" w:hAnsi="Arial" w:cs="Arial"/>
                <w:b/>
                <w:iCs/>
                <w:color w:val="auto"/>
                <w:sz w:val="20"/>
              </w:rPr>
              <w:t>-</w:t>
            </w:r>
          </w:p>
        </w:tc>
        <w:tc>
          <w:tcPr>
            <w:tcW w:w="1093" w:type="dxa"/>
            <w:tcBorders>
              <w:top w:val="single" w:sz="4" w:space="0" w:color="auto"/>
            </w:tcBorders>
            <w:vAlign w:val="center"/>
          </w:tcPr>
          <w:p w14:paraId="02C5CFBB" w14:textId="77777777" w:rsidR="004A3734" w:rsidRPr="003C0796" w:rsidRDefault="004A3734" w:rsidP="00C435B7">
            <w:pPr>
              <w:spacing w:line="240" w:lineRule="auto"/>
              <w:contextualSpacing/>
              <w:jc w:val="center"/>
              <w:rPr>
                <w:rFonts w:ascii="Arial" w:hAnsi="Arial" w:cs="Arial"/>
                <w:b/>
                <w:iCs/>
                <w:sz w:val="20"/>
              </w:rPr>
            </w:pPr>
            <w:r w:rsidRPr="003C0796">
              <w:rPr>
                <w:rFonts w:ascii="Arial" w:hAnsi="Arial" w:cs="Arial"/>
                <w:iCs/>
                <w:noProof/>
                <w:sz w:val="20"/>
              </w:rPr>
              <w:t>Yes</w:t>
            </w:r>
          </w:p>
        </w:tc>
        <w:tc>
          <w:tcPr>
            <w:tcW w:w="1195" w:type="dxa"/>
            <w:tcBorders>
              <w:top w:val="single" w:sz="4" w:space="0" w:color="auto"/>
            </w:tcBorders>
            <w:vAlign w:val="center"/>
          </w:tcPr>
          <w:p w14:paraId="79BEF0E7" w14:textId="77777777" w:rsidR="004A3734" w:rsidRPr="003C0796" w:rsidRDefault="004A3734" w:rsidP="00C435B7">
            <w:pPr>
              <w:spacing w:line="240" w:lineRule="auto"/>
              <w:contextualSpacing/>
              <w:jc w:val="center"/>
              <w:rPr>
                <w:rFonts w:ascii="Arial" w:hAnsi="Arial" w:cs="Arial"/>
                <w:b/>
                <w:iCs/>
                <w:sz w:val="20"/>
              </w:rPr>
            </w:pPr>
            <w:r w:rsidRPr="003C0796">
              <w:rPr>
                <w:rFonts w:ascii="Arial" w:hAnsi="Arial" w:cs="Arial"/>
                <w:iCs/>
                <w:noProof/>
                <w:sz w:val="20"/>
              </w:rPr>
              <w:t>Yes</w:t>
            </w:r>
          </w:p>
        </w:tc>
      </w:tr>
      <w:tr w:rsidR="004A3734" w:rsidRPr="003C0796" w14:paraId="157899C8" w14:textId="77777777" w:rsidTr="000131F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8"/>
          <w:jc w:val="center"/>
        </w:trPr>
        <w:tc>
          <w:tcPr>
            <w:tcW w:w="5587" w:type="dxa"/>
          </w:tcPr>
          <w:p w14:paraId="291D98D6" w14:textId="77777777" w:rsidR="004A3734" w:rsidRPr="003C0796" w:rsidRDefault="004A3734" w:rsidP="00AA75D8">
            <w:pPr>
              <w:spacing w:line="240" w:lineRule="auto"/>
              <w:contextualSpacing/>
              <w:rPr>
                <w:rFonts w:ascii="Arial" w:hAnsi="Arial" w:cs="Arial"/>
                <w:iCs/>
                <w:sz w:val="20"/>
              </w:rPr>
            </w:pPr>
            <w:r w:rsidRPr="003C0796">
              <w:rPr>
                <w:rFonts w:ascii="Arial" w:hAnsi="Arial" w:cs="Arial"/>
                <w:iCs/>
                <w:sz w:val="20"/>
              </w:rPr>
              <w:t xml:space="preserve">Students who meet the eligibility requirements and take the NCEXTEND1 alternate assessment count in participation calculations as participants </w:t>
            </w:r>
          </w:p>
        </w:tc>
        <w:tc>
          <w:tcPr>
            <w:tcW w:w="735" w:type="dxa"/>
            <w:vAlign w:val="center"/>
          </w:tcPr>
          <w:p w14:paraId="10E01B21" w14:textId="5F9DE9D9" w:rsidR="004A3734" w:rsidRPr="003C0796" w:rsidRDefault="004A3734" w:rsidP="003E7EBA">
            <w:pPr>
              <w:widowControl w:val="0"/>
              <w:autoSpaceDE w:val="0"/>
              <w:autoSpaceDN w:val="0"/>
              <w:spacing w:line="240" w:lineRule="auto"/>
              <w:ind w:left="40"/>
              <w:contextualSpacing/>
              <w:jc w:val="center"/>
              <w:rPr>
                <w:rFonts w:ascii="Arial" w:hAnsi="Arial" w:cs="Arial"/>
                <w:b/>
                <w:iCs/>
                <w:sz w:val="20"/>
              </w:rPr>
            </w:pPr>
            <w:r w:rsidRPr="003C0796">
              <w:rPr>
                <w:rFonts w:ascii="Arial" w:hAnsi="Arial" w:cs="Arial"/>
                <w:iCs/>
                <w:noProof/>
                <w:sz w:val="20"/>
              </w:rPr>
              <w:t>Yes</w:t>
            </w:r>
          </w:p>
        </w:tc>
        <w:tc>
          <w:tcPr>
            <w:tcW w:w="735" w:type="dxa"/>
            <w:vAlign w:val="center"/>
          </w:tcPr>
          <w:p w14:paraId="4C20661B" w14:textId="2B065F35" w:rsidR="004A3734" w:rsidRPr="003C0796" w:rsidRDefault="004A3734" w:rsidP="003E7EBA">
            <w:pPr>
              <w:widowControl w:val="0"/>
              <w:autoSpaceDE w:val="0"/>
              <w:autoSpaceDN w:val="0"/>
              <w:spacing w:line="240" w:lineRule="auto"/>
              <w:ind w:left="40"/>
              <w:contextualSpacing/>
              <w:jc w:val="center"/>
              <w:rPr>
                <w:rFonts w:ascii="Arial" w:hAnsi="Arial" w:cs="Arial"/>
                <w:b/>
                <w:iCs/>
                <w:sz w:val="20"/>
              </w:rPr>
            </w:pPr>
            <w:r w:rsidRPr="003C0796">
              <w:rPr>
                <w:rFonts w:ascii="Arial" w:hAnsi="Arial" w:cs="Arial"/>
                <w:iCs/>
                <w:noProof/>
                <w:sz w:val="20"/>
              </w:rPr>
              <w:t>Yes</w:t>
            </w:r>
          </w:p>
        </w:tc>
        <w:tc>
          <w:tcPr>
            <w:tcW w:w="1093" w:type="dxa"/>
            <w:vAlign w:val="center"/>
          </w:tcPr>
          <w:p w14:paraId="5764546A" w14:textId="75FE1CC1" w:rsidR="004A3734" w:rsidRPr="003C0796" w:rsidRDefault="004A3734" w:rsidP="003E7EBA">
            <w:pPr>
              <w:widowControl w:val="0"/>
              <w:autoSpaceDE w:val="0"/>
              <w:autoSpaceDN w:val="0"/>
              <w:spacing w:line="240" w:lineRule="auto"/>
              <w:ind w:left="-50"/>
              <w:contextualSpacing/>
              <w:jc w:val="center"/>
              <w:rPr>
                <w:rFonts w:ascii="Arial" w:hAnsi="Arial" w:cs="Arial"/>
                <w:b/>
                <w:iCs/>
                <w:sz w:val="20"/>
              </w:rPr>
            </w:pPr>
            <w:r w:rsidRPr="003C0796">
              <w:rPr>
                <w:rFonts w:ascii="Arial" w:hAnsi="Arial" w:cs="Arial"/>
                <w:iCs/>
                <w:noProof/>
                <w:sz w:val="20"/>
              </w:rPr>
              <w:t>Yes</w:t>
            </w:r>
          </w:p>
        </w:tc>
        <w:tc>
          <w:tcPr>
            <w:tcW w:w="1195" w:type="dxa"/>
            <w:shd w:val="clear" w:color="auto" w:fill="FFFFFF" w:themeFill="background1"/>
            <w:vAlign w:val="center"/>
          </w:tcPr>
          <w:p w14:paraId="3F074897" w14:textId="6997F152" w:rsidR="004A3734" w:rsidRPr="003C0796" w:rsidRDefault="000131F9" w:rsidP="00C435B7">
            <w:pPr>
              <w:spacing w:line="240" w:lineRule="auto"/>
              <w:contextualSpacing/>
              <w:jc w:val="center"/>
              <w:rPr>
                <w:rFonts w:ascii="Arial" w:hAnsi="Arial" w:cs="Arial"/>
                <w:b/>
                <w:iCs/>
                <w:sz w:val="20"/>
              </w:rPr>
            </w:pPr>
            <w:r w:rsidRPr="003C0796">
              <w:rPr>
                <w:rFonts w:ascii="Arial" w:hAnsi="Arial" w:cs="Arial"/>
                <w:b/>
                <w:iCs/>
                <w:color w:val="auto"/>
                <w:sz w:val="20"/>
              </w:rPr>
              <w:t>-</w:t>
            </w:r>
          </w:p>
        </w:tc>
      </w:tr>
      <w:tr w:rsidR="000131F9" w:rsidRPr="003C0796" w14:paraId="70A03952" w14:textId="77777777" w:rsidTr="000131F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jc w:val="center"/>
        </w:trPr>
        <w:tc>
          <w:tcPr>
            <w:tcW w:w="5587" w:type="dxa"/>
          </w:tcPr>
          <w:p w14:paraId="4EB047BA" w14:textId="77777777" w:rsidR="000131F9" w:rsidRPr="003C0796" w:rsidRDefault="000131F9" w:rsidP="00AA75D8">
            <w:pPr>
              <w:spacing w:line="240" w:lineRule="auto"/>
              <w:contextualSpacing/>
              <w:rPr>
                <w:rFonts w:ascii="Arial" w:hAnsi="Arial" w:cs="Arial"/>
                <w:iCs/>
                <w:sz w:val="20"/>
              </w:rPr>
            </w:pPr>
            <w:r w:rsidRPr="003C0796">
              <w:rPr>
                <w:rFonts w:ascii="Arial" w:hAnsi="Arial" w:cs="Arial"/>
                <w:iCs/>
                <w:sz w:val="20"/>
              </w:rPr>
              <w:t>Students who have received The ACT or WorkKeys exemption count in participation calculations as participants.</w:t>
            </w:r>
          </w:p>
        </w:tc>
        <w:tc>
          <w:tcPr>
            <w:tcW w:w="735" w:type="dxa"/>
            <w:shd w:val="clear" w:color="auto" w:fill="FFFFFF" w:themeFill="background1"/>
            <w:vAlign w:val="center"/>
          </w:tcPr>
          <w:p w14:paraId="5BBC7BA4" w14:textId="0B8CCEDA" w:rsidR="000131F9" w:rsidRPr="003C0796" w:rsidRDefault="000131F9" w:rsidP="000131F9">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735" w:type="dxa"/>
            <w:shd w:val="clear" w:color="auto" w:fill="FFFFFF" w:themeFill="background1"/>
            <w:vAlign w:val="center"/>
          </w:tcPr>
          <w:p w14:paraId="68E030F2" w14:textId="33E84A8D" w:rsidR="000131F9" w:rsidRPr="003C0796" w:rsidRDefault="000131F9" w:rsidP="000131F9">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1093" w:type="dxa"/>
            <w:vAlign w:val="center"/>
          </w:tcPr>
          <w:p w14:paraId="7BC2A31B" w14:textId="77777777" w:rsidR="000131F9" w:rsidRPr="003C0796" w:rsidRDefault="000131F9" w:rsidP="000131F9">
            <w:pPr>
              <w:spacing w:line="240" w:lineRule="auto"/>
              <w:contextualSpacing/>
              <w:jc w:val="center"/>
              <w:rPr>
                <w:rFonts w:ascii="Arial" w:hAnsi="Arial" w:cs="Arial"/>
                <w:b/>
                <w:iCs/>
                <w:sz w:val="20"/>
              </w:rPr>
            </w:pPr>
            <w:r w:rsidRPr="003C0796">
              <w:rPr>
                <w:rFonts w:ascii="Arial" w:hAnsi="Arial" w:cs="Arial"/>
                <w:iCs/>
                <w:noProof/>
                <w:sz w:val="20"/>
              </w:rPr>
              <w:t>Yes</w:t>
            </w:r>
          </w:p>
        </w:tc>
        <w:tc>
          <w:tcPr>
            <w:tcW w:w="1195" w:type="dxa"/>
            <w:vAlign w:val="center"/>
          </w:tcPr>
          <w:p w14:paraId="74F831ED" w14:textId="77777777" w:rsidR="000131F9" w:rsidRPr="003C0796" w:rsidRDefault="000131F9" w:rsidP="000131F9">
            <w:pPr>
              <w:spacing w:line="240" w:lineRule="auto"/>
              <w:contextualSpacing/>
              <w:jc w:val="center"/>
              <w:rPr>
                <w:rFonts w:ascii="Arial" w:hAnsi="Arial" w:cs="Arial"/>
                <w:b/>
                <w:iCs/>
                <w:sz w:val="20"/>
              </w:rPr>
            </w:pPr>
            <w:r w:rsidRPr="003C0796">
              <w:rPr>
                <w:rFonts w:ascii="Arial" w:hAnsi="Arial" w:cs="Arial"/>
                <w:iCs/>
                <w:noProof/>
                <w:sz w:val="20"/>
              </w:rPr>
              <w:t>Yes</w:t>
            </w:r>
          </w:p>
        </w:tc>
      </w:tr>
      <w:tr w:rsidR="000131F9" w:rsidRPr="003C0796" w14:paraId="022917CD" w14:textId="77777777" w:rsidTr="000131F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1"/>
          <w:jc w:val="center"/>
        </w:trPr>
        <w:tc>
          <w:tcPr>
            <w:tcW w:w="5587" w:type="dxa"/>
          </w:tcPr>
          <w:p w14:paraId="4DC3F21A" w14:textId="77777777" w:rsidR="000131F9" w:rsidRPr="003C0796" w:rsidRDefault="000131F9" w:rsidP="00AA75D8">
            <w:pPr>
              <w:spacing w:line="240" w:lineRule="auto"/>
              <w:contextualSpacing/>
              <w:rPr>
                <w:rFonts w:ascii="Arial" w:hAnsi="Arial" w:cs="Arial"/>
                <w:iCs/>
                <w:sz w:val="20"/>
              </w:rPr>
            </w:pPr>
            <w:r w:rsidRPr="003C0796">
              <w:rPr>
                <w:rFonts w:ascii="Arial" w:hAnsi="Arial" w:cs="Arial"/>
                <w:iCs/>
                <w:sz w:val="20"/>
              </w:rPr>
              <w:t>Students who meet the eligibility requirements and take the College-and-Career Readiness Alternate Assessment (CCRAA) count in participation calculations as participants.</w:t>
            </w:r>
          </w:p>
        </w:tc>
        <w:tc>
          <w:tcPr>
            <w:tcW w:w="735" w:type="dxa"/>
            <w:shd w:val="clear" w:color="auto" w:fill="FFFFFF" w:themeFill="background1"/>
            <w:vAlign w:val="center"/>
          </w:tcPr>
          <w:p w14:paraId="712BBE43" w14:textId="6EDCC5E2" w:rsidR="000131F9" w:rsidRPr="003C0796" w:rsidRDefault="000131F9" w:rsidP="000131F9">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735" w:type="dxa"/>
            <w:shd w:val="clear" w:color="auto" w:fill="FFFFFF" w:themeFill="background1"/>
            <w:vAlign w:val="center"/>
          </w:tcPr>
          <w:p w14:paraId="362F02FB" w14:textId="26A06D22" w:rsidR="000131F9" w:rsidRPr="003C0796" w:rsidRDefault="000131F9" w:rsidP="000131F9">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1093" w:type="dxa"/>
            <w:vAlign w:val="center"/>
          </w:tcPr>
          <w:p w14:paraId="36F10A8B" w14:textId="77777777" w:rsidR="000131F9" w:rsidRPr="003C0796" w:rsidRDefault="000131F9" w:rsidP="000131F9">
            <w:pPr>
              <w:widowControl w:val="0"/>
              <w:autoSpaceDE w:val="0"/>
              <w:autoSpaceDN w:val="0"/>
              <w:spacing w:line="240" w:lineRule="auto"/>
              <w:ind w:left="40"/>
              <w:contextualSpacing/>
              <w:jc w:val="center"/>
              <w:rPr>
                <w:rFonts w:ascii="Arial" w:eastAsia="Calibri" w:hAnsi="Arial" w:cs="Arial"/>
                <w:b/>
                <w:i/>
                <w:iCs/>
                <w:color w:val="auto"/>
                <w:sz w:val="20"/>
                <w:lang w:bidi="en-US"/>
              </w:rPr>
            </w:pPr>
            <w:r w:rsidRPr="003C0796">
              <w:rPr>
                <w:rFonts w:ascii="Arial" w:hAnsi="Arial" w:cs="Arial"/>
                <w:iCs/>
                <w:noProof/>
                <w:sz w:val="20"/>
              </w:rPr>
              <w:t>Yes</w:t>
            </w:r>
          </w:p>
        </w:tc>
        <w:tc>
          <w:tcPr>
            <w:tcW w:w="1195" w:type="dxa"/>
            <w:shd w:val="clear" w:color="auto" w:fill="FFFFFF" w:themeFill="background1"/>
            <w:vAlign w:val="center"/>
          </w:tcPr>
          <w:p w14:paraId="582E4565" w14:textId="1E0B85C1" w:rsidR="000131F9" w:rsidRPr="003C0796" w:rsidRDefault="000131F9" w:rsidP="000131F9">
            <w:pPr>
              <w:spacing w:line="240" w:lineRule="auto"/>
              <w:contextualSpacing/>
              <w:jc w:val="center"/>
              <w:rPr>
                <w:rFonts w:ascii="Arial" w:hAnsi="Arial" w:cs="Arial"/>
                <w:b/>
                <w:iCs/>
                <w:sz w:val="20"/>
              </w:rPr>
            </w:pPr>
            <w:r w:rsidRPr="003C0796">
              <w:rPr>
                <w:rFonts w:ascii="Arial" w:hAnsi="Arial" w:cs="Arial"/>
                <w:b/>
                <w:iCs/>
                <w:color w:val="auto"/>
                <w:sz w:val="20"/>
              </w:rPr>
              <w:t>-</w:t>
            </w:r>
          </w:p>
        </w:tc>
      </w:tr>
      <w:tr w:rsidR="004A3734" w:rsidRPr="003C0796" w14:paraId="3E4E8084" w14:textId="77777777" w:rsidTr="000131F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8"/>
          <w:jc w:val="center"/>
        </w:trPr>
        <w:tc>
          <w:tcPr>
            <w:tcW w:w="5587" w:type="dxa"/>
          </w:tcPr>
          <w:p w14:paraId="7D82BA5B" w14:textId="77777777" w:rsidR="004A3734" w:rsidRPr="003C0796" w:rsidRDefault="004A3734" w:rsidP="00AA75D8">
            <w:pPr>
              <w:spacing w:line="240" w:lineRule="auto"/>
              <w:contextualSpacing/>
              <w:rPr>
                <w:rFonts w:ascii="Arial" w:hAnsi="Arial" w:cs="Arial"/>
                <w:iCs/>
                <w:sz w:val="20"/>
              </w:rPr>
            </w:pPr>
            <w:r w:rsidRPr="003C0796">
              <w:rPr>
                <w:rFonts w:ascii="Arial" w:hAnsi="Arial" w:cs="Arial"/>
                <w:iCs/>
                <w:sz w:val="20"/>
              </w:rPr>
              <w:t>Students who earn credit in a course from out of state or from a private or home school count in participation calculations as participants.</w:t>
            </w:r>
          </w:p>
        </w:tc>
        <w:tc>
          <w:tcPr>
            <w:tcW w:w="735" w:type="dxa"/>
            <w:shd w:val="clear" w:color="auto" w:fill="FFFFFF" w:themeFill="background1"/>
            <w:vAlign w:val="center"/>
          </w:tcPr>
          <w:p w14:paraId="1B343FAE" w14:textId="3B170ABD" w:rsidR="004A3734" w:rsidRPr="003C0796" w:rsidRDefault="000131F9" w:rsidP="00C435B7">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735" w:type="dxa"/>
            <w:vAlign w:val="center"/>
          </w:tcPr>
          <w:p w14:paraId="292E906B" w14:textId="5C41F527" w:rsidR="004A3734" w:rsidRPr="003C0796" w:rsidRDefault="004A3734" w:rsidP="003E7EBA">
            <w:pPr>
              <w:widowControl w:val="0"/>
              <w:autoSpaceDE w:val="0"/>
              <w:autoSpaceDN w:val="0"/>
              <w:spacing w:line="240" w:lineRule="auto"/>
              <w:ind w:left="40"/>
              <w:contextualSpacing/>
              <w:jc w:val="center"/>
              <w:rPr>
                <w:rFonts w:ascii="Arial" w:hAnsi="Arial" w:cs="Arial"/>
                <w:b/>
                <w:iCs/>
                <w:sz w:val="20"/>
              </w:rPr>
            </w:pPr>
            <w:r w:rsidRPr="003C0796">
              <w:rPr>
                <w:rFonts w:ascii="Arial" w:hAnsi="Arial" w:cs="Arial"/>
                <w:iCs/>
                <w:noProof/>
                <w:sz w:val="20"/>
              </w:rPr>
              <w:t>Yes</w:t>
            </w:r>
          </w:p>
        </w:tc>
        <w:tc>
          <w:tcPr>
            <w:tcW w:w="1093" w:type="dxa"/>
            <w:shd w:val="clear" w:color="auto" w:fill="FFFFFF" w:themeFill="background1"/>
            <w:vAlign w:val="center"/>
          </w:tcPr>
          <w:p w14:paraId="7A672E23" w14:textId="741E4A45" w:rsidR="004A3734" w:rsidRPr="003C0796" w:rsidRDefault="000131F9" w:rsidP="00C435B7">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c>
          <w:tcPr>
            <w:tcW w:w="1195" w:type="dxa"/>
            <w:shd w:val="clear" w:color="auto" w:fill="FFFFFF" w:themeFill="background1"/>
            <w:vAlign w:val="center"/>
          </w:tcPr>
          <w:p w14:paraId="6361E9AD" w14:textId="7E03D564" w:rsidR="004A3734" w:rsidRPr="003C0796" w:rsidRDefault="000131F9" w:rsidP="00C435B7">
            <w:pPr>
              <w:spacing w:line="240" w:lineRule="auto"/>
              <w:contextualSpacing/>
              <w:jc w:val="center"/>
              <w:rPr>
                <w:rFonts w:ascii="Arial" w:hAnsi="Arial" w:cs="Arial"/>
                <w:b/>
                <w:iCs/>
                <w:color w:val="FFFFFF" w:themeColor="background1"/>
                <w:sz w:val="20"/>
              </w:rPr>
            </w:pPr>
            <w:r w:rsidRPr="003C0796">
              <w:rPr>
                <w:rFonts w:ascii="Arial" w:hAnsi="Arial" w:cs="Arial"/>
                <w:b/>
                <w:iCs/>
                <w:color w:val="auto"/>
                <w:sz w:val="20"/>
              </w:rPr>
              <w:t>-</w:t>
            </w:r>
          </w:p>
        </w:tc>
      </w:tr>
    </w:tbl>
    <w:p w14:paraId="3A6B3A7C" w14:textId="0349B7D0" w:rsidR="006835AC" w:rsidRPr="00065B1F" w:rsidRDefault="006835AC" w:rsidP="001514C3">
      <w:pPr>
        <w:pStyle w:val="Heading2"/>
      </w:pPr>
      <w:bookmarkStart w:id="604" w:name="_Toc100132558"/>
      <w:bookmarkStart w:id="605" w:name="_Toc100132762"/>
      <w:bookmarkStart w:id="606" w:name="_Toc100136563"/>
      <w:bookmarkStart w:id="607" w:name="_Toc111714544"/>
      <w:bookmarkStart w:id="608" w:name="_Toc114211808"/>
      <w:bookmarkStart w:id="609" w:name="_Toc135812533"/>
      <w:bookmarkStart w:id="610" w:name="_Toc136418914"/>
      <w:bookmarkStart w:id="611" w:name="_Toc136419170"/>
      <w:bookmarkStart w:id="612" w:name="_Toc225404982"/>
      <w:r w:rsidRPr="00065B1F">
        <w:t xml:space="preserve">Participation </w:t>
      </w:r>
      <w:r w:rsidR="00EA729C" w:rsidRPr="00065B1F">
        <w:t xml:space="preserve">in </w:t>
      </w:r>
      <w:r w:rsidRPr="00065B1F">
        <w:t xml:space="preserve">the </w:t>
      </w:r>
      <w:r w:rsidR="00C42C98" w:rsidRPr="00065B1F">
        <w:t xml:space="preserve">WIDA </w:t>
      </w:r>
      <w:r w:rsidRPr="00065B1F">
        <w:t xml:space="preserve">ACCESS </w:t>
      </w:r>
      <w:bookmarkEnd w:id="604"/>
      <w:bookmarkEnd w:id="605"/>
      <w:bookmarkEnd w:id="606"/>
      <w:r w:rsidRPr="00065B1F">
        <w:t>or</w:t>
      </w:r>
      <w:r w:rsidRPr="00065B1F" w:rsidDel="00704257">
        <w:t xml:space="preserve"> </w:t>
      </w:r>
      <w:r w:rsidR="00B34F70" w:rsidRPr="00065B1F">
        <w:t xml:space="preserve">WIDA </w:t>
      </w:r>
      <w:r w:rsidRPr="00065B1F">
        <w:t>Alternate ACCESS (Grades Kindergarten</w:t>
      </w:r>
      <w:r w:rsidR="000C4932" w:rsidRPr="00065B1F">
        <w:t>–12</w:t>
      </w:r>
      <w:r w:rsidRPr="00065B1F">
        <w:t>)</w:t>
      </w:r>
      <w:bookmarkEnd w:id="607"/>
      <w:bookmarkEnd w:id="608"/>
      <w:bookmarkEnd w:id="609"/>
      <w:bookmarkEnd w:id="610"/>
      <w:bookmarkEnd w:id="611"/>
      <w:bookmarkEnd w:id="612"/>
    </w:p>
    <w:p w14:paraId="6BE65B38" w14:textId="56F9CCBB" w:rsidR="00CD1CF2" w:rsidRDefault="006835AC" w:rsidP="00C37C18">
      <w:pPr>
        <w:tabs>
          <w:tab w:val="left" w:pos="180"/>
        </w:tabs>
        <w:spacing w:line="240" w:lineRule="auto"/>
        <w:contextualSpacing/>
        <w:rPr>
          <w:rFonts w:ascii="Arial" w:hAnsi="Arial" w:cs="Arial"/>
          <w:color w:val="auto"/>
          <w:szCs w:val="24"/>
        </w:rPr>
      </w:pPr>
      <w:r w:rsidRPr="00065B1F">
        <w:rPr>
          <w:rFonts w:ascii="Arial" w:hAnsi="Arial" w:cs="Arial"/>
          <w:color w:val="auto"/>
          <w:szCs w:val="24"/>
        </w:rPr>
        <w:t xml:space="preserve">All eligible students are expected to participate </w:t>
      </w:r>
      <w:r w:rsidR="00EA729C" w:rsidRPr="00065B1F">
        <w:rPr>
          <w:rFonts w:ascii="Arial" w:hAnsi="Arial" w:cs="Arial"/>
          <w:color w:val="auto"/>
          <w:szCs w:val="24"/>
        </w:rPr>
        <w:t xml:space="preserve">in </w:t>
      </w:r>
      <w:r w:rsidRPr="00065B1F">
        <w:rPr>
          <w:rFonts w:ascii="Arial" w:hAnsi="Arial" w:cs="Arial"/>
          <w:color w:val="auto"/>
          <w:szCs w:val="24"/>
        </w:rPr>
        <w:t xml:space="preserve">the </w:t>
      </w:r>
      <w:r w:rsidR="00965150" w:rsidRPr="00065B1F">
        <w:rPr>
          <w:rFonts w:ascii="Arial" w:hAnsi="Arial" w:cs="Arial"/>
          <w:color w:val="auto"/>
          <w:szCs w:val="24"/>
        </w:rPr>
        <w:t xml:space="preserve">WIDA </w:t>
      </w:r>
      <w:r w:rsidRPr="00065B1F">
        <w:rPr>
          <w:rFonts w:ascii="Arial" w:hAnsi="Arial" w:cs="Arial"/>
          <w:color w:val="auto"/>
          <w:szCs w:val="24"/>
        </w:rPr>
        <w:t xml:space="preserve">ACCESS </w:t>
      </w:r>
      <w:r w:rsidR="00EC4379" w:rsidRPr="00065B1F">
        <w:rPr>
          <w:rFonts w:ascii="Arial" w:hAnsi="Arial" w:cs="Arial"/>
          <w:color w:val="auto"/>
          <w:szCs w:val="24"/>
        </w:rPr>
        <w:t>or WIDA A</w:t>
      </w:r>
      <w:r w:rsidR="00F70AB5" w:rsidRPr="00065B1F">
        <w:rPr>
          <w:rFonts w:ascii="Arial" w:hAnsi="Arial" w:cs="Arial"/>
          <w:color w:val="auto"/>
          <w:szCs w:val="24"/>
        </w:rPr>
        <w:t>lternate</w:t>
      </w:r>
      <w:r w:rsidR="00EC4379" w:rsidRPr="00065B1F">
        <w:rPr>
          <w:rFonts w:ascii="Arial" w:hAnsi="Arial" w:cs="Arial"/>
          <w:color w:val="auto"/>
          <w:szCs w:val="24"/>
        </w:rPr>
        <w:t xml:space="preserve"> ACCESS tests</w:t>
      </w:r>
      <w:r w:rsidRPr="00065B1F">
        <w:rPr>
          <w:rFonts w:ascii="Arial" w:hAnsi="Arial" w:cs="Arial"/>
          <w:color w:val="auto"/>
          <w:szCs w:val="24"/>
        </w:rPr>
        <w:t>. Students missing</w:t>
      </w:r>
      <w:r w:rsidR="00EA729C" w:rsidRPr="00065B1F">
        <w:rPr>
          <w:rFonts w:ascii="Arial" w:hAnsi="Arial" w:cs="Arial"/>
          <w:color w:val="auto"/>
          <w:szCs w:val="24"/>
        </w:rPr>
        <w:t xml:space="preserve"> </w:t>
      </w:r>
      <w:r w:rsidR="00F70AB5" w:rsidRPr="00065B1F">
        <w:rPr>
          <w:rFonts w:ascii="Arial" w:hAnsi="Arial" w:cs="Arial"/>
          <w:color w:val="auto"/>
          <w:szCs w:val="24"/>
        </w:rPr>
        <w:t xml:space="preserve">the </w:t>
      </w:r>
      <w:r w:rsidR="002042FE" w:rsidRPr="00065B1F">
        <w:rPr>
          <w:rFonts w:ascii="Arial" w:hAnsi="Arial" w:cs="Arial"/>
          <w:color w:val="auto"/>
          <w:szCs w:val="24"/>
        </w:rPr>
        <w:t xml:space="preserve">WIDA </w:t>
      </w:r>
      <w:r w:rsidR="00EA729C" w:rsidRPr="00065B1F">
        <w:rPr>
          <w:rFonts w:ascii="Arial" w:hAnsi="Arial" w:cs="Arial"/>
          <w:color w:val="auto"/>
          <w:szCs w:val="24"/>
        </w:rPr>
        <w:t>ACCESS</w:t>
      </w:r>
      <w:r w:rsidR="00F70AB5" w:rsidRPr="00065B1F">
        <w:rPr>
          <w:rFonts w:ascii="Arial" w:hAnsi="Arial" w:cs="Arial"/>
          <w:color w:val="auto"/>
          <w:szCs w:val="24"/>
        </w:rPr>
        <w:t xml:space="preserve"> or WIDA Alterna</w:t>
      </w:r>
      <w:r w:rsidR="007E4022" w:rsidRPr="00065B1F">
        <w:rPr>
          <w:rFonts w:ascii="Arial" w:hAnsi="Arial" w:cs="Arial"/>
          <w:color w:val="auto"/>
          <w:szCs w:val="24"/>
        </w:rPr>
        <w:t>te ACCESS</w:t>
      </w:r>
      <w:r w:rsidR="00EA729C" w:rsidRPr="00065B1F">
        <w:rPr>
          <w:rFonts w:ascii="Arial" w:hAnsi="Arial" w:cs="Arial"/>
          <w:color w:val="auto"/>
          <w:szCs w:val="24"/>
        </w:rPr>
        <w:t xml:space="preserve"> </w:t>
      </w:r>
      <w:r w:rsidR="002042FE" w:rsidRPr="00065B1F">
        <w:rPr>
          <w:rFonts w:ascii="Arial" w:hAnsi="Arial" w:cs="Arial"/>
          <w:color w:val="auto"/>
          <w:szCs w:val="24"/>
        </w:rPr>
        <w:t xml:space="preserve">tests </w:t>
      </w:r>
      <w:r w:rsidRPr="00065B1F">
        <w:rPr>
          <w:rFonts w:ascii="Arial" w:hAnsi="Arial" w:cs="Arial"/>
          <w:color w:val="auto"/>
          <w:szCs w:val="24"/>
        </w:rPr>
        <w:t>may count against progress.</w:t>
      </w:r>
    </w:p>
    <w:p w14:paraId="5A5BE782" w14:textId="77777777" w:rsidR="008F5FF6" w:rsidRPr="00065B1F" w:rsidRDefault="008F5FF6" w:rsidP="00C37C18">
      <w:pPr>
        <w:tabs>
          <w:tab w:val="left" w:pos="180"/>
        </w:tabs>
        <w:spacing w:line="240" w:lineRule="auto"/>
        <w:contextualSpacing/>
        <w:rPr>
          <w:rFonts w:ascii="Arial" w:hAnsi="Arial" w:cs="Arial"/>
          <w:szCs w:val="24"/>
        </w:rPr>
      </w:pPr>
    </w:p>
    <w:p w14:paraId="1D215EBC" w14:textId="7E7A1A12" w:rsidR="000C70FE" w:rsidRPr="00065B1F" w:rsidRDefault="00CD1CF2" w:rsidP="00C37C18">
      <w:pPr>
        <w:tabs>
          <w:tab w:val="left" w:pos="180"/>
        </w:tabs>
        <w:spacing w:line="240" w:lineRule="auto"/>
        <w:contextualSpacing/>
        <w:rPr>
          <w:rFonts w:ascii="Arial" w:hAnsi="Arial" w:cs="Arial"/>
          <w:szCs w:val="24"/>
        </w:rPr>
      </w:pPr>
      <w:r w:rsidRPr="00065B1F">
        <w:rPr>
          <w:rFonts w:ascii="Arial" w:hAnsi="Arial" w:cs="Arial"/>
          <w:szCs w:val="24"/>
        </w:rPr>
        <w:t xml:space="preserve">See Section 6 for more information on English Learner Progress. </w:t>
      </w:r>
    </w:p>
    <w:p w14:paraId="3B27E9DA" w14:textId="77777777" w:rsidR="002844CF" w:rsidRDefault="002844CF" w:rsidP="00C37C18">
      <w:pPr>
        <w:tabs>
          <w:tab w:val="left" w:pos="180"/>
        </w:tabs>
        <w:spacing w:line="240" w:lineRule="auto"/>
        <w:contextualSpacing/>
        <w:rPr>
          <w:rFonts w:ascii="Arial" w:hAnsi="Arial" w:cs="Arial"/>
          <w:szCs w:val="24"/>
        </w:rPr>
      </w:pPr>
    </w:p>
    <w:p w14:paraId="164AA3A0" w14:textId="10C601A2" w:rsidR="00AF22B8" w:rsidRPr="001427AF" w:rsidRDefault="001B090D" w:rsidP="00B87A9F">
      <w:pPr>
        <w:pStyle w:val="Heading1"/>
      </w:pPr>
      <w:bookmarkStart w:id="613" w:name="_Section_4_Partial"/>
      <w:bookmarkStart w:id="614" w:name="_Toc135812534"/>
      <w:bookmarkStart w:id="615" w:name="_Toc136418915"/>
      <w:bookmarkStart w:id="616" w:name="_Toc136419171"/>
      <w:bookmarkStart w:id="617" w:name="_Toc225404983"/>
      <w:bookmarkEnd w:id="613"/>
      <w:r w:rsidRPr="001427AF">
        <w:t>Partial Enrollment</w:t>
      </w:r>
      <w:r w:rsidR="00A76FFC">
        <w:t xml:space="preserve"> </w:t>
      </w:r>
      <w:r w:rsidRPr="001427AF">
        <w:t>Guidelines</w:t>
      </w:r>
      <w:bookmarkEnd w:id="614"/>
      <w:bookmarkEnd w:id="615"/>
      <w:bookmarkEnd w:id="616"/>
      <w:bookmarkEnd w:id="617"/>
      <w:r w:rsidR="0054650D" w:rsidRPr="001427AF">
        <w:fldChar w:fldCharType="begin"/>
      </w:r>
      <w:r w:rsidR="0054650D" w:rsidRPr="001427AF">
        <w:instrText xml:space="preserve"> XE "Partial Enrollment Guidelines" </w:instrText>
      </w:r>
      <w:r w:rsidR="0054650D" w:rsidRPr="001427AF">
        <w:fldChar w:fldCharType="end"/>
      </w:r>
    </w:p>
    <w:p w14:paraId="664E5BF5" w14:textId="77777777" w:rsidR="0053658F" w:rsidRPr="001427AF" w:rsidRDefault="0053658F" w:rsidP="00541B73">
      <w:pPr>
        <w:spacing w:line="240" w:lineRule="auto"/>
        <w:contextualSpacing/>
        <w:rPr>
          <w:rFonts w:ascii="Arial" w:hAnsi="Arial" w:cs="Arial"/>
          <w:color w:val="auto"/>
          <w:szCs w:val="24"/>
        </w:rPr>
      </w:pPr>
    </w:p>
    <w:p w14:paraId="79DE6D2D" w14:textId="58A8FF13" w:rsidR="00541B73" w:rsidRPr="001427AF" w:rsidRDefault="00541B73" w:rsidP="00541B73">
      <w:pPr>
        <w:spacing w:line="240" w:lineRule="auto"/>
        <w:contextualSpacing/>
        <w:rPr>
          <w:rFonts w:ascii="Arial" w:hAnsi="Arial" w:cs="Arial"/>
          <w:color w:val="auto"/>
          <w:szCs w:val="24"/>
        </w:rPr>
      </w:pPr>
      <w:r w:rsidRPr="001427AF">
        <w:rPr>
          <w:rFonts w:ascii="Arial" w:hAnsi="Arial" w:cs="Arial"/>
          <w:color w:val="auto"/>
          <w:szCs w:val="24"/>
        </w:rPr>
        <w:t xml:space="preserve">North Carolina defines partial attendance (i.e., partial enrollment) as enrolled in the school for at least half of the school year in alignment with the requirement of including students in indicators of the accountability system under the ESSA. </w:t>
      </w:r>
    </w:p>
    <w:p w14:paraId="650F3E4C" w14:textId="77777777" w:rsidR="00541B73" w:rsidRPr="001427AF" w:rsidRDefault="00541B73" w:rsidP="00541B73">
      <w:pPr>
        <w:spacing w:line="240" w:lineRule="auto"/>
        <w:contextualSpacing/>
        <w:rPr>
          <w:rFonts w:ascii="Arial" w:hAnsi="Arial" w:cs="Arial"/>
          <w:color w:val="auto"/>
          <w:szCs w:val="24"/>
        </w:rPr>
      </w:pPr>
    </w:p>
    <w:p w14:paraId="14D5D9A1" w14:textId="77777777" w:rsidR="00541B73" w:rsidRPr="001427AF" w:rsidRDefault="00541B73" w:rsidP="00541B73">
      <w:pPr>
        <w:spacing w:line="240" w:lineRule="auto"/>
        <w:contextualSpacing/>
        <w:rPr>
          <w:rFonts w:ascii="Arial" w:hAnsi="Arial" w:cs="Arial"/>
          <w:color w:val="auto"/>
          <w:szCs w:val="24"/>
        </w:rPr>
      </w:pPr>
      <w:r w:rsidRPr="001427AF">
        <w:rPr>
          <w:rFonts w:ascii="Arial" w:hAnsi="Arial" w:cs="Arial"/>
          <w:color w:val="auto"/>
          <w:szCs w:val="24"/>
        </w:rPr>
        <w:t>The ESSA outlines which measures may be used in the calculation of a school’s accountability model for students who are not in membership in a school for at least half of the school year. Partial enrollment is defined by Section 1111(c)(4)(F)(</w:t>
      </w:r>
      <w:proofErr w:type="spellStart"/>
      <w:r w:rsidRPr="001427AF" w:rsidDel="00204505">
        <w:rPr>
          <w:rFonts w:ascii="Arial" w:hAnsi="Arial" w:cs="Arial"/>
          <w:color w:val="auto"/>
          <w:szCs w:val="24"/>
        </w:rPr>
        <w:t>i</w:t>
      </w:r>
      <w:proofErr w:type="spellEnd"/>
      <w:r w:rsidRPr="001427AF">
        <w:rPr>
          <w:rFonts w:ascii="Arial" w:hAnsi="Arial" w:cs="Arial"/>
          <w:color w:val="auto"/>
          <w:szCs w:val="24"/>
        </w:rPr>
        <w:t xml:space="preserve">). In the case of a student who has not attended the same school within a </w:t>
      </w:r>
      <w:bookmarkStart w:id="618" w:name="_Int_7YcErMT2"/>
      <w:proofErr w:type="gramStart"/>
      <w:r w:rsidRPr="001427AF">
        <w:rPr>
          <w:rFonts w:ascii="Arial" w:hAnsi="Arial" w:cs="Arial"/>
          <w:color w:val="auto"/>
          <w:szCs w:val="24"/>
        </w:rPr>
        <w:t>public school</w:t>
      </w:r>
      <w:bookmarkEnd w:id="618"/>
      <w:proofErr w:type="gramEnd"/>
      <w:r w:rsidRPr="001427AF">
        <w:rPr>
          <w:rFonts w:ascii="Arial" w:hAnsi="Arial" w:cs="Arial"/>
          <w:color w:val="auto"/>
          <w:szCs w:val="24"/>
        </w:rPr>
        <w:t xml:space="preserve"> unit for at least half of a school year, the performance of such a student:</w:t>
      </w:r>
    </w:p>
    <w:p w14:paraId="6B0ABE2B" w14:textId="77777777" w:rsidR="00541B73" w:rsidRPr="001427AF" w:rsidRDefault="00541B73" w:rsidP="00CA5853">
      <w:pPr>
        <w:numPr>
          <w:ilvl w:val="0"/>
          <w:numId w:val="34"/>
        </w:numPr>
        <w:spacing w:line="240" w:lineRule="auto"/>
        <w:contextualSpacing/>
        <w:rPr>
          <w:rFonts w:ascii="Arial" w:hAnsi="Arial" w:cs="Arial"/>
          <w:color w:val="auto"/>
          <w:szCs w:val="24"/>
        </w:rPr>
      </w:pPr>
      <w:r w:rsidRPr="001427AF" w:rsidDel="000044B6">
        <w:rPr>
          <w:rFonts w:ascii="Arial" w:hAnsi="Arial" w:cs="Arial"/>
          <w:color w:val="auto"/>
          <w:szCs w:val="24"/>
        </w:rPr>
        <w:t>must</w:t>
      </w:r>
      <w:r w:rsidRPr="001427AF">
        <w:rPr>
          <w:rFonts w:ascii="Arial" w:hAnsi="Arial" w:cs="Arial"/>
          <w:color w:val="auto"/>
          <w:szCs w:val="24"/>
        </w:rPr>
        <w:t xml:space="preserve"> not be used in the accountability model for the following ESSA indicators for each school year, when applicable: </w:t>
      </w:r>
    </w:p>
    <w:p w14:paraId="7238CCC1" w14:textId="77777777" w:rsidR="00C810F0" w:rsidRPr="001427AF" w:rsidRDefault="00C810F0" w:rsidP="00C810F0">
      <w:pPr>
        <w:spacing w:line="240" w:lineRule="auto"/>
        <w:rPr>
          <w:rFonts w:ascii="Arial" w:hAnsi="Arial" w:cs="Arial"/>
          <w:color w:val="auto"/>
          <w:szCs w:val="24"/>
        </w:rPr>
      </w:pPr>
    </w:p>
    <w:p w14:paraId="0813EF85" w14:textId="77777777" w:rsidR="00C810F0" w:rsidRPr="001427AF" w:rsidRDefault="00C810F0" w:rsidP="00C810F0">
      <w:pPr>
        <w:spacing w:line="240" w:lineRule="auto"/>
        <w:rPr>
          <w:rFonts w:ascii="Arial" w:hAnsi="Arial" w:cs="Arial"/>
          <w:color w:val="auto"/>
          <w:sz w:val="20"/>
        </w:rPr>
      </w:pPr>
      <w:r w:rsidRPr="001427AF">
        <w:rPr>
          <w:rFonts w:ascii="Arial" w:hAnsi="Arial" w:cs="Arial"/>
          <w:color w:val="auto"/>
          <w:sz w:val="20"/>
        </w:rPr>
        <w:t>TABLE 4. Indicators where partial enrollment rules apply</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dicators where partial enrollment rules apply. Broke into two categories of proficiency and growth. Each category lists the tests used in the calculation. "/>
      </w:tblPr>
      <w:tblGrid>
        <w:gridCol w:w="4675"/>
        <w:gridCol w:w="4675"/>
      </w:tblGrid>
      <w:tr w:rsidR="002913B1" w:rsidRPr="001427AF" w14:paraId="0DD9C94C" w14:textId="77777777" w:rsidTr="00AD0371">
        <w:tc>
          <w:tcPr>
            <w:tcW w:w="4675" w:type="dxa"/>
            <w:shd w:val="clear" w:color="auto" w:fill="ACB9CA" w:themeFill="text2" w:themeFillTint="66"/>
          </w:tcPr>
          <w:p w14:paraId="675F75A8" w14:textId="77777777" w:rsidR="002913B1" w:rsidRPr="001427AF" w:rsidRDefault="002913B1" w:rsidP="00E40480">
            <w:pPr>
              <w:spacing w:line="240" w:lineRule="auto"/>
              <w:contextualSpacing/>
              <w:rPr>
                <w:rFonts w:ascii="Arial" w:hAnsi="Arial" w:cs="Arial"/>
                <w:b/>
                <w:bCs/>
                <w:color w:val="auto"/>
                <w:sz w:val="20"/>
              </w:rPr>
            </w:pPr>
            <w:r w:rsidRPr="001427AF">
              <w:rPr>
                <w:rFonts w:ascii="Arial" w:hAnsi="Arial" w:cs="Arial"/>
                <w:b/>
                <w:bCs/>
                <w:color w:val="auto"/>
                <w:sz w:val="20"/>
              </w:rPr>
              <w:t>Proficiency</w:t>
            </w:r>
          </w:p>
        </w:tc>
        <w:tc>
          <w:tcPr>
            <w:tcW w:w="4675" w:type="dxa"/>
            <w:shd w:val="clear" w:color="auto" w:fill="ACB9CA" w:themeFill="text2" w:themeFillTint="66"/>
          </w:tcPr>
          <w:p w14:paraId="5431997A" w14:textId="77777777" w:rsidR="002913B1" w:rsidRPr="001427AF" w:rsidRDefault="002913B1" w:rsidP="00E40480">
            <w:pPr>
              <w:spacing w:line="240" w:lineRule="auto"/>
              <w:contextualSpacing/>
              <w:rPr>
                <w:rFonts w:ascii="Arial" w:hAnsi="Arial" w:cs="Arial"/>
                <w:b/>
                <w:bCs/>
                <w:color w:val="auto"/>
                <w:sz w:val="20"/>
              </w:rPr>
            </w:pPr>
            <w:r w:rsidRPr="001427AF">
              <w:rPr>
                <w:rFonts w:ascii="Arial" w:hAnsi="Arial" w:cs="Arial"/>
                <w:b/>
                <w:bCs/>
                <w:color w:val="auto"/>
                <w:sz w:val="20"/>
              </w:rPr>
              <w:t>Growth</w:t>
            </w:r>
          </w:p>
        </w:tc>
      </w:tr>
      <w:tr w:rsidR="002913B1" w:rsidRPr="001427AF" w14:paraId="3374A88C" w14:textId="77777777" w:rsidTr="00AD0371">
        <w:tc>
          <w:tcPr>
            <w:tcW w:w="4675" w:type="dxa"/>
          </w:tcPr>
          <w:p w14:paraId="770C1244"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Reading EOG/English II EOC</w:t>
            </w:r>
          </w:p>
        </w:tc>
        <w:tc>
          <w:tcPr>
            <w:tcW w:w="4675" w:type="dxa"/>
          </w:tcPr>
          <w:p w14:paraId="2525BA9C"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English II EOC</w:t>
            </w:r>
          </w:p>
        </w:tc>
      </w:tr>
      <w:tr w:rsidR="002913B1" w:rsidRPr="001427AF" w14:paraId="1C1E30D5" w14:textId="77777777" w:rsidTr="00AD0371">
        <w:tc>
          <w:tcPr>
            <w:tcW w:w="4675" w:type="dxa"/>
          </w:tcPr>
          <w:p w14:paraId="1D72CD57"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Mathematics EOG/NC Math 1 and NC Math 3 EOC</w:t>
            </w:r>
          </w:p>
        </w:tc>
        <w:tc>
          <w:tcPr>
            <w:tcW w:w="4675" w:type="dxa"/>
          </w:tcPr>
          <w:p w14:paraId="583C4B36"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NC Math 1 and NC Math 3 EOC</w:t>
            </w:r>
          </w:p>
        </w:tc>
      </w:tr>
      <w:tr w:rsidR="002913B1" w:rsidRPr="001427AF" w14:paraId="758C26E5" w14:textId="77777777" w:rsidTr="00AD0371">
        <w:tc>
          <w:tcPr>
            <w:tcW w:w="4675" w:type="dxa"/>
          </w:tcPr>
          <w:p w14:paraId="4D442987"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Science EOG</w:t>
            </w:r>
          </w:p>
        </w:tc>
        <w:tc>
          <w:tcPr>
            <w:tcW w:w="4675" w:type="dxa"/>
          </w:tcPr>
          <w:p w14:paraId="4AFA0B31"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Reading EOG (School Quality and Success Indicator)</w:t>
            </w:r>
          </w:p>
        </w:tc>
      </w:tr>
      <w:tr w:rsidR="002913B1" w:rsidRPr="001427AF" w14:paraId="42559472" w14:textId="77777777" w:rsidTr="00AD0371">
        <w:tc>
          <w:tcPr>
            <w:tcW w:w="4675" w:type="dxa"/>
          </w:tcPr>
          <w:p w14:paraId="1CBD2611"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English Learner Progress</w:t>
            </w:r>
          </w:p>
        </w:tc>
        <w:tc>
          <w:tcPr>
            <w:tcW w:w="4675" w:type="dxa"/>
          </w:tcPr>
          <w:p w14:paraId="1F6A0BDB"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Mathematics EOG (School Quality and Success Indicator)</w:t>
            </w:r>
          </w:p>
        </w:tc>
      </w:tr>
      <w:tr w:rsidR="002913B1" w:rsidRPr="001427AF" w14:paraId="02B37430" w14:textId="77777777" w:rsidTr="00AD0371">
        <w:tc>
          <w:tcPr>
            <w:tcW w:w="4675" w:type="dxa"/>
          </w:tcPr>
          <w:p w14:paraId="682CA29E"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Biology EOC (School Quality and Success Indicator)</w:t>
            </w:r>
          </w:p>
        </w:tc>
        <w:tc>
          <w:tcPr>
            <w:tcW w:w="4675" w:type="dxa"/>
          </w:tcPr>
          <w:p w14:paraId="13677300"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Science EOG (School Quality and Success Indicator)</w:t>
            </w:r>
          </w:p>
        </w:tc>
      </w:tr>
      <w:tr w:rsidR="002913B1" w:rsidRPr="001427AF" w14:paraId="30E1B5F4" w14:textId="77777777" w:rsidTr="00AD0371">
        <w:tc>
          <w:tcPr>
            <w:tcW w:w="4675" w:type="dxa"/>
          </w:tcPr>
          <w:p w14:paraId="397CF6DB"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The ACT or WorkKeys (School Quality and Success Indicator)</w:t>
            </w:r>
          </w:p>
        </w:tc>
        <w:tc>
          <w:tcPr>
            <w:tcW w:w="4675" w:type="dxa"/>
          </w:tcPr>
          <w:p w14:paraId="0A1709DA" w14:textId="77777777" w:rsidR="002913B1" w:rsidRPr="001427AF" w:rsidRDefault="002913B1" w:rsidP="00E40480">
            <w:pPr>
              <w:spacing w:line="240" w:lineRule="auto"/>
              <w:contextualSpacing/>
              <w:rPr>
                <w:rFonts w:ascii="Arial" w:hAnsi="Arial" w:cs="Arial"/>
                <w:color w:val="auto"/>
                <w:sz w:val="20"/>
              </w:rPr>
            </w:pPr>
          </w:p>
        </w:tc>
      </w:tr>
      <w:tr w:rsidR="002913B1" w:rsidRPr="001427AF" w14:paraId="2DF43F70" w14:textId="77777777" w:rsidTr="00AD0371">
        <w:tc>
          <w:tcPr>
            <w:tcW w:w="4675" w:type="dxa"/>
          </w:tcPr>
          <w:p w14:paraId="5E0E2F99" w14:textId="77777777" w:rsidR="002913B1" w:rsidRPr="001427AF" w:rsidRDefault="002913B1" w:rsidP="00E40480">
            <w:pPr>
              <w:spacing w:line="240" w:lineRule="auto"/>
              <w:contextualSpacing/>
              <w:rPr>
                <w:rFonts w:ascii="Arial" w:hAnsi="Arial" w:cs="Arial"/>
                <w:color w:val="auto"/>
                <w:sz w:val="20"/>
              </w:rPr>
            </w:pPr>
            <w:r w:rsidRPr="001427AF">
              <w:rPr>
                <w:rFonts w:ascii="Arial" w:hAnsi="Arial" w:cs="Arial"/>
                <w:color w:val="auto"/>
                <w:sz w:val="20"/>
              </w:rPr>
              <w:t>Math Course Rigor (School Quality and Success Indicator)</w:t>
            </w:r>
          </w:p>
        </w:tc>
        <w:tc>
          <w:tcPr>
            <w:tcW w:w="4675" w:type="dxa"/>
          </w:tcPr>
          <w:p w14:paraId="6144F83E" w14:textId="77777777" w:rsidR="002913B1" w:rsidRPr="001427AF" w:rsidRDefault="002913B1" w:rsidP="00E40480">
            <w:pPr>
              <w:spacing w:line="240" w:lineRule="auto"/>
              <w:contextualSpacing/>
              <w:rPr>
                <w:rFonts w:ascii="Arial" w:hAnsi="Arial" w:cs="Arial"/>
                <w:color w:val="auto"/>
                <w:sz w:val="20"/>
              </w:rPr>
            </w:pPr>
          </w:p>
        </w:tc>
      </w:tr>
    </w:tbl>
    <w:p w14:paraId="519F4D25" w14:textId="77777777" w:rsidR="002913B1" w:rsidRPr="001427AF" w:rsidRDefault="002913B1" w:rsidP="00C810F0">
      <w:pPr>
        <w:spacing w:line="240" w:lineRule="auto"/>
        <w:rPr>
          <w:rFonts w:ascii="Arial" w:hAnsi="Arial" w:cs="Arial"/>
          <w:color w:val="auto"/>
          <w:szCs w:val="24"/>
        </w:rPr>
      </w:pPr>
    </w:p>
    <w:p w14:paraId="21EDE4F5" w14:textId="77777777" w:rsidR="00335333" w:rsidRPr="001427AF" w:rsidRDefault="00335333" w:rsidP="00CA5853">
      <w:pPr>
        <w:numPr>
          <w:ilvl w:val="0"/>
          <w:numId w:val="34"/>
        </w:numPr>
        <w:spacing w:line="240" w:lineRule="auto"/>
        <w:contextualSpacing/>
        <w:rPr>
          <w:rFonts w:ascii="Arial" w:hAnsi="Arial" w:cs="Arial"/>
          <w:color w:val="auto"/>
          <w:szCs w:val="24"/>
        </w:rPr>
      </w:pPr>
      <w:r w:rsidRPr="001427AF">
        <w:rPr>
          <w:rFonts w:ascii="Arial" w:hAnsi="Arial" w:cs="Arial"/>
          <w:color w:val="auto"/>
          <w:szCs w:val="24"/>
        </w:rPr>
        <w:t xml:space="preserve">shall be used for reporting on the state and </w:t>
      </w:r>
      <w:bookmarkStart w:id="619" w:name="_Int_dlHwAtxd"/>
      <w:proofErr w:type="gramStart"/>
      <w:r w:rsidRPr="001427AF">
        <w:rPr>
          <w:rFonts w:ascii="Arial" w:hAnsi="Arial" w:cs="Arial"/>
          <w:color w:val="auto"/>
          <w:szCs w:val="24"/>
        </w:rPr>
        <w:t>public school</w:t>
      </w:r>
      <w:bookmarkEnd w:id="619"/>
      <w:proofErr w:type="gramEnd"/>
      <w:r w:rsidRPr="001427AF">
        <w:rPr>
          <w:rFonts w:ascii="Arial" w:hAnsi="Arial" w:cs="Arial"/>
          <w:color w:val="auto"/>
          <w:szCs w:val="24"/>
        </w:rPr>
        <w:t xml:space="preserve"> units’ report cards and other public reporting.</w:t>
      </w:r>
    </w:p>
    <w:p w14:paraId="77949F03" w14:textId="77777777" w:rsidR="002913B1" w:rsidRPr="001427AF" w:rsidRDefault="002913B1" w:rsidP="00C810F0">
      <w:pPr>
        <w:spacing w:line="240" w:lineRule="auto"/>
        <w:rPr>
          <w:rFonts w:ascii="Arial" w:hAnsi="Arial" w:cs="Arial"/>
          <w:color w:val="auto"/>
          <w:szCs w:val="24"/>
        </w:rPr>
      </w:pPr>
    </w:p>
    <w:p w14:paraId="44B8B889" w14:textId="33E31D73" w:rsidR="0091336C" w:rsidRPr="001427AF" w:rsidRDefault="0091336C" w:rsidP="001514C3">
      <w:pPr>
        <w:pStyle w:val="Heading2"/>
      </w:pPr>
      <w:bookmarkStart w:id="620" w:name="_Toc100132560"/>
      <w:bookmarkStart w:id="621" w:name="_Toc100132764"/>
      <w:bookmarkStart w:id="622" w:name="_Toc100136565"/>
      <w:bookmarkStart w:id="623" w:name="_Toc114211810"/>
      <w:bookmarkStart w:id="624" w:name="_Toc135812535"/>
      <w:bookmarkStart w:id="625" w:name="_Toc136418916"/>
      <w:bookmarkStart w:id="626" w:name="_Toc136419172"/>
      <w:bookmarkStart w:id="627" w:name="_Toc225404984"/>
      <w:r w:rsidRPr="001427AF">
        <w:t>Process for Determining Partial Enrollment</w:t>
      </w:r>
      <w:bookmarkEnd w:id="620"/>
      <w:bookmarkEnd w:id="621"/>
      <w:bookmarkEnd w:id="622"/>
      <w:bookmarkEnd w:id="623"/>
      <w:bookmarkEnd w:id="624"/>
      <w:bookmarkEnd w:id="625"/>
      <w:bookmarkEnd w:id="626"/>
      <w:bookmarkEnd w:id="627"/>
      <w:r w:rsidRPr="001427AF">
        <w:t xml:space="preserve"> </w:t>
      </w:r>
    </w:p>
    <w:p w14:paraId="691131A7" w14:textId="77777777" w:rsidR="00D15A00" w:rsidRPr="001427AF" w:rsidRDefault="00D15A00" w:rsidP="00D15A00">
      <w:pPr>
        <w:spacing w:line="240" w:lineRule="auto"/>
        <w:contextualSpacing/>
        <w:rPr>
          <w:rFonts w:ascii="Arial" w:hAnsi="Arial" w:cs="Arial"/>
          <w:color w:val="auto"/>
          <w:szCs w:val="24"/>
        </w:rPr>
      </w:pPr>
      <w:r w:rsidRPr="001427AF">
        <w:rPr>
          <w:rFonts w:ascii="Arial" w:hAnsi="Arial" w:cs="Arial"/>
          <w:color w:val="auto"/>
          <w:szCs w:val="24"/>
        </w:rPr>
        <w:t xml:space="preserve">North Carolina will use the following dates to determine partial enrollment (PE): partial enrollment yearlong (PEY), partial enrollment fall (PEF), and partial enrollment spring (PES). </w:t>
      </w:r>
    </w:p>
    <w:p w14:paraId="40955C68" w14:textId="7DA897B7" w:rsidR="00CC112E" w:rsidRPr="001427AF" w:rsidRDefault="00EB53E0" w:rsidP="00D15A00">
      <w:pPr>
        <w:spacing w:line="240" w:lineRule="auto"/>
        <w:contextualSpacing/>
        <w:rPr>
          <w:rFonts w:ascii="Arial" w:hAnsi="Arial" w:cs="Arial"/>
          <w:color w:val="auto"/>
          <w:szCs w:val="24"/>
        </w:rPr>
      </w:pPr>
      <w:r w:rsidRPr="00BF1F0E">
        <w:rPr>
          <w:rFonts w:ascii="Arial" w:hAnsi="Arial" w:cs="Arial"/>
          <w:noProof/>
          <w:color w:val="auto"/>
          <w:szCs w:val="24"/>
        </w:rPr>
        <w:lastRenderedPageBreak/>
        <w:drawing>
          <wp:inline distT="0" distB="0" distL="0" distR="0" wp14:anchorId="47D14AC1" wp14:editId="1DE06BBF">
            <wp:extent cx="5686425" cy="2124075"/>
            <wp:effectExtent l="19050" t="19050" r="28575" b="28575"/>
            <wp:docPr id="727187112" name="Picture 5">
              <a:extLst xmlns:a="http://schemas.openxmlformats.org/drawingml/2006/main">
                <a:ext uri="{FF2B5EF4-FFF2-40B4-BE49-F238E27FC236}">
                  <a16:creationId xmlns:a16="http://schemas.microsoft.com/office/drawing/2014/main" id="{52FD6539-DD54-BBB6-7406-5C10541F2B0B}"/>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187112" name="Picture 5">
                      <a:extLst>
                        <a:ext uri="{FF2B5EF4-FFF2-40B4-BE49-F238E27FC236}">
                          <a16:creationId xmlns:a16="http://schemas.microsoft.com/office/drawing/2014/main" id="{52FD6539-DD54-BBB6-7406-5C10541F2B0B}"/>
                        </a:ext>
                        <a:ext uri="{C183D7F6-B498-43B3-948B-1728B52AA6E4}">
                          <adec:decorative xmlns:adec="http://schemas.microsoft.com/office/drawing/2017/decorative" val="1"/>
                        </a:ext>
                      </a:extLst>
                    </pic:cNvPr>
                    <pic:cNvPicPr>
                      <a:picLocks/>
                    </pic:cNvPicPr>
                  </pic:nvPicPr>
                  <pic:blipFill>
                    <a:blip r:embed="rId27"/>
                    <a:srcRect l="15341" t="3112" r="16696" b="60612"/>
                    <a:stretch>
                      <a:fillRect/>
                    </a:stretch>
                  </pic:blipFill>
                  <pic:spPr>
                    <a:xfrm>
                      <a:off x="0" y="0"/>
                      <a:ext cx="5686425" cy="2124075"/>
                    </a:xfrm>
                    <a:prstGeom prst="rect">
                      <a:avLst/>
                    </a:prstGeom>
                    <a:ln w="12700">
                      <a:solidFill>
                        <a:schemeClr val="tx1"/>
                      </a:solidFill>
                    </a:ln>
                  </pic:spPr>
                </pic:pic>
              </a:graphicData>
            </a:graphic>
          </wp:inline>
        </w:drawing>
      </w:r>
    </w:p>
    <w:p w14:paraId="1C281B11" w14:textId="7348D9A1" w:rsidR="008E1693" w:rsidRPr="001427AF" w:rsidRDefault="008E1693" w:rsidP="008E1693">
      <w:pPr>
        <w:pStyle w:val="Caption"/>
        <w:rPr>
          <w:rFonts w:ascii="Arial" w:hAnsi="Arial" w:cs="Arial"/>
        </w:rPr>
      </w:pPr>
      <w:r w:rsidRPr="001427AF">
        <w:rPr>
          <w:rFonts w:ascii="Arial" w:hAnsi="Arial" w:cs="Arial"/>
        </w:rPr>
        <w:t xml:space="preserve">FIGURE </w:t>
      </w:r>
      <w:r w:rsidRPr="001427AF">
        <w:rPr>
          <w:rFonts w:ascii="Arial" w:hAnsi="Arial" w:cs="Arial"/>
        </w:rPr>
        <w:fldChar w:fldCharType="begin"/>
      </w:r>
      <w:r w:rsidRPr="001427AF">
        <w:rPr>
          <w:rFonts w:ascii="Arial" w:hAnsi="Arial" w:cs="Arial"/>
        </w:rPr>
        <w:instrText>SEQ FIGURE \* ARABIC</w:instrText>
      </w:r>
      <w:r w:rsidRPr="001427AF">
        <w:rPr>
          <w:rFonts w:ascii="Arial" w:hAnsi="Arial" w:cs="Arial"/>
        </w:rPr>
        <w:fldChar w:fldCharType="separate"/>
      </w:r>
      <w:r w:rsidR="00DB67EF">
        <w:rPr>
          <w:rFonts w:ascii="Arial" w:hAnsi="Arial" w:cs="Arial"/>
          <w:noProof/>
        </w:rPr>
        <w:t>1</w:t>
      </w:r>
      <w:r w:rsidRPr="001427AF">
        <w:rPr>
          <w:rFonts w:ascii="Arial" w:hAnsi="Arial" w:cs="Arial"/>
        </w:rPr>
        <w:fldChar w:fldCharType="end"/>
      </w:r>
      <w:r w:rsidRPr="001427AF">
        <w:rPr>
          <w:rFonts w:ascii="Arial" w:hAnsi="Arial" w:cs="Arial"/>
        </w:rPr>
        <w:t>. Determining partial enrollment year for yearlong courses.</w:t>
      </w:r>
    </w:p>
    <w:p w14:paraId="527B2F17" w14:textId="77777777" w:rsidR="00593F1A" w:rsidRPr="001427AF" w:rsidRDefault="00593F1A" w:rsidP="00593F1A">
      <w:pPr>
        <w:spacing w:line="240" w:lineRule="auto"/>
        <w:contextualSpacing/>
        <w:rPr>
          <w:rFonts w:ascii="Arial" w:hAnsi="Arial" w:cs="Arial"/>
          <w:color w:val="auto"/>
          <w:szCs w:val="24"/>
        </w:rPr>
      </w:pPr>
      <w:r w:rsidRPr="001427AF">
        <w:rPr>
          <w:rFonts w:ascii="Arial" w:hAnsi="Arial" w:cs="Arial"/>
          <w:color w:val="auto"/>
          <w:szCs w:val="24"/>
        </w:rPr>
        <w:t>Yearlong schools/courses (i.e., yearlong EOC and EOG proficiency and growth, The ACT, WorkKeys, and Math Course Rigor).</w:t>
      </w:r>
    </w:p>
    <w:p w14:paraId="5ACA693C" w14:textId="5BF78690" w:rsidR="00593F1A" w:rsidRPr="001427AF" w:rsidRDefault="00593F1A" w:rsidP="00CA5853">
      <w:pPr>
        <w:numPr>
          <w:ilvl w:val="0"/>
          <w:numId w:val="13"/>
        </w:numPr>
        <w:spacing w:line="240" w:lineRule="auto"/>
        <w:ind w:left="450"/>
        <w:contextualSpacing/>
        <w:rPr>
          <w:rFonts w:ascii="Arial" w:hAnsi="Arial" w:cs="Arial"/>
          <w:szCs w:val="24"/>
        </w:rPr>
      </w:pPr>
      <w:r w:rsidRPr="001427AF">
        <w:rPr>
          <w:rFonts w:ascii="Arial" w:hAnsi="Arial" w:cs="Arial"/>
          <w:color w:val="auto"/>
          <w:szCs w:val="24"/>
        </w:rPr>
        <w:t xml:space="preserve">Use the first day of school and the last day of school values in the Enrollment Calendar Table in the NCSIS to determine the date of the midpoint of the school year (PEY). </w:t>
      </w:r>
      <w:r w:rsidR="001F335C">
        <w:rPr>
          <w:rFonts w:ascii="Arial" w:hAnsi="Arial" w:cs="Arial"/>
          <w:color w:val="auto"/>
          <w:szCs w:val="24"/>
        </w:rPr>
        <w:t>T</w:t>
      </w:r>
      <w:r w:rsidRPr="001427AF">
        <w:rPr>
          <w:rFonts w:ascii="Arial" w:hAnsi="Arial" w:cs="Arial"/>
          <w:color w:val="auto"/>
          <w:szCs w:val="24"/>
        </w:rPr>
        <w:t>his information can be found under School Information/Scheduling Course/Calendar Set Up/Day Set Up.</w:t>
      </w:r>
    </w:p>
    <w:p w14:paraId="22340182" w14:textId="77777777" w:rsidR="00593F1A" w:rsidRPr="001427AF" w:rsidRDefault="00593F1A" w:rsidP="00CA5853">
      <w:pPr>
        <w:numPr>
          <w:ilvl w:val="0"/>
          <w:numId w:val="13"/>
        </w:numPr>
        <w:spacing w:line="240" w:lineRule="auto"/>
        <w:ind w:left="450"/>
        <w:contextualSpacing/>
        <w:rPr>
          <w:rFonts w:ascii="Arial" w:hAnsi="Arial" w:cs="Arial"/>
          <w:szCs w:val="24"/>
        </w:rPr>
      </w:pPr>
      <w:r w:rsidRPr="001427AF">
        <w:rPr>
          <w:rFonts w:ascii="Arial" w:hAnsi="Arial" w:cs="Arial"/>
          <w:color w:val="auto"/>
          <w:szCs w:val="24"/>
        </w:rPr>
        <w:t xml:space="preserve">Students with an entry date in the NCSIS that is on or before PEY will meet the partial enrollment criteria, and these scores will be included in all accountability calculations. </w:t>
      </w:r>
    </w:p>
    <w:p w14:paraId="74A76590" w14:textId="77777777" w:rsidR="0091336C" w:rsidRPr="001427AF" w:rsidRDefault="0091336C" w:rsidP="0091336C">
      <w:pPr>
        <w:spacing w:line="240" w:lineRule="auto"/>
        <w:contextualSpacing/>
        <w:rPr>
          <w:rFonts w:ascii="Arial" w:hAnsi="Arial" w:cs="Arial"/>
          <w:b/>
          <w:bCs/>
          <w:color w:val="auto"/>
          <w:szCs w:val="24"/>
        </w:rPr>
      </w:pPr>
    </w:p>
    <w:p w14:paraId="5ECFF03D" w14:textId="6A404A3F" w:rsidR="0084708E" w:rsidRPr="001427AF" w:rsidRDefault="0084708E" w:rsidP="0091336C">
      <w:pPr>
        <w:spacing w:line="240" w:lineRule="auto"/>
        <w:contextualSpacing/>
        <w:rPr>
          <w:rFonts w:ascii="Arial" w:hAnsi="Arial" w:cs="Arial"/>
          <w:b/>
          <w:bCs/>
          <w:color w:val="auto"/>
          <w:szCs w:val="24"/>
        </w:rPr>
      </w:pPr>
      <w:r w:rsidRPr="00BF1F0E">
        <w:rPr>
          <w:rFonts w:ascii="Arial" w:hAnsi="Arial" w:cs="Arial"/>
          <w:noProof/>
        </w:rPr>
        <w:drawing>
          <wp:inline distT="0" distB="0" distL="0" distR="0" wp14:anchorId="3F6D36EB" wp14:editId="1447E031">
            <wp:extent cx="5943600" cy="3145155"/>
            <wp:effectExtent l="19050" t="19050" r="19050" b="17145"/>
            <wp:docPr id="2714354" name="Picture 5">
              <a:extLst xmlns:a="http://schemas.openxmlformats.org/drawingml/2006/main">
                <a:ext uri="{FF2B5EF4-FFF2-40B4-BE49-F238E27FC236}">
                  <a16:creationId xmlns:a16="http://schemas.microsoft.com/office/drawing/2014/main" id="{0D13711A-D777-E005-88DA-E15A10ACEE13}"/>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4354" name="Picture 5">
                      <a:extLst>
                        <a:ext uri="{FF2B5EF4-FFF2-40B4-BE49-F238E27FC236}">
                          <a16:creationId xmlns:a16="http://schemas.microsoft.com/office/drawing/2014/main" id="{0D13711A-D777-E005-88DA-E15A10ACEE13}"/>
                        </a:ext>
                        <a:ext uri="{C183D7F6-B498-43B3-948B-1728B52AA6E4}">
                          <adec:decorative xmlns:adec="http://schemas.microsoft.com/office/drawing/2017/decorative" val="1"/>
                        </a:ext>
                      </a:extLst>
                    </pic:cNvPr>
                    <pic:cNvPicPr>
                      <a:picLocks/>
                    </pic:cNvPicPr>
                  </pic:nvPicPr>
                  <pic:blipFill>
                    <a:blip r:embed="rId28"/>
                    <a:srcRect l="11559" t="3112" r="9561" b="42899"/>
                    <a:stretch>
                      <a:fillRect/>
                    </a:stretch>
                  </pic:blipFill>
                  <pic:spPr>
                    <a:xfrm>
                      <a:off x="0" y="0"/>
                      <a:ext cx="5943600" cy="3145155"/>
                    </a:xfrm>
                    <a:prstGeom prst="rect">
                      <a:avLst/>
                    </a:prstGeom>
                    <a:ln w="12700">
                      <a:solidFill>
                        <a:schemeClr val="tx1"/>
                      </a:solidFill>
                    </a:ln>
                  </pic:spPr>
                </pic:pic>
              </a:graphicData>
            </a:graphic>
          </wp:inline>
        </w:drawing>
      </w:r>
    </w:p>
    <w:p w14:paraId="39407546" w14:textId="1983B825" w:rsidR="003E7EBA" w:rsidRPr="00BF1F0E" w:rsidRDefault="005D722C" w:rsidP="003E7EBA">
      <w:pPr>
        <w:pStyle w:val="Caption"/>
        <w:rPr>
          <w:rFonts w:ascii="Arial" w:hAnsi="Arial" w:cs="Arial"/>
          <w:iCs w:val="0"/>
        </w:rPr>
      </w:pPr>
      <w:r w:rsidRPr="000147F3">
        <w:rPr>
          <w:rFonts w:ascii="Arial" w:hAnsi="Arial" w:cs="Arial"/>
        </w:rPr>
        <w:t xml:space="preserve">FIGURE </w:t>
      </w:r>
      <w:r w:rsidRPr="000147F3">
        <w:rPr>
          <w:rFonts w:ascii="Arial" w:hAnsi="Arial" w:cs="Arial"/>
        </w:rPr>
        <w:fldChar w:fldCharType="begin"/>
      </w:r>
      <w:r w:rsidRPr="000147F3">
        <w:rPr>
          <w:rFonts w:ascii="Arial" w:hAnsi="Arial" w:cs="Arial"/>
        </w:rPr>
        <w:instrText>SEQ FIGURE \* ARABIC</w:instrText>
      </w:r>
      <w:r w:rsidRPr="000147F3">
        <w:rPr>
          <w:rFonts w:ascii="Arial" w:hAnsi="Arial" w:cs="Arial"/>
        </w:rPr>
        <w:fldChar w:fldCharType="separate"/>
      </w:r>
      <w:r w:rsidR="00DB67EF">
        <w:rPr>
          <w:rFonts w:ascii="Arial" w:hAnsi="Arial" w:cs="Arial"/>
          <w:noProof/>
        </w:rPr>
        <w:t>2</w:t>
      </w:r>
      <w:r w:rsidRPr="000147F3">
        <w:rPr>
          <w:rFonts w:ascii="Arial" w:hAnsi="Arial" w:cs="Arial"/>
        </w:rPr>
        <w:fldChar w:fldCharType="end"/>
      </w:r>
      <w:r w:rsidRPr="00BF1F0E">
        <w:rPr>
          <w:rFonts w:ascii="Arial" w:hAnsi="Arial" w:cs="Arial"/>
        </w:rPr>
        <w:t xml:space="preserve">. Determining partial enrollment for fall semester. </w:t>
      </w:r>
      <w:r w:rsidR="003E7EBA" w:rsidRPr="00BF1F0E">
        <w:rPr>
          <w:rFonts w:ascii="Arial" w:hAnsi="Arial" w:cs="Arial"/>
        </w:rPr>
        <w:br w:type="page"/>
      </w:r>
    </w:p>
    <w:p w14:paraId="388D9304" w14:textId="045E85D2" w:rsidR="00EE76F0" w:rsidRPr="001427AF" w:rsidRDefault="00EE76F0" w:rsidP="003E7EBA">
      <w:pPr>
        <w:pStyle w:val="Caption"/>
        <w:rPr>
          <w:rFonts w:ascii="Arial" w:hAnsi="Arial" w:cs="Arial"/>
          <w:szCs w:val="24"/>
        </w:rPr>
      </w:pPr>
      <w:r w:rsidRPr="00BF1F0E">
        <w:rPr>
          <w:rFonts w:ascii="Arial" w:hAnsi="Arial" w:cs="Arial"/>
          <w:color w:val="auto"/>
          <w:szCs w:val="24"/>
        </w:rPr>
        <w:lastRenderedPageBreak/>
        <w:t xml:space="preserve">Semester courses (EOC): Fall Semester: </w:t>
      </w:r>
    </w:p>
    <w:p w14:paraId="2A4DDF17" w14:textId="0B9769B0" w:rsidR="00EE76F0" w:rsidRPr="001427AF" w:rsidRDefault="00EE76F0" w:rsidP="00CA5853">
      <w:pPr>
        <w:numPr>
          <w:ilvl w:val="0"/>
          <w:numId w:val="149"/>
        </w:numPr>
        <w:spacing w:line="240" w:lineRule="auto"/>
        <w:contextualSpacing/>
        <w:rPr>
          <w:rFonts w:ascii="Arial" w:hAnsi="Arial" w:cs="Arial"/>
          <w:szCs w:val="24"/>
        </w:rPr>
      </w:pPr>
      <w:r w:rsidRPr="001427AF">
        <w:rPr>
          <w:rFonts w:ascii="Arial" w:hAnsi="Arial" w:cs="Arial"/>
          <w:color w:val="auto"/>
          <w:szCs w:val="24"/>
        </w:rPr>
        <w:t xml:space="preserve">Use the Enrollment Calendar Table in the NCSIS (this information can be found under School Information/Scheduling Course/Calendar Set Up/Day Set Up) to add four school days to the first day of fall (FDF) test date (FDF+4) to determine the end of semester date (cross-checked with the tenth day of spring semester [10S] date to ensure accuracy); public school unit test coordinators must accurately enter their FDF and 10S dates into the Accountability Collection Date Entry System (ACDE). </w:t>
      </w:r>
    </w:p>
    <w:p w14:paraId="087438A5" w14:textId="77777777" w:rsidR="00EE76F0" w:rsidRPr="001427AF" w:rsidRDefault="00EE76F0" w:rsidP="00CA5853">
      <w:pPr>
        <w:numPr>
          <w:ilvl w:val="0"/>
          <w:numId w:val="149"/>
        </w:numPr>
        <w:spacing w:line="240" w:lineRule="auto"/>
        <w:contextualSpacing/>
        <w:rPr>
          <w:rFonts w:ascii="Arial" w:hAnsi="Arial" w:cs="Arial"/>
        </w:rPr>
      </w:pPr>
      <w:r w:rsidRPr="001427AF">
        <w:rPr>
          <w:rFonts w:ascii="Arial" w:hAnsi="Arial" w:cs="Arial"/>
          <w:color w:val="auto"/>
        </w:rPr>
        <w:t xml:space="preserve">Use the first day of school in NCSIS and the FDF+4 date to determine fall semester start and end dates. </w:t>
      </w:r>
    </w:p>
    <w:p w14:paraId="6DADC9C3" w14:textId="5897C3DC" w:rsidR="00EE76F0" w:rsidRPr="001427AF" w:rsidRDefault="00EE76F0" w:rsidP="00CA5853">
      <w:pPr>
        <w:numPr>
          <w:ilvl w:val="0"/>
          <w:numId w:val="149"/>
        </w:numPr>
        <w:spacing w:line="240" w:lineRule="auto"/>
        <w:contextualSpacing/>
        <w:rPr>
          <w:rFonts w:ascii="Arial" w:hAnsi="Arial" w:cs="Arial"/>
          <w:szCs w:val="24"/>
        </w:rPr>
      </w:pPr>
      <w:r w:rsidRPr="001427AF">
        <w:rPr>
          <w:rFonts w:ascii="Arial" w:hAnsi="Arial" w:cs="Arial"/>
          <w:color w:val="auto"/>
          <w:szCs w:val="24"/>
        </w:rPr>
        <w:t xml:space="preserve">Use the NCSIS Enrollment Calendar Table to determine the midpoint of the fall semester (PEF). </w:t>
      </w:r>
      <w:r w:rsidR="00DE364C">
        <w:rPr>
          <w:rFonts w:ascii="Arial" w:hAnsi="Arial" w:cs="Arial"/>
          <w:color w:val="auto"/>
          <w:szCs w:val="24"/>
        </w:rPr>
        <w:t>T</w:t>
      </w:r>
      <w:r w:rsidRPr="001427AF">
        <w:rPr>
          <w:rFonts w:ascii="Arial" w:hAnsi="Arial" w:cs="Arial"/>
          <w:color w:val="auto"/>
          <w:szCs w:val="24"/>
        </w:rPr>
        <w:t>his information can be found under School Information/Scheduling Course/Calendar Set Up/Day Set Up.</w:t>
      </w:r>
    </w:p>
    <w:p w14:paraId="3F22240B" w14:textId="77777777" w:rsidR="00EE76F0" w:rsidRPr="001427AF" w:rsidRDefault="00EE76F0" w:rsidP="00CA5853">
      <w:pPr>
        <w:numPr>
          <w:ilvl w:val="0"/>
          <w:numId w:val="149"/>
        </w:numPr>
        <w:spacing w:line="240" w:lineRule="auto"/>
        <w:contextualSpacing/>
        <w:rPr>
          <w:rFonts w:ascii="Arial" w:hAnsi="Arial" w:cs="Arial"/>
          <w:szCs w:val="24"/>
        </w:rPr>
      </w:pPr>
      <w:r w:rsidRPr="001427AF">
        <w:rPr>
          <w:rFonts w:ascii="Arial" w:hAnsi="Arial" w:cs="Arial"/>
          <w:color w:val="auto"/>
          <w:szCs w:val="24"/>
        </w:rPr>
        <w:t xml:space="preserve">Students with an entry date in the NCSIS that is on or before PEF will meet the partial enrollment criteria, and these scores will be included in all accountability calculations. </w:t>
      </w:r>
    </w:p>
    <w:p w14:paraId="1C605D46" w14:textId="77777777" w:rsidR="005D722C" w:rsidRPr="001427AF" w:rsidRDefault="005D722C" w:rsidP="0091336C">
      <w:pPr>
        <w:spacing w:line="240" w:lineRule="auto"/>
        <w:contextualSpacing/>
        <w:rPr>
          <w:rFonts w:ascii="Arial" w:hAnsi="Arial" w:cs="Arial"/>
          <w:b/>
          <w:bCs/>
          <w:color w:val="auto"/>
          <w:szCs w:val="24"/>
        </w:rPr>
      </w:pPr>
    </w:p>
    <w:p w14:paraId="323FA112" w14:textId="4E130076" w:rsidR="00113E4E" w:rsidRPr="001427AF" w:rsidRDefault="00113E4E" w:rsidP="0091336C">
      <w:pPr>
        <w:spacing w:line="240" w:lineRule="auto"/>
        <w:contextualSpacing/>
        <w:rPr>
          <w:rFonts w:ascii="Arial" w:hAnsi="Arial" w:cs="Arial"/>
          <w:b/>
          <w:bCs/>
          <w:color w:val="auto"/>
          <w:szCs w:val="24"/>
        </w:rPr>
      </w:pPr>
      <w:r w:rsidRPr="00BF1F0E">
        <w:rPr>
          <w:rFonts w:ascii="Arial" w:hAnsi="Arial" w:cs="Arial"/>
          <w:noProof/>
        </w:rPr>
        <w:drawing>
          <wp:inline distT="0" distB="0" distL="0" distR="0" wp14:anchorId="4A058F4D" wp14:editId="0BB007DA">
            <wp:extent cx="5943600" cy="3373755"/>
            <wp:effectExtent l="19050" t="19050" r="19050" b="17145"/>
            <wp:docPr id="1042982133" name="Picture 5">
              <a:extLst xmlns:a="http://schemas.openxmlformats.org/drawingml/2006/main">
                <a:ext uri="{FF2B5EF4-FFF2-40B4-BE49-F238E27FC236}">
                  <a16:creationId xmlns:a16="http://schemas.microsoft.com/office/drawing/2014/main" id="{6917B403-B222-600C-5EC5-881182D6C0E1}"/>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2982133" name="Picture 5">
                      <a:extLst>
                        <a:ext uri="{FF2B5EF4-FFF2-40B4-BE49-F238E27FC236}">
                          <a16:creationId xmlns:a16="http://schemas.microsoft.com/office/drawing/2014/main" id="{6917B403-B222-600C-5EC5-881182D6C0E1}"/>
                        </a:ext>
                        <a:ext uri="{C183D7F6-B498-43B3-948B-1728B52AA6E4}">
                          <adec:decorative xmlns:adec="http://schemas.microsoft.com/office/drawing/2017/decorative" val="1"/>
                        </a:ext>
                      </a:extLst>
                    </pic:cNvPr>
                    <pic:cNvPicPr>
                      <a:picLocks/>
                    </pic:cNvPicPr>
                  </pic:nvPicPr>
                  <pic:blipFill>
                    <a:blip r:embed="rId29"/>
                    <a:srcRect l="14377" t="3112" r="13592" b="44006"/>
                    <a:stretch>
                      <a:fillRect/>
                    </a:stretch>
                  </pic:blipFill>
                  <pic:spPr>
                    <a:xfrm>
                      <a:off x="0" y="0"/>
                      <a:ext cx="5943600" cy="3373755"/>
                    </a:xfrm>
                    <a:prstGeom prst="rect">
                      <a:avLst/>
                    </a:prstGeom>
                    <a:ln w="12700">
                      <a:solidFill>
                        <a:schemeClr val="tx1"/>
                      </a:solidFill>
                    </a:ln>
                  </pic:spPr>
                </pic:pic>
              </a:graphicData>
            </a:graphic>
          </wp:inline>
        </w:drawing>
      </w:r>
    </w:p>
    <w:p w14:paraId="009E424A" w14:textId="36656088" w:rsidR="00E32B53" w:rsidRPr="001427AF" w:rsidRDefault="00E32B53" w:rsidP="00E32B53">
      <w:pPr>
        <w:pStyle w:val="Caption"/>
        <w:rPr>
          <w:rFonts w:ascii="Arial" w:hAnsi="Arial" w:cs="Arial"/>
        </w:rPr>
      </w:pPr>
      <w:r w:rsidRPr="001427AF">
        <w:rPr>
          <w:rFonts w:ascii="Arial" w:hAnsi="Arial" w:cs="Arial"/>
        </w:rPr>
        <w:t xml:space="preserve">FIGURE </w:t>
      </w:r>
      <w:r w:rsidRPr="001427AF">
        <w:rPr>
          <w:rFonts w:ascii="Arial" w:hAnsi="Arial" w:cs="Arial"/>
        </w:rPr>
        <w:fldChar w:fldCharType="begin"/>
      </w:r>
      <w:r w:rsidRPr="001427AF">
        <w:rPr>
          <w:rFonts w:ascii="Arial" w:hAnsi="Arial" w:cs="Arial"/>
        </w:rPr>
        <w:instrText>SEQ FIGURE \* ARABIC</w:instrText>
      </w:r>
      <w:r w:rsidRPr="001427AF">
        <w:rPr>
          <w:rFonts w:ascii="Arial" w:hAnsi="Arial" w:cs="Arial"/>
        </w:rPr>
        <w:fldChar w:fldCharType="separate"/>
      </w:r>
      <w:r w:rsidR="00DB67EF">
        <w:rPr>
          <w:rFonts w:ascii="Arial" w:hAnsi="Arial" w:cs="Arial"/>
          <w:noProof/>
        </w:rPr>
        <w:t>3</w:t>
      </w:r>
      <w:r w:rsidRPr="001427AF">
        <w:rPr>
          <w:rFonts w:ascii="Arial" w:hAnsi="Arial" w:cs="Arial"/>
        </w:rPr>
        <w:fldChar w:fldCharType="end"/>
      </w:r>
      <w:r w:rsidRPr="001427AF">
        <w:rPr>
          <w:rFonts w:ascii="Arial" w:hAnsi="Arial" w:cs="Arial"/>
        </w:rPr>
        <w:t>. Determining partial enrollment for spring semester.</w:t>
      </w:r>
    </w:p>
    <w:p w14:paraId="6BDE17EC" w14:textId="77777777" w:rsidR="001C7DC5" w:rsidRPr="001427AF" w:rsidRDefault="001C7DC5" w:rsidP="001C7DC5">
      <w:pPr>
        <w:spacing w:line="240" w:lineRule="auto"/>
        <w:contextualSpacing/>
        <w:rPr>
          <w:rFonts w:ascii="Arial" w:hAnsi="Arial" w:cs="Arial"/>
          <w:szCs w:val="24"/>
        </w:rPr>
      </w:pPr>
      <w:r w:rsidRPr="001427AF">
        <w:rPr>
          <w:rFonts w:ascii="Arial" w:hAnsi="Arial" w:cs="Arial"/>
          <w:color w:val="auto"/>
          <w:szCs w:val="24"/>
        </w:rPr>
        <w:t xml:space="preserve">Semester courses (EOC): Spring Semester: </w:t>
      </w:r>
    </w:p>
    <w:p w14:paraId="4248BBB6" w14:textId="68F8803D" w:rsidR="001C7DC5" w:rsidRPr="001427AF" w:rsidRDefault="001C7DC5" w:rsidP="00CA5853">
      <w:pPr>
        <w:numPr>
          <w:ilvl w:val="0"/>
          <w:numId w:val="150"/>
        </w:numPr>
        <w:spacing w:line="240" w:lineRule="auto"/>
        <w:contextualSpacing/>
        <w:rPr>
          <w:rFonts w:ascii="Arial" w:hAnsi="Arial" w:cs="Arial"/>
          <w:szCs w:val="24"/>
        </w:rPr>
      </w:pPr>
      <w:r w:rsidRPr="001427AF">
        <w:rPr>
          <w:rFonts w:ascii="Arial" w:hAnsi="Arial" w:cs="Arial"/>
          <w:color w:val="auto"/>
          <w:szCs w:val="24"/>
        </w:rPr>
        <w:t xml:space="preserve">Use the Enrollment Calendar Table in the NCSIS (this information can be found under School Information/Scheduling Course/Calendar Set Up/Day Set Up) to add five school days to the FDF date (FDF+5) to determine the first day of the spring semester (cross check with the 10S date to ensure accuracy); public school unit TCs must accurately enter their FDF and 10S dates into ACDE. </w:t>
      </w:r>
    </w:p>
    <w:p w14:paraId="7B55FC12" w14:textId="77777777" w:rsidR="001C7DC5" w:rsidRPr="001427AF" w:rsidRDefault="001C7DC5" w:rsidP="00CA5853">
      <w:pPr>
        <w:numPr>
          <w:ilvl w:val="0"/>
          <w:numId w:val="150"/>
        </w:numPr>
        <w:spacing w:line="240" w:lineRule="auto"/>
        <w:contextualSpacing/>
        <w:rPr>
          <w:rFonts w:ascii="Arial" w:hAnsi="Arial" w:cs="Arial"/>
          <w:szCs w:val="24"/>
        </w:rPr>
      </w:pPr>
      <w:r w:rsidRPr="001427AF">
        <w:rPr>
          <w:rFonts w:ascii="Arial" w:hAnsi="Arial" w:cs="Arial"/>
          <w:color w:val="auto"/>
          <w:szCs w:val="24"/>
        </w:rPr>
        <w:t xml:space="preserve">Use the FDF+5 date and the last day of school date in the NCSIS to determine the spring semester start and end dates. </w:t>
      </w:r>
    </w:p>
    <w:p w14:paraId="2CB43F44" w14:textId="351737C2" w:rsidR="001C7DC5" w:rsidRPr="001427AF" w:rsidRDefault="001C7DC5" w:rsidP="00CA5853">
      <w:pPr>
        <w:numPr>
          <w:ilvl w:val="0"/>
          <w:numId w:val="150"/>
        </w:numPr>
        <w:spacing w:line="240" w:lineRule="auto"/>
        <w:contextualSpacing/>
        <w:rPr>
          <w:rFonts w:ascii="Arial" w:hAnsi="Arial" w:cs="Arial"/>
          <w:szCs w:val="24"/>
        </w:rPr>
      </w:pPr>
      <w:r w:rsidRPr="001427AF">
        <w:rPr>
          <w:rFonts w:ascii="Arial" w:hAnsi="Arial" w:cs="Arial"/>
          <w:color w:val="auto"/>
          <w:szCs w:val="24"/>
        </w:rPr>
        <w:lastRenderedPageBreak/>
        <w:t xml:space="preserve">Use the Enrollment Calendar Table in the NCSIS (to determine the midpoint of the spring semester (PES). </w:t>
      </w:r>
      <w:r w:rsidR="00721D25">
        <w:rPr>
          <w:rFonts w:ascii="Arial" w:hAnsi="Arial" w:cs="Arial"/>
          <w:color w:val="auto"/>
          <w:szCs w:val="24"/>
        </w:rPr>
        <w:t>T</w:t>
      </w:r>
      <w:r w:rsidRPr="001427AF">
        <w:rPr>
          <w:rFonts w:ascii="Arial" w:hAnsi="Arial" w:cs="Arial"/>
          <w:color w:val="auto"/>
          <w:szCs w:val="24"/>
        </w:rPr>
        <w:t>his information can be found under School Information/Scheduling Course/Calendar Set Up/Day Set Up.</w:t>
      </w:r>
    </w:p>
    <w:p w14:paraId="330B2B15" w14:textId="19EBEFF1" w:rsidR="005D722C" w:rsidRPr="001427AF" w:rsidRDefault="001C7DC5" w:rsidP="00CA5853">
      <w:pPr>
        <w:pStyle w:val="ListParagraph"/>
        <w:numPr>
          <w:ilvl w:val="0"/>
          <w:numId w:val="150"/>
        </w:numPr>
        <w:spacing w:line="240" w:lineRule="auto"/>
        <w:rPr>
          <w:rFonts w:ascii="Arial" w:hAnsi="Arial" w:cs="Arial"/>
          <w:b/>
          <w:bCs/>
          <w:color w:val="auto"/>
          <w:szCs w:val="24"/>
        </w:rPr>
      </w:pPr>
      <w:r w:rsidRPr="001427AF">
        <w:rPr>
          <w:rFonts w:ascii="Arial" w:hAnsi="Arial" w:cs="Arial"/>
          <w:color w:val="auto"/>
          <w:szCs w:val="24"/>
        </w:rPr>
        <w:t>Students with an entry date in the NCSIS that is on or before PES will meet the partial enrollment criteria, and these scores will be included in all accountability calculations.</w:t>
      </w:r>
    </w:p>
    <w:p w14:paraId="37D90CEE" w14:textId="77777777" w:rsidR="005D722C" w:rsidRPr="001427AF" w:rsidRDefault="005D722C" w:rsidP="0091336C">
      <w:pPr>
        <w:spacing w:line="240" w:lineRule="auto"/>
        <w:contextualSpacing/>
        <w:rPr>
          <w:rFonts w:ascii="Arial" w:hAnsi="Arial" w:cs="Arial"/>
          <w:b/>
          <w:bCs/>
          <w:color w:val="auto"/>
          <w:szCs w:val="24"/>
        </w:rPr>
      </w:pPr>
    </w:p>
    <w:p w14:paraId="09162061" w14:textId="77777777" w:rsidR="00D65127" w:rsidRPr="001427AF" w:rsidRDefault="00D65127" w:rsidP="001514C3">
      <w:pPr>
        <w:pStyle w:val="Heading2"/>
      </w:pPr>
      <w:bookmarkStart w:id="628" w:name="_Toc225404985"/>
      <w:r w:rsidRPr="001427AF">
        <w:t>Additional Information</w:t>
      </w:r>
      <w:bookmarkEnd w:id="628"/>
      <w:r w:rsidRPr="001427AF">
        <w:t xml:space="preserve"> </w:t>
      </w:r>
    </w:p>
    <w:p w14:paraId="30E4CF3A" w14:textId="77777777" w:rsidR="00D65127"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 xml:space="preserve">If the semester or year has an uneven number of days, the midpoint will extend the second half of the timeframe by one day. </w:t>
      </w:r>
    </w:p>
    <w:p w14:paraId="6D96F853" w14:textId="0E6FE0C7" w:rsidR="004534B5" w:rsidRPr="001427AF" w:rsidRDefault="004534B5" w:rsidP="00CA5853">
      <w:pPr>
        <w:numPr>
          <w:ilvl w:val="0"/>
          <w:numId w:val="125"/>
        </w:numPr>
        <w:spacing w:line="240" w:lineRule="auto"/>
        <w:contextualSpacing/>
        <w:rPr>
          <w:rFonts w:ascii="Arial" w:hAnsi="Arial" w:cs="Arial"/>
          <w:color w:val="auto"/>
          <w:szCs w:val="24"/>
        </w:rPr>
      </w:pPr>
      <w:r>
        <w:rPr>
          <w:rFonts w:ascii="Arial" w:hAnsi="Arial" w:cs="Arial"/>
          <w:color w:val="auto"/>
          <w:szCs w:val="24"/>
        </w:rPr>
        <w:t xml:space="preserve">If a semester has an even number of days, </w:t>
      </w:r>
      <w:r w:rsidR="0078776F">
        <w:rPr>
          <w:rFonts w:ascii="Arial" w:hAnsi="Arial" w:cs="Arial"/>
          <w:color w:val="auto"/>
          <w:szCs w:val="24"/>
        </w:rPr>
        <w:t xml:space="preserve">the midpoint </w:t>
      </w:r>
      <w:r w:rsidR="00486BDA">
        <w:rPr>
          <w:rFonts w:ascii="Arial" w:hAnsi="Arial" w:cs="Arial"/>
          <w:color w:val="auto"/>
          <w:szCs w:val="24"/>
        </w:rPr>
        <w:t xml:space="preserve">will be </w:t>
      </w:r>
      <w:r w:rsidR="0002275A">
        <w:rPr>
          <w:rFonts w:ascii="Arial" w:hAnsi="Arial" w:cs="Arial"/>
          <w:color w:val="auto"/>
          <w:szCs w:val="24"/>
        </w:rPr>
        <w:t>extended by one day to keep an equal number of days (</w:t>
      </w:r>
      <w:r w:rsidR="00CB2CCD">
        <w:rPr>
          <w:rFonts w:ascii="Arial" w:hAnsi="Arial" w:cs="Arial"/>
          <w:color w:val="auto"/>
          <w:szCs w:val="24"/>
        </w:rPr>
        <w:t xml:space="preserve">i.e., divide by two and add one). </w:t>
      </w:r>
    </w:p>
    <w:p w14:paraId="54EEC16E" w14:textId="47061468"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 xml:space="preserve">Public school units must modify the data collection and NCSIS dates as appropriate (refer to </w:t>
      </w:r>
      <w:r w:rsidR="00362DDB" w:rsidRPr="001427AF">
        <w:rPr>
          <w:rFonts w:ascii="Arial" w:hAnsi="Arial" w:cs="Arial"/>
          <w:color w:val="auto"/>
          <w:szCs w:val="24"/>
        </w:rPr>
        <w:t>the outlined</w:t>
      </w:r>
      <w:r w:rsidRPr="001427AF">
        <w:rPr>
          <w:rFonts w:ascii="Arial" w:hAnsi="Arial" w:cs="Arial"/>
          <w:color w:val="auto"/>
          <w:szCs w:val="24"/>
        </w:rPr>
        <w:t xml:space="preserve"> authoritative sources in ACDE documentation) when calendars are modified due to weather or other unforeseen circumstances. </w:t>
      </w:r>
    </w:p>
    <w:p w14:paraId="667F7F3C" w14:textId="77777777"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 xml:space="preserve">Partial enrollment applies to the most current enrollment date from the NCSIS and calculates the consecutive enrollment days concluding at either the end of the semester or end of the year. </w:t>
      </w:r>
    </w:p>
    <w:p w14:paraId="44411EAD" w14:textId="77777777"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 xml:space="preserve">Summer school test scores (after July 6) are used in accountability calculations for the subsequent school year and by default will meet PE requirements. </w:t>
      </w:r>
    </w:p>
    <w:p w14:paraId="1142B2AF" w14:textId="77777777"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Test scores from credit recovery courses and approved testing outside the window requests will be set to meet PE requirements.</w:t>
      </w:r>
    </w:p>
    <w:p w14:paraId="46CDA343" w14:textId="77777777"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 xml:space="preserve">The expectation to assess 95% of all students is not contingent upon a student meeting the partial enrollment criteria. </w:t>
      </w:r>
    </w:p>
    <w:p w14:paraId="59FD2A50" w14:textId="77777777"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All students (regardless of PE guidelines) are included in the calculation of participation and the reporting of performance for purposes other than the accountability model.</w:t>
      </w:r>
    </w:p>
    <w:p w14:paraId="604D2B42" w14:textId="77777777"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 xml:space="preserve">For midyear graduating students at grade 12, partial enrollment for Math Course Rigor and </w:t>
      </w:r>
      <w:bookmarkStart w:id="629" w:name="_Int_NC70NmNg"/>
      <w:proofErr w:type="gramStart"/>
      <w:r w:rsidRPr="001427AF">
        <w:rPr>
          <w:rFonts w:ascii="Arial" w:hAnsi="Arial" w:cs="Arial"/>
          <w:color w:val="auto"/>
          <w:szCs w:val="24"/>
        </w:rPr>
        <w:t>The</w:t>
      </w:r>
      <w:bookmarkEnd w:id="629"/>
      <w:proofErr w:type="gramEnd"/>
      <w:r w:rsidRPr="001427AF">
        <w:rPr>
          <w:rFonts w:ascii="Arial" w:hAnsi="Arial" w:cs="Arial"/>
          <w:color w:val="auto"/>
          <w:szCs w:val="24"/>
        </w:rPr>
        <w:t xml:space="preserve"> ACT/WorkKeys will use PEF status when determining inclusion in the accountability model.</w:t>
      </w:r>
    </w:p>
    <w:p w14:paraId="0B8167E9" w14:textId="77777777" w:rsidR="00D65127" w:rsidRPr="001427AF" w:rsidRDefault="00D65127" w:rsidP="00CA5853">
      <w:pPr>
        <w:numPr>
          <w:ilvl w:val="0"/>
          <w:numId w:val="125"/>
        </w:numPr>
        <w:spacing w:line="240" w:lineRule="auto"/>
        <w:contextualSpacing/>
        <w:rPr>
          <w:rFonts w:ascii="Arial" w:hAnsi="Arial" w:cs="Arial"/>
          <w:color w:val="auto"/>
          <w:szCs w:val="24"/>
        </w:rPr>
      </w:pPr>
      <w:r w:rsidRPr="001427AF">
        <w:rPr>
          <w:rFonts w:ascii="Arial" w:hAnsi="Arial" w:cs="Arial"/>
          <w:color w:val="auto"/>
          <w:szCs w:val="24"/>
        </w:rPr>
        <w:t>For The ACT/WorkKeys indicator, partial enrollment will be based on the student’s enrollment information during the grade 12 year. </w:t>
      </w:r>
    </w:p>
    <w:p w14:paraId="6E80204B" w14:textId="64F4E81D" w:rsidR="00CD6F4D" w:rsidRPr="001427AF" w:rsidRDefault="0044673C">
      <w:pPr>
        <w:spacing w:line="240" w:lineRule="auto"/>
        <w:rPr>
          <w:rFonts w:ascii="Arial" w:hAnsi="Arial" w:cs="Arial"/>
        </w:rPr>
      </w:pPr>
      <w:r w:rsidRPr="001427AF">
        <w:rPr>
          <w:rFonts w:ascii="Arial" w:hAnsi="Arial" w:cs="Arial"/>
        </w:rPr>
        <w:br w:type="page"/>
      </w:r>
    </w:p>
    <w:p w14:paraId="6AAB2320" w14:textId="0B9661F1" w:rsidR="009D54CF" w:rsidRPr="001427AF" w:rsidRDefault="008660F9" w:rsidP="00D32024">
      <w:pPr>
        <w:pStyle w:val="Heading1"/>
      </w:pPr>
      <w:bookmarkStart w:id="630" w:name="_Toc135812536"/>
      <w:bookmarkStart w:id="631" w:name="_Toc136418917"/>
      <w:bookmarkStart w:id="632" w:name="_Toc136419173"/>
      <w:bookmarkStart w:id="633" w:name="_Toc225404986"/>
      <w:r w:rsidRPr="001427AF">
        <w:lastRenderedPageBreak/>
        <w:t xml:space="preserve">Alternative </w:t>
      </w:r>
      <w:r w:rsidR="0009734B" w:rsidRPr="001427AF">
        <w:t>S</w:t>
      </w:r>
      <w:r w:rsidRPr="001427AF">
        <w:t xml:space="preserve">chools’ </w:t>
      </w:r>
      <w:r w:rsidR="00275E32" w:rsidRPr="001427AF">
        <w:t>M</w:t>
      </w:r>
      <w:r w:rsidRPr="001427AF">
        <w:t>odified</w:t>
      </w:r>
      <w:r w:rsidR="00EC06CE" w:rsidRPr="001427AF">
        <w:t xml:space="preserve"> </w:t>
      </w:r>
      <w:r w:rsidR="00275E32" w:rsidRPr="001427AF">
        <w:t>A</w:t>
      </w:r>
      <w:r w:rsidRPr="001427AF">
        <w:t xml:space="preserve">ccountability </w:t>
      </w:r>
      <w:r w:rsidR="00275E32" w:rsidRPr="001427AF">
        <w:t>S</w:t>
      </w:r>
      <w:r w:rsidRPr="001427AF">
        <w:t>ystem</w:t>
      </w:r>
      <w:bookmarkEnd w:id="630"/>
      <w:bookmarkEnd w:id="631"/>
      <w:bookmarkEnd w:id="632"/>
      <w:bookmarkEnd w:id="633"/>
      <w:r w:rsidR="0054650D" w:rsidRPr="001427AF">
        <w:fldChar w:fldCharType="begin"/>
      </w:r>
      <w:r w:rsidR="0054650D" w:rsidRPr="001427AF">
        <w:instrText xml:space="preserve"> XE "Alternative Schools’ Modified Accountability System" </w:instrText>
      </w:r>
      <w:r w:rsidR="0054650D" w:rsidRPr="001427AF">
        <w:fldChar w:fldCharType="end"/>
      </w:r>
    </w:p>
    <w:p w14:paraId="6C3CBA29" w14:textId="5C957FFC" w:rsidR="003E6C3A" w:rsidRPr="001427AF" w:rsidRDefault="003E6C3A" w:rsidP="00601027">
      <w:pPr>
        <w:pStyle w:val="NormalWeb"/>
        <w:spacing w:before="0" w:beforeAutospacing="0" w:after="0" w:afterAutospacing="0"/>
        <w:contextualSpacing/>
        <w:rPr>
          <w:rFonts w:ascii="Arial" w:hAnsi="Arial" w:cs="Arial"/>
          <w:color w:val="000000"/>
        </w:rPr>
      </w:pPr>
    </w:p>
    <w:p w14:paraId="4465C008" w14:textId="2F1F6EA5" w:rsidR="00F57CB1" w:rsidRPr="001427AF" w:rsidRDefault="003E6C3A" w:rsidP="007E7B63">
      <w:pPr>
        <w:pStyle w:val="NormalWeb"/>
        <w:spacing w:before="0" w:beforeAutospacing="0" w:after="0" w:afterAutospacing="0"/>
        <w:contextualSpacing/>
        <w:rPr>
          <w:rFonts w:ascii="Arial" w:hAnsi="Arial" w:cs="Arial"/>
        </w:rPr>
      </w:pPr>
      <w:r w:rsidRPr="001427AF">
        <w:rPr>
          <w:rFonts w:ascii="Arial" w:hAnsi="Arial" w:cs="Arial"/>
          <w:color w:val="000000" w:themeColor="text1"/>
        </w:rPr>
        <w:t xml:space="preserve">The Alternative Schools’ Modified Accountability System (ASMAS) was developed to provide additional accountability information on eligible schools and to supplement the SPG </w:t>
      </w:r>
      <w:r w:rsidR="00830A81" w:rsidRPr="001427AF">
        <w:rPr>
          <w:rFonts w:ascii="Arial" w:hAnsi="Arial" w:cs="Arial"/>
          <w:color w:val="000000" w:themeColor="text1"/>
        </w:rPr>
        <w:t xml:space="preserve">as defined by </w:t>
      </w:r>
      <w:r w:rsidRPr="001427AF">
        <w:rPr>
          <w:rFonts w:ascii="Arial" w:hAnsi="Arial" w:cs="Arial"/>
          <w:color w:val="000000" w:themeColor="text1"/>
        </w:rPr>
        <w:t>G.S</w:t>
      </w:r>
      <w:r w:rsidR="00637645" w:rsidRPr="001427AF">
        <w:rPr>
          <w:rFonts w:ascii="Arial" w:hAnsi="Arial" w:cs="Arial"/>
          <w:color w:val="000000" w:themeColor="text1"/>
        </w:rPr>
        <w:t>.</w:t>
      </w:r>
      <w:r w:rsidRPr="001427AF">
        <w:rPr>
          <w:rFonts w:ascii="Arial" w:hAnsi="Arial" w:cs="Arial"/>
          <w:color w:val="000000" w:themeColor="text1"/>
        </w:rPr>
        <w:t xml:space="preserve"> §115C-83.</w:t>
      </w:r>
      <w:r w:rsidRPr="001427AF" w:rsidDel="009104E6">
        <w:rPr>
          <w:rFonts w:ascii="Arial" w:hAnsi="Arial" w:cs="Arial"/>
          <w:color w:val="000000" w:themeColor="text1"/>
        </w:rPr>
        <w:t>15</w:t>
      </w:r>
      <w:r w:rsidRPr="001427AF">
        <w:rPr>
          <w:rFonts w:ascii="Arial" w:hAnsi="Arial" w:cs="Arial"/>
          <w:color w:val="000000" w:themeColor="text1"/>
        </w:rPr>
        <w:t xml:space="preserve">. North Carolina Administrative Code </w:t>
      </w:r>
      <w:hyperlink r:id="rId30" w:history="1">
        <w:r w:rsidR="00AC71CD" w:rsidRPr="001427AF">
          <w:rPr>
            <w:rStyle w:val="Hyperlink"/>
            <w:rFonts w:ascii="Arial" w:hAnsi="Arial" w:cs="Arial"/>
          </w:rPr>
          <w:t>16 NCAC 06G</w:t>
        </w:r>
        <w:r w:rsidR="00AF68D8" w:rsidRPr="001427AF">
          <w:rPr>
            <w:rStyle w:val="Hyperlink"/>
            <w:rFonts w:ascii="Arial" w:hAnsi="Arial" w:cs="Arial"/>
          </w:rPr>
          <w:t xml:space="preserve"> .0314</w:t>
        </w:r>
      </w:hyperlink>
      <w:r w:rsidR="00CB6F6D" w:rsidRPr="001427AF">
        <w:rPr>
          <w:rFonts w:ascii="Arial" w:hAnsi="Arial" w:cs="Arial"/>
          <w:color w:val="000000" w:themeColor="text1"/>
        </w:rPr>
        <w:t xml:space="preserve"> </w:t>
      </w:r>
      <w:r w:rsidRPr="001427AF">
        <w:rPr>
          <w:rFonts w:ascii="Arial" w:hAnsi="Arial" w:cs="Arial"/>
          <w:color w:val="000000" w:themeColor="text1"/>
        </w:rPr>
        <w:t xml:space="preserve">establishes the eligibility criteria for participation and the options available for eligible schools to use. Eligible schools have a calculated school performance grade only for the purposes of identifying Comprehensive Support and Improvement </w:t>
      </w:r>
      <w:r w:rsidR="00830A81" w:rsidRPr="001427AF">
        <w:rPr>
          <w:rFonts w:ascii="Arial" w:hAnsi="Arial" w:cs="Arial"/>
          <w:color w:val="000000" w:themeColor="text1"/>
        </w:rPr>
        <w:t xml:space="preserve">(CSI) </w:t>
      </w:r>
      <w:r w:rsidRPr="001427AF">
        <w:rPr>
          <w:rFonts w:ascii="Arial" w:hAnsi="Arial" w:cs="Arial"/>
          <w:color w:val="000000" w:themeColor="text1"/>
        </w:rPr>
        <w:t xml:space="preserve">schools or Targeted Support and Improvement </w:t>
      </w:r>
      <w:r w:rsidR="00830A81" w:rsidRPr="001427AF">
        <w:rPr>
          <w:rFonts w:ascii="Arial" w:hAnsi="Arial" w:cs="Arial"/>
          <w:color w:val="000000" w:themeColor="text1"/>
        </w:rPr>
        <w:t xml:space="preserve">(TSI) </w:t>
      </w:r>
      <w:r w:rsidRPr="001427AF">
        <w:rPr>
          <w:rFonts w:ascii="Arial" w:hAnsi="Arial" w:cs="Arial"/>
          <w:color w:val="000000" w:themeColor="text1"/>
        </w:rPr>
        <w:t xml:space="preserve">schools under the ESSA. Schools identified by this model continue to be part of accountability reporting and are required to be included in assessment participation reporting. </w:t>
      </w:r>
      <w:r w:rsidR="00CB427A" w:rsidRPr="001427AF">
        <w:rPr>
          <w:rFonts w:ascii="Arial" w:hAnsi="Arial" w:cs="Arial"/>
          <w:color w:val="000000" w:themeColor="text1"/>
        </w:rPr>
        <w:t>For further information, p</w:t>
      </w:r>
      <w:r w:rsidRPr="001427AF">
        <w:rPr>
          <w:rFonts w:ascii="Arial" w:hAnsi="Arial" w:cs="Arial"/>
          <w:color w:val="000000" w:themeColor="text1"/>
        </w:rPr>
        <w:t>lease refer to the</w:t>
      </w:r>
      <w:r w:rsidR="00830A81" w:rsidRPr="001427AF">
        <w:rPr>
          <w:rFonts w:ascii="Arial" w:hAnsi="Arial" w:cs="Arial"/>
          <w:color w:val="000000" w:themeColor="text1"/>
        </w:rPr>
        <w:t xml:space="preserve"> </w:t>
      </w:r>
      <w:hyperlink r:id="rId31" w:history="1">
        <w:r w:rsidR="00830A81" w:rsidRPr="00D23927">
          <w:rPr>
            <w:rStyle w:val="Hyperlink"/>
            <w:rFonts w:ascii="Arial" w:hAnsi="Arial" w:cs="Arial"/>
            <w:i/>
            <w:iCs/>
          </w:rPr>
          <w:t>Alternative Schools’ Modified Accountability System Manual</w:t>
        </w:r>
      </w:hyperlink>
      <w:r w:rsidR="001C7EFE">
        <w:rPr>
          <w:rFonts w:ascii="Arial" w:hAnsi="Arial" w:cs="Arial"/>
          <w:color w:val="000000" w:themeColor="text1"/>
        </w:rPr>
        <w:t>.</w:t>
      </w:r>
      <w:r w:rsidR="00D91D4C" w:rsidRPr="001427AF">
        <w:rPr>
          <w:rFonts w:ascii="Arial" w:hAnsi="Arial" w:cs="Arial"/>
        </w:rPr>
        <w:br w:type="page"/>
      </w:r>
    </w:p>
    <w:p w14:paraId="7B88E7C0" w14:textId="38E7E683" w:rsidR="00BB686D" w:rsidRPr="001427AF" w:rsidRDefault="00C43422" w:rsidP="00D32024">
      <w:pPr>
        <w:pStyle w:val="Heading1"/>
      </w:pPr>
      <w:bookmarkStart w:id="634" w:name="_Toc116913554"/>
      <w:bookmarkStart w:id="635" w:name="_Toc116913756"/>
      <w:bookmarkStart w:id="636" w:name="_Toc117160498"/>
      <w:bookmarkStart w:id="637" w:name="_Toc135812537"/>
      <w:bookmarkStart w:id="638" w:name="_Toc136418918"/>
      <w:bookmarkStart w:id="639" w:name="_Toc136419174"/>
      <w:bookmarkStart w:id="640" w:name="_Toc225404987"/>
      <w:bookmarkEnd w:id="634"/>
      <w:bookmarkEnd w:id="635"/>
      <w:bookmarkEnd w:id="636"/>
      <w:r w:rsidRPr="001427AF">
        <w:lastRenderedPageBreak/>
        <w:t>English Learner Progress</w:t>
      </w:r>
      <w:bookmarkEnd w:id="637"/>
      <w:bookmarkEnd w:id="638"/>
      <w:bookmarkEnd w:id="639"/>
      <w:bookmarkEnd w:id="640"/>
      <w:r w:rsidR="0054650D" w:rsidRPr="001427AF">
        <w:fldChar w:fldCharType="begin"/>
      </w:r>
      <w:r w:rsidR="0054650D" w:rsidRPr="001427AF">
        <w:instrText xml:space="preserve"> XE "English Learner Progress" </w:instrText>
      </w:r>
      <w:r w:rsidR="0054650D" w:rsidRPr="001427AF">
        <w:fldChar w:fldCharType="end"/>
      </w:r>
      <w:r w:rsidRPr="001427AF">
        <w:t xml:space="preserve"> </w:t>
      </w:r>
    </w:p>
    <w:p w14:paraId="6A566528" w14:textId="77777777" w:rsidR="00BB686D" w:rsidRPr="001427AF" w:rsidRDefault="00BB686D" w:rsidP="00F45BEA">
      <w:pPr>
        <w:rPr>
          <w:rFonts w:ascii="Arial" w:hAnsi="Arial" w:cs="Arial"/>
        </w:rPr>
      </w:pPr>
    </w:p>
    <w:p w14:paraId="3DC9061D" w14:textId="733C8D4D" w:rsidR="00390260" w:rsidRPr="001427AF" w:rsidRDefault="00390260" w:rsidP="001514C3">
      <w:pPr>
        <w:pStyle w:val="Heading2"/>
      </w:pPr>
      <w:bookmarkStart w:id="641" w:name="_Toc100132563"/>
      <w:bookmarkStart w:id="642" w:name="_Toc100132767"/>
      <w:bookmarkStart w:id="643" w:name="_Toc100136568"/>
      <w:bookmarkStart w:id="644" w:name="_Toc114211813"/>
      <w:bookmarkStart w:id="645" w:name="_Toc135812538"/>
      <w:bookmarkStart w:id="646" w:name="_Toc136418919"/>
      <w:bookmarkStart w:id="647" w:name="_Toc136419175"/>
      <w:bookmarkStart w:id="648" w:name="_Toc225404988"/>
      <w:r w:rsidRPr="001427AF">
        <w:t>English Learner Progress Measure Overview</w:t>
      </w:r>
      <w:bookmarkEnd w:id="641"/>
      <w:bookmarkEnd w:id="642"/>
      <w:bookmarkEnd w:id="643"/>
      <w:bookmarkEnd w:id="644"/>
      <w:bookmarkEnd w:id="645"/>
      <w:bookmarkEnd w:id="646"/>
      <w:bookmarkEnd w:id="647"/>
      <w:bookmarkEnd w:id="648"/>
    </w:p>
    <w:p w14:paraId="6F89012B" w14:textId="32A15562" w:rsidR="003200E6" w:rsidRPr="001427AF" w:rsidRDefault="003200E6" w:rsidP="003200E6">
      <w:pPr>
        <w:autoSpaceDE w:val="0"/>
        <w:autoSpaceDN w:val="0"/>
        <w:adjustRightInd w:val="0"/>
        <w:spacing w:line="240" w:lineRule="auto"/>
        <w:contextualSpacing/>
        <w:rPr>
          <w:rFonts w:ascii="Arial" w:hAnsi="Arial" w:cs="Arial"/>
        </w:rPr>
      </w:pPr>
      <w:r w:rsidRPr="46433D16">
        <w:rPr>
          <w:rFonts w:ascii="Arial" w:hAnsi="Arial" w:cs="Arial"/>
        </w:rPr>
        <w:t>The ESSA requires each state to provide an annual assessment of English language proficiency to all students identified as ELs in the schools served by the State Educational Agency. In North Carolina (NC), the annual</w:t>
      </w:r>
      <w:r w:rsidR="00C15ADE">
        <w:rPr>
          <w:rFonts w:ascii="Arial" w:hAnsi="Arial" w:cs="Arial"/>
        </w:rPr>
        <w:t xml:space="preserve"> English language proficiency</w:t>
      </w:r>
      <w:r w:rsidRPr="46433D16">
        <w:rPr>
          <w:rFonts w:ascii="Arial" w:hAnsi="Arial" w:cs="Arial"/>
        </w:rPr>
        <w:t xml:space="preserve"> assessment</w:t>
      </w:r>
      <w:r w:rsidR="00C15ADE">
        <w:rPr>
          <w:rFonts w:ascii="Arial" w:hAnsi="Arial" w:cs="Arial"/>
        </w:rPr>
        <w:t xml:space="preserve">s administered to meet </w:t>
      </w:r>
      <w:r w:rsidR="000313FD">
        <w:rPr>
          <w:rFonts w:ascii="Arial" w:hAnsi="Arial" w:cs="Arial"/>
        </w:rPr>
        <w:t xml:space="preserve">these requirements are </w:t>
      </w:r>
      <w:r w:rsidRPr="46433D16">
        <w:rPr>
          <w:rFonts w:ascii="Arial" w:hAnsi="Arial" w:cs="Arial"/>
        </w:rPr>
        <w:t>the WIDA ACCESS</w:t>
      </w:r>
      <w:r w:rsidRPr="001427AF">
        <w:rPr>
          <w:rFonts w:ascii="Arial" w:hAnsi="Arial" w:cs="Arial"/>
          <w:b/>
          <w:bCs/>
          <w:iCs/>
          <w:sz w:val="20"/>
          <w:vertAlign w:val="superscript"/>
        </w:rPr>
        <w:t>TM</w:t>
      </w:r>
      <w:r w:rsidRPr="46433D16">
        <w:rPr>
          <w:rFonts w:ascii="Arial" w:hAnsi="Arial" w:cs="Arial"/>
        </w:rPr>
        <w:t xml:space="preserve"> </w:t>
      </w:r>
      <w:r w:rsidR="000313FD">
        <w:rPr>
          <w:rFonts w:ascii="Arial" w:hAnsi="Arial" w:cs="Arial"/>
        </w:rPr>
        <w:t>and WIDA Alternate ACCESS tests</w:t>
      </w:r>
      <w:r w:rsidRPr="46433D16">
        <w:rPr>
          <w:rFonts w:ascii="Arial" w:hAnsi="Arial" w:cs="Arial"/>
        </w:rPr>
        <w:t>. One of the purposes of</w:t>
      </w:r>
      <w:r w:rsidR="00500F8A">
        <w:rPr>
          <w:rFonts w:ascii="Arial" w:hAnsi="Arial" w:cs="Arial"/>
        </w:rPr>
        <w:t xml:space="preserve"> these assessments is to measure</w:t>
      </w:r>
      <w:r w:rsidRPr="46433D16" w:rsidDel="00500F8A">
        <w:rPr>
          <w:rFonts w:ascii="Arial" w:hAnsi="Arial" w:cs="Arial"/>
        </w:rPr>
        <w:t xml:space="preserve"> </w:t>
      </w:r>
      <w:r w:rsidRPr="46433D16">
        <w:rPr>
          <w:rFonts w:ascii="Arial" w:hAnsi="Arial" w:cs="Arial"/>
        </w:rPr>
        <w:t xml:space="preserve">student progress toward English language proficiency. </w:t>
      </w:r>
    </w:p>
    <w:p w14:paraId="75FEB233" w14:textId="77777777" w:rsidR="003200E6" w:rsidRPr="001427AF" w:rsidRDefault="003200E6" w:rsidP="003200E6">
      <w:pPr>
        <w:autoSpaceDE w:val="0"/>
        <w:autoSpaceDN w:val="0"/>
        <w:adjustRightInd w:val="0"/>
        <w:spacing w:line="240" w:lineRule="auto"/>
        <w:contextualSpacing/>
        <w:rPr>
          <w:rFonts w:ascii="Arial" w:hAnsi="Arial" w:cs="Arial"/>
          <w:szCs w:val="24"/>
        </w:rPr>
      </w:pPr>
    </w:p>
    <w:p w14:paraId="470737CD" w14:textId="70F43AE4" w:rsidR="003200E6" w:rsidRPr="001427AF" w:rsidRDefault="003200E6" w:rsidP="003200E6">
      <w:pPr>
        <w:autoSpaceDE w:val="0"/>
        <w:autoSpaceDN w:val="0"/>
        <w:adjustRightInd w:val="0"/>
        <w:spacing w:line="240" w:lineRule="auto"/>
        <w:contextualSpacing/>
        <w:rPr>
          <w:rFonts w:ascii="Arial" w:hAnsi="Arial" w:cs="Arial"/>
        </w:rPr>
      </w:pPr>
      <w:r w:rsidRPr="46433D16">
        <w:rPr>
          <w:rFonts w:ascii="Arial" w:hAnsi="Arial" w:cs="Arial"/>
        </w:rPr>
        <w:t xml:space="preserve">Note: The screening tools used to identify students for EL services are the WIDA </w:t>
      </w:r>
      <w:r w:rsidR="753ABABC" w:rsidRPr="46433D16">
        <w:rPr>
          <w:rFonts w:ascii="Arial" w:hAnsi="Arial" w:cs="Arial"/>
        </w:rPr>
        <w:t xml:space="preserve">Alternate Screener, the </w:t>
      </w:r>
      <w:r w:rsidRPr="46433D16">
        <w:rPr>
          <w:rFonts w:ascii="Arial" w:hAnsi="Arial" w:cs="Arial"/>
        </w:rPr>
        <w:t>WIDA Screener for Kindergarten (administered to incoming kindergarteners and students in grade 1 [first semester only]</w:t>
      </w:r>
      <w:r w:rsidR="00F130BA" w:rsidRPr="46433D16">
        <w:rPr>
          <w:rFonts w:ascii="Arial" w:hAnsi="Arial" w:cs="Arial"/>
        </w:rPr>
        <w:t>)</w:t>
      </w:r>
      <w:r w:rsidR="2EE30F91" w:rsidRPr="46433D16">
        <w:rPr>
          <w:rFonts w:ascii="Arial" w:hAnsi="Arial" w:cs="Arial"/>
        </w:rPr>
        <w:t>,</w:t>
      </w:r>
      <w:r w:rsidRPr="46433D16">
        <w:rPr>
          <w:rFonts w:ascii="Arial" w:hAnsi="Arial" w:cs="Arial"/>
        </w:rPr>
        <w:t xml:space="preserve"> or the WIDA Screener (administered to all students in grade 1 [second semester] through grade 12). The screening tools are</w:t>
      </w:r>
      <w:r w:rsidRPr="46433D16" w:rsidDel="005D30D9">
        <w:rPr>
          <w:rFonts w:ascii="Arial" w:hAnsi="Arial" w:cs="Arial"/>
        </w:rPr>
        <w:t xml:space="preserve"> </w:t>
      </w:r>
      <w:r w:rsidRPr="46433D16">
        <w:rPr>
          <w:rFonts w:ascii="Arial" w:hAnsi="Arial" w:cs="Arial"/>
        </w:rPr>
        <w:t xml:space="preserve">not used to measure ELP. </w:t>
      </w:r>
    </w:p>
    <w:p w14:paraId="7AF49540" w14:textId="77777777" w:rsidR="003200E6" w:rsidRPr="001427AF" w:rsidRDefault="003200E6" w:rsidP="003200E6">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 </w:t>
      </w:r>
    </w:p>
    <w:p w14:paraId="140EBA07" w14:textId="7D0B60DB" w:rsidR="003200E6" w:rsidRPr="001427AF" w:rsidRDefault="003200E6" w:rsidP="003200E6">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Under the ESSA, </w:t>
      </w:r>
      <w:r w:rsidR="00747F7B">
        <w:rPr>
          <w:rFonts w:ascii="Arial" w:hAnsi="Arial" w:cs="Arial"/>
          <w:szCs w:val="24"/>
        </w:rPr>
        <w:t>English learner progress (</w:t>
      </w:r>
      <w:r w:rsidRPr="001427AF">
        <w:rPr>
          <w:rFonts w:ascii="Arial" w:hAnsi="Arial" w:cs="Arial"/>
          <w:szCs w:val="24"/>
        </w:rPr>
        <w:t>ELP</w:t>
      </w:r>
      <w:r w:rsidR="00747F7B">
        <w:rPr>
          <w:rFonts w:ascii="Arial" w:hAnsi="Arial" w:cs="Arial"/>
          <w:szCs w:val="24"/>
        </w:rPr>
        <w:t>)</w:t>
      </w:r>
      <w:r w:rsidRPr="001427AF">
        <w:rPr>
          <w:rFonts w:ascii="Arial" w:hAnsi="Arial" w:cs="Arial"/>
          <w:szCs w:val="24"/>
        </w:rPr>
        <w:t xml:space="preserve"> must be measured and reported for all ELs in grades K–12. The ELP long-term goal and measures of interim progress include results for all ELs in grades K-13 (including XG). However, the accountability indicator associated with ELP included in SPGs use</w:t>
      </w:r>
      <w:r w:rsidR="00B0574F">
        <w:rPr>
          <w:rFonts w:ascii="Arial" w:hAnsi="Arial" w:cs="Arial"/>
          <w:szCs w:val="24"/>
        </w:rPr>
        <w:t>s</w:t>
      </w:r>
      <w:r w:rsidRPr="001427AF">
        <w:rPr>
          <w:rFonts w:ascii="Arial" w:hAnsi="Arial" w:cs="Arial"/>
          <w:szCs w:val="24"/>
        </w:rPr>
        <w:t xml:space="preserve"> the progress of ELs in grades 3–8 and 10 only. Total ELP score consists of students that met annual progress plus students that exited EL status. The Total ELP value is used for SPG calculations and the ELP long-term goal.</w:t>
      </w:r>
    </w:p>
    <w:p w14:paraId="6DF60ED6" w14:textId="77777777" w:rsidR="00390260" w:rsidRPr="001427AF" w:rsidRDefault="00390260" w:rsidP="00390260">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 </w:t>
      </w:r>
    </w:p>
    <w:p w14:paraId="13A41E35" w14:textId="7925A271" w:rsidR="00390260" w:rsidRPr="001514C3" w:rsidRDefault="00390260" w:rsidP="001514C3">
      <w:pPr>
        <w:pStyle w:val="Heading2"/>
      </w:pPr>
      <w:bookmarkStart w:id="649" w:name="_Toc100132564"/>
      <w:bookmarkStart w:id="650" w:name="_Toc100132768"/>
      <w:bookmarkStart w:id="651" w:name="_Toc100136569"/>
      <w:bookmarkStart w:id="652" w:name="_Toc114211814"/>
      <w:bookmarkStart w:id="653" w:name="_Toc135812539"/>
      <w:bookmarkStart w:id="654" w:name="_Toc136418920"/>
      <w:bookmarkStart w:id="655" w:name="_Toc136419176"/>
      <w:bookmarkStart w:id="656" w:name="_Toc225404989"/>
      <w:r w:rsidRPr="001514C3">
        <w:t>Defining English Learner Progress</w:t>
      </w:r>
      <w:bookmarkEnd w:id="649"/>
      <w:bookmarkEnd w:id="650"/>
      <w:bookmarkEnd w:id="651"/>
      <w:bookmarkEnd w:id="652"/>
      <w:bookmarkEnd w:id="653"/>
      <w:bookmarkEnd w:id="654"/>
      <w:bookmarkEnd w:id="655"/>
      <w:bookmarkEnd w:id="656"/>
      <w:r w:rsidRPr="001514C3">
        <w:t xml:space="preserve"> </w:t>
      </w:r>
    </w:p>
    <w:p w14:paraId="1472CE67" w14:textId="5FD2099F" w:rsidR="00083C7A" w:rsidRPr="001427AF" w:rsidRDefault="00083C7A" w:rsidP="00083C7A">
      <w:pPr>
        <w:autoSpaceDE w:val="0"/>
        <w:autoSpaceDN w:val="0"/>
        <w:adjustRightInd w:val="0"/>
        <w:spacing w:line="240" w:lineRule="auto"/>
        <w:contextualSpacing/>
        <w:rPr>
          <w:rFonts w:ascii="Arial" w:hAnsi="Arial" w:cs="Arial"/>
        </w:rPr>
      </w:pPr>
      <w:r w:rsidRPr="46433D16">
        <w:rPr>
          <w:rFonts w:ascii="Arial" w:hAnsi="Arial" w:cs="Arial"/>
        </w:rPr>
        <w:t xml:space="preserve">ELP is measured using the </w:t>
      </w:r>
      <w:r w:rsidR="1FFD9151" w:rsidRPr="46433D16">
        <w:rPr>
          <w:rFonts w:ascii="Arial" w:hAnsi="Arial" w:cs="Arial"/>
        </w:rPr>
        <w:t>WIDA</w:t>
      </w:r>
      <w:r w:rsidRPr="46433D16">
        <w:rPr>
          <w:rFonts w:ascii="Arial" w:hAnsi="Arial" w:cs="Arial"/>
        </w:rPr>
        <w:t xml:space="preserve"> ACCESS composite score</w:t>
      </w:r>
      <w:r w:rsidR="00747F7B">
        <w:rPr>
          <w:rFonts w:ascii="Arial" w:hAnsi="Arial" w:cs="Arial"/>
        </w:rPr>
        <w:t xml:space="preserve"> or </w:t>
      </w:r>
      <w:r w:rsidR="00B014BE">
        <w:rPr>
          <w:rFonts w:ascii="Arial" w:hAnsi="Arial" w:cs="Arial"/>
        </w:rPr>
        <w:t xml:space="preserve">the </w:t>
      </w:r>
      <w:r w:rsidR="001E2D04">
        <w:rPr>
          <w:rFonts w:ascii="Arial" w:hAnsi="Arial" w:cs="Arial"/>
        </w:rPr>
        <w:t>WIDA Alternate ACCESS scale score</w:t>
      </w:r>
      <w:r w:rsidRPr="46433D16">
        <w:rPr>
          <w:rFonts w:ascii="Arial" w:hAnsi="Arial" w:cs="Arial"/>
        </w:rPr>
        <w:t xml:space="preserve">. The initial score is Year 1 on the trajectory model and is the first year the student took the </w:t>
      </w:r>
      <w:r w:rsidR="66C6FA7A" w:rsidRPr="46433D16">
        <w:rPr>
          <w:rFonts w:ascii="Arial" w:hAnsi="Arial" w:cs="Arial"/>
        </w:rPr>
        <w:t xml:space="preserve">WIDA </w:t>
      </w:r>
      <w:r w:rsidRPr="46433D16">
        <w:rPr>
          <w:rFonts w:ascii="Arial" w:hAnsi="Arial" w:cs="Arial"/>
        </w:rPr>
        <w:t xml:space="preserve">ACCESS </w:t>
      </w:r>
      <w:r w:rsidR="001E2D04">
        <w:rPr>
          <w:rFonts w:ascii="Arial" w:hAnsi="Arial" w:cs="Arial"/>
        </w:rPr>
        <w:t xml:space="preserve">or WIDA Alternate ACCESS </w:t>
      </w:r>
      <w:r w:rsidRPr="46433D16">
        <w:rPr>
          <w:rFonts w:ascii="Arial" w:hAnsi="Arial" w:cs="Arial"/>
        </w:rPr>
        <w:t xml:space="preserve">assessment. The score consists of four domains: Reading, Writing, Listening, and Speaking. </w:t>
      </w:r>
    </w:p>
    <w:p w14:paraId="13650256" w14:textId="77777777" w:rsidR="00083C7A" w:rsidRPr="001427AF" w:rsidRDefault="00083C7A" w:rsidP="00083C7A">
      <w:pPr>
        <w:autoSpaceDE w:val="0"/>
        <w:autoSpaceDN w:val="0"/>
        <w:adjustRightInd w:val="0"/>
        <w:spacing w:line="240" w:lineRule="auto"/>
        <w:contextualSpacing/>
        <w:rPr>
          <w:rFonts w:ascii="Arial" w:hAnsi="Arial" w:cs="Arial"/>
          <w:i/>
          <w:iCs/>
          <w:szCs w:val="24"/>
        </w:rPr>
      </w:pPr>
    </w:p>
    <w:p w14:paraId="548B1270" w14:textId="6FD1EBA9" w:rsidR="00492AB6" w:rsidRPr="00492AB6" w:rsidRDefault="00492AB6" w:rsidP="00492AB6">
      <w:pPr>
        <w:autoSpaceDE w:val="0"/>
        <w:autoSpaceDN w:val="0"/>
        <w:adjustRightInd w:val="0"/>
        <w:spacing w:line="240" w:lineRule="auto"/>
        <w:contextualSpacing/>
        <w:rPr>
          <w:rFonts w:ascii="Arial" w:hAnsi="Arial" w:cs="Arial"/>
        </w:rPr>
      </w:pPr>
      <w:r w:rsidRPr="46433D16">
        <w:rPr>
          <w:rFonts w:ascii="Arial" w:hAnsi="Arial" w:cs="Arial"/>
        </w:rPr>
        <w:t xml:space="preserve">The criterion for exiting EL status requires students to meet the English language proficiency standard set by the state. The English language proficiency standard defined in the State Board of Education policy TEST-011 is an overall composite score of 4.5 or higher on the </w:t>
      </w:r>
      <w:r w:rsidR="66964D85" w:rsidRPr="46433D16">
        <w:rPr>
          <w:rFonts w:ascii="Arial" w:hAnsi="Arial" w:cs="Arial"/>
        </w:rPr>
        <w:t xml:space="preserve">WIDA </w:t>
      </w:r>
      <w:r w:rsidRPr="46433D16">
        <w:rPr>
          <w:rFonts w:ascii="Arial" w:hAnsi="Arial" w:cs="Arial"/>
        </w:rPr>
        <w:t xml:space="preserve">ACCESS assessment or a performance level of 2.0 or higher on the WIDA Alternate ACCESS assessment. </w:t>
      </w:r>
    </w:p>
    <w:p w14:paraId="764F4540" w14:textId="77777777" w:rsidR="00492AB6" w:rsidRPr="00492AB6" w:rsidRDefault="00492AB6" w:rsidP="00492AB6">
      <w:pPr>
        <w:autoSpaceDE w:val="0"/>
        <w:autoSpaceDN w:val="0"/>
        <w:adjustRightInd w:val="0"/>
        <w:spacing w:line="240" w:lineRule="auto"/>
        <w:contextualSpacing/>
        <w:rPr>
          <w:rFonts w:ascii="Arial" w:hAnsi="Arial" w:cs="Arial"/>
          <w:szCs w:val="24"/>
        </w:rPr>
      </w:pPr>
    </w:p>
    <w:p w14:paraId="5A209E09" w14:textId="0D9DF911" w:rsidR="00492AB6" w:rsidRPr="00111469" w:rsidRDefault="00492AB6" w:rsidP="00492AB6">
      <w:pPr>
        <w:autoSpaceDE w:val="0"/>
        <w:autoSpaceDN w:val="0"/>
        <w:adjustRightInd w:val="0"/>
        <w:spacing w:line="240" w:lineRule="auto"/>
        <w:contextualSpacing/>
        <w:rPr>
          <w:rFonts w:ascii="Arial" w:hAnsi="Arial" w:cs="Arial"/>
        </w:rPr>
      </w:pPr>
      <w:r w:rsidRPr="46433D16">
        <w:rPr>
          <w:rFonts w:ascii="Arial" w:hAnsi="Arial" w:cs="Arial"/>
        </w:rPr>
        <w:t xml:space="preserve">Table 6.2 </w:t>
      </w:r>
      <w:r w:rsidRPr="46433D16" w:rsidDel="00B92DF7">
        <w:rPr>
          <w:rFonts w:ascii="Arial" w:hAnsi="Arial" w:cs="Arial"/>
        </w:rPr>
        <w:t xml:space="preserve">(EL </w:t>
      </w:r>
      <w:r w:rsidRPr="46433D16">
        <w:rPr>
          <w:rFonts w:ascii="Arial" w:hAnsi="Arial" w:cs="Arial"/>
        </w:rPr>
        <w:t>e</w:t>
      </w:r>
      <w:r w:rsidRPr="46433D16" w:rsidDel="00B92DF7">
        <w:rPr>
          <w:rFonts w:ascii="Arial" w:hAnsi="Arial" w:cs="Arial"/>
        </w:rPr>
        <w:t xml:space="preserve">xpected </w:t>
      </w:r>
      <w:r w:rsidRPr="46433D16">
        <w:rPr>
          <w:rFonts w:ascii="Arial" w:hAnsi="Arial" w:cs="Arial"/>
        </w:rPr>
        <w:t>e</w:t>
      </w:r>
      <w:r w:rsidRPr="46433D16" w:rsidDel="00B92DF7">
        <w:rPr>
          <w:rFonts w:ascii="Arial" w:hAnsi="Arial" w:cs="Arial"/>
        </w:rPr>
        <w:t xml:space="preserve">xit </w:t>
      </w:r>
      <w:r w:rsidRPr="46433D16">
        <w:rPr>
          <w:rFonts w:ascii="Arial" w:hAnsi="Arial" w:cs="Arial"/>
        </w:rPr>
        <w:t>y</w:t>
      </w:r>
      <w:r w:rsidRPr="46433D16" w:rsidDel="00B92DF7">
        <w:rPr>
          <w:rFonts w:ascii="Arial" w:hAnsi="Arial" w:cs="Arial"/>
        </w:rPr>
        <w:t xml:space="preserve">ear) </w:t>
      </w:r>
      <w:r w:rsidRPr="46433D16">
        <w:rPr>
          <w:rFonts w:ascii="Arial" w:hAnsi="Arial" w:cs="Arial"/>
        </w:rPr>
        <w:t xml:space="preserve">and table 6.3.5.1 </w:t>
      </w:r>
      <w:r w:rsidRPr="46433D16" w:rsidDel="00B92DF7">
        <w:rPr>
          <w:rFonts w:ascii="Arial" w:hAnsi="Arial" w:cs="Arial"/>
        </w:rPr>
        <w:t>(E</w:t>
      </w:r>
      <w:r w:rsidRPr="46433D16">
        <w:rPr>
          <w:rFonts w:ascii="Arial" w:hAnsi="Arial" w:cs="Arial"/>
        </w:rPr>
        <w:t>LP</w:t>
      </w:r>
      <w:r w:rsidRPr="46433D16" w:rsidDel="00B92DF7">
        <w:rPr>
          <w:rFonts w:ascii="Arial" w:hAnsi="Arial" w:cs="Arial"/>
        </w:rPr>
        <w:t xml:space="preserve"> Value)</w:t>
      </w:r>
      <w:r w:rsidRPr="46433D16">
        <w:rPr>
          <w:rFonts w:ascii="Arial" w:hAnsi="Arial" w:cs="Arial"/>
        </w:rPr>
        <w:t xml:space="preserve"> identify the expected number of years to exit EL status and the yearly progress expectations for each student, respectively. They are both based on the initial </w:t>
      </w:r>
      <w:r w:rsidR="579698A8" w:rsidRPr="46433D16">
        <w:rPr>
          <w:rFonts w:ascii="Arial" w:hAnsi="Arial" w:cs="Arial"/>
        </w:rPr>
        <w:t xml:space="preserve">WIDA </w:t>
      </w:r>
      <w:r w:rsidRPr="46433D16">
        <w:rPr>
          <w:rFonts w:ascii="Arial" w:hAnsi="Arial" w:cs="Arial"/>
        </w:rPr>
        <w:t xml:space="preserve">ACCESS assessment. </w:t>
      </w:r>
    </w:p>
    <w:p w14:paraId="0068B3D5" w14:textId="77777777" w:rsidR="00D60046" w:rsidRPr="00BF1F0E" w:rsidRDefault="00D60046">
      <w:pPr>
        <w:spacing w:line="240" w:lineRule="auto"/>
        <w:rPr>
          <w:rFonts w:ascii="Arial" w:hAnsi="Arial" w:cs="Arial"/>
        </w:rPr>
      </w:pPr>
      <w:r w:rsidRPr="00BF1F0E">
        <w:rPr>
          <w:rFonts w:ascii="Arial" w:hAnsi="Arial" w:cs="Arial"/>
        </w:rPr>
        <w:br w:type="page"/>
      </w:r>
    </w:p>
    <w:p w14:paraId="0A1BDDFA" w14:textId="5341592E" w:rsidR="008A4C3A" w:rsidRPr="00111469" w:rsidRDefault="008A4C3A" w:rsidP="008A4C3A">
      <w:pPr>
        <w:spacing w:line="240" w:lineRule="auto"/>
        <w:contextualSpacing/>
        <w:rPr>
          <w:rFonts w:ascii="Arial" w:hAnsi="Arial" w:cs="Arial"/>
          <w:sz w:val="20"/>
        </w:rPr>
      </w:pPr>
      <w:r w:rsidRPr="00111469">
        <w:rPr>
          <w:rFonts w:ascii="Arial" w:hAnsi="Arial" w:cs="Arial"/>
          <w:sz w:val="20"/>
        </w:rPr>
        <w:lastRenderedPageBreak/>
        <w:t>TABLE 6.2.</w:t>
      </w:r>
      <w:r w:rsidRPr="46433D16">
        <w:rPr>
          <w:rFonts w:ascii="Arial" w:hAnsi="Arial" w:cs="Arial"/>
        </w:rPr>
        <w:t xml:space="preserve"> </w:t>
      </w:r>
      <w:r w:rsidRPr="00111469">
        <w:rPr>
          <w:rFonts w:ascii="Arial" w:hAnsi="Arial" w:cs="Arial"/>
          <w:sz w:val="20"/>
        </w:rPr>
        <w:t>EL expected exit year (</w:t>
      </w:r>
      <w:r w:rsidR="6EE5B526" w:rsidRPr="46433D16">
        <w:rPr>
          <w:rFonts w:ascii="Arial" w:hAnsi="Arial" w:cs="Arial"/>
          <w:sz w:val="20"/>
        </w:rPr>
        <w:t xml:space="preserve">WIDA </w:t>
      </w:r>
      <w:r w:rsidRPr="00111469">
        <w:rPr>
          <w:rFonts w:ascii="Arial" w:hAnsi="Arial" w:cs="Arial"/>
          <w:sz w:val="20"/>
        </w:rPr>
        <w:t>ACCESS assessment)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provides how many years an EL student is expected to take to reach proficiency based on their intial WIDA ACCESS score. "/>
      </w:tblPr>
      <w:tblGrid>
        <w:gridCol w:w="3832"/>
        <w:gridCol w:w="3625"/>
      </w:tblGrid>
      <w:tr w:rsidR="00111469" w:rsidRPr="00111469" w14:paraId="7952E140" w14:textId="77777777" w:rsidTr="0072420C">
        <w:trPr>
          <w:trHeight w:hRule="exact" w:val="307"/>
          <w:tblHeader/>
        </w:trPr>
        <w:tc>
          <w:tcPr>
            <w:tcW w:w="3832" w:type="dxa"/>
            <w:shd w:val="clear" w:color="auto" w:fill="ACB9CA" w:themeFill="text2" w:themeFillTint="66"/>
          </w:tcPr>
          <w:p w14:paraId="370358D7" w14:textId="54656C59" w:rsidR="00111469" w:rsidRPr="00111469" w:rsidRDefault="00111469" w:rsidP="00370337">
            <w:pPr>
              <w:spacing w:line="240" w:lineRule="auto"/>
              <w:contextualSpacing/>
              <w:rPr>
                <w:rFonts w:ascii="Arial" w:hAnsi="Arial" w:cs="Arial"/>
                <w:b/>
                <w:bCs/>
                <w:iCs/>
                <w:sz w:val="20"/>
              </w:rPr>
            </w:pPr>
            <w:r w:rsidRPr="00111469">
              <w:rPr>
                <w:rFonts w:ascii="Arial" w:hAnsi="Arial" w:cs="Arial"/>
                <w:b/>
                <w:bCs/>
                <w:iCs/>
                <w:sz w:val="20"/>
              </w:rPr>
              <w:t>Initial Score (</w:t>
            </w:r>
            <w:r w:rsidR="00753BBE">
              <w:rPr>
                <w:rFonts w:ascii="Arial" w:hAnsi="Arial" w:cs="Arial"/>
                <w:b/>
                <w:bCs/>
                <w:iCs/>
                <w:sz w:val="20"/>
              </w:rPr>
              <w:t xml:space="preserve">WIDA </w:t>
            </w:r>
            <w:r w:rsidRPr="00111469">
              <w:rPr>
                <w:rFonts w:ascii="Arial" w:hAnsi="Arial" w:cs="Arial"/>
                <w:b/>
                <w:bCs/>
                <w:iCs/>
                <w:sz w:val="20"/>
              </w:rPr>
              <w:t>ACCESS)</w:t>
            </w:r>
          </w:p>
        </w:tc>
        <w:tc>
          <w:tcPr>
            <w:tcW w:w="3625" w:type="dxa"/>
            <w:shd w:val="clear" w:color="auto" w:fill="ACB9CA" w:themeFill="text2" w:themeFillTint="66"/>
          </w:tcPr>
          <w:p w14:paraId="1673F38B" w14:textId="77777777" w:rsidR="00111469" w:rsidRPr="00111469" w:rsidRDefault="00111469" w:rsidP="00370337">
            <w:pPr>
              <w:spacing w:line="240" w:lineRule="auto"/>
              <w:contextualSpacing/>
              <w:jc w:val="center"/>
              <w:rPr>
                <w:rFonts w:ascii="Arial" w:hAnsi="Arial" w:cs="Arial"/>
                <w:b/>
                <w:bCs/>
                <w:iCs/>
                <w:sz w:val="20"/>
              </w:rPr>
            </w:pPr>
            <w:r w:rsidRPr="00111469">
              <w:rPr>
                <w:rFonts w:ascii="Arial" w:hAnsi="Arial" w:cs="Arial"/>
                <w:b/>
                <w:bCs/>
                <w:iCs/>
                <w:sz w:val="20"/>
              </w:rPr>
              <w:t>Number of years expected to exit</w:t>
            </w:r>
          </w:p>
        </w:tc>
      </w:tr>
      <w:tr w:rsidR="00111469" w:rsidRPr="00111469" w14:paraId="4E7AFFC1" w14:textId="77777777" w:rsidTr="007818DC">
        <w:trPr>
          <w:trHeight w:hRule="exact" w:val="300"/>
        </w:trPr>
        <w:tc>
          <w:tcPr>
            <w:tcW w:w="3832" w:type="dxa"/>
            <w:vAlign w:val="center"/>
          </w:tcPr>
          <w:p w14:paraId="7B985892" w14:textId="77777777" w:rsidR="00111469" w:rsidRPr="00111469" w:rsidRDefault="00111469" w:rsidP="00370337">
            <w:pPr>
              <w:spacing w:line="240" w:lineRule="auto"/>
              <w:contextualSpacing/>
              <w:rPr>
                <w:rFonts w:ascii="Arial" w:hAnsi="Arial" w:cs="Arial"/>
                <w:iCs/>
                <w:sz w:val="20"/>
              </w:rPr>
            </w:pPr>
            <w:r w:rsidRPr="00111469">
              <w:rPr>
                <w:rFonts w:ascii="Arial" w:hAnsi="Arial" w:cs="Arial"/>
                <w:iCs/>
                <w:sz w:val="20"/>
              </w:rPr>
              <w:t>1.0 – 1.9</w:t>
            </w:r>
          </w:p>
        </w:tc>
        <w:tc>
          <w:tcPr>
            <w:tcW w:w="3625" w:type="dxa"/>
            <w:vAlign w:val="center"/>
          </w:tcPr>
          <w:p w14:paraId="1E8AD0DA" w14:textId="77777777" w:rsidR="00111469" w:rsidRPr="00111469" w:rsidRDefault="00111469" w:rsidP="00370337">
            <w:pPr>
              <w:spacing w:line="240" w:lineRule="auto"/>
              <w:contextualSpacing/>
              <w:jc w:val="center"/>
              <w:rPr>
                <w:rFonts w:ascii="Arial" w:hAnsi="Arial" w:cs="Arial"/>
                <w:iCs/>
                <w:sz w:val="20"/>
              </w:rPr>
            </w:pPr>
            <w:r w:rsidRPr="00111469">
              <w:rPr>
                <w:rFonts w:ascii="Arial" w:hAnsi="Arial" w:cs="Arial"/>
                <w:iCs/>
                <w:sz w:val="20"/>
              </w:rPr>
              <w:t>5</w:t>
            </w:r>
          </w:p>
        </w:tc>
      </w:tr>
      <w:tr w:rsidR="00111469" w:rsidRPr="00111469" w14:paraId="20C5B331" w14:textId="77777777" w:rsidTr="007818DC">
        <w:trPr>
          <w:trHeight w:hRule="exact" w:val="300"/>
        </w:trPr>
        <w:tc>
          <w:tcPr>
            <w:tcW w:w="3832" w:type="dxa"/>
            <w:vAlign w:val="center"/>
          </w:tcPr>
          <w:p w14:paraId="5FB270AB" w14:textId="77777777" w:rsidR="00111469" w:rsidRPr="00111469" w:rsidRDefault="00111469" w:rsidP="00370337">
            <w:pPr>
              <w:spacing w:line="240" w:lineRule="auto"/>
              <w:contextualSpacing/>
              <w:rPr>
                <w:rFonts w:ascii="Arial" w:hAnsi="Arial" w:cs="Arial"/>
                <w:iCs/>
                <w:sz w:val="20"/>
              </w:rPr>
            </w:pPr>
            <w:r w:rsidRPr="00111469">
              <w:rPr>
                <w:rFonts w:ascii="Arial" w:hAnsi="Arial" w:cs="Arial"/>
                <w:iCs/>
                <w:sz w:val="20"/>
              </w:rPr>
              <w:t>2.0 – 2.9</w:t>
            </w:r>
          </w:p>
        </w:tc>
        <w:tc>
          <w:tcPr>
            <w:tcW w:w="3625" w:type="dxa"/>
            <w:vAlign w:val="center"/>
          </w:tcPr>
          <w:p w14:paraId="5B993CFE" w14:textId="77777777" w:rsidR="00111469" w:rsidRPr="00111469" w:rsidRDefault="00111469" w:rsidP="00370337">
            <w:pPr>
              <w:spacing w:line="240" w:lineRule="auto"/>
              <w:contextualSpacing/>
              <w:jc w:val="center"/>
              <w:rPr>
                <w:rFonts w:ascii="Arial" w:hAnsi="Arial" w:cs="Arial"/>
                <w:iCs/>
                <w:sz w:val="20"/>
              </w:rPr>
            </w:pPr>
            <w:r w:rsidRPr="00111469">
              <w:rPr>
                <w:rFonts w:ascii="Arial" w:hAnsi="Arial" w:cs="Arial"/>
                <w:iCs/>
                <w:sz w:val="20"/>
              </w:rPr>
              <w:t>4</w:t>
            </w:r>
          </w:p>
        </w:tc>
      </w:tr>
      <w:tr w:rsidR="00111469" w:rsidRPr="00111469" w14:paraId="65973A42" w14:textId="77777777" w:rsidTr="007818DC">
        <w:trPr>
          <w:trHeight w:hRule="exact" w:val="300"/>
        </w:trPr>
        <w:tc>
          <w:tcPr>
            <w:tcW w:w="3832" w:type="dxa"/>
            <w:vAlign w:val="center"/>
          </w:tcPr>
          <w:p w14:paraId="5B782D40" w14:textId="77777777" w:rsidR="00111469" w:rsidRPr="00111469" w:rsidRDefault="00111469" w:rsidP="00370337">
            <w:pPr>
              <w:spacing w:line="240" w:lineRule="auto"/>
              <w:contextualSpacing/>
              <w:rPr>
                <w:rFonts w:ascii="Arial" w:hAnsi="Arial" w:cs="Arial"/>
                <w:iCs/>
                <w:sz w:val="20"/>
              </w:rPr>
            </w:pPr>
            <w:r w:rsidRPr="00111469">
              <w:rPr>
                <w:rFonts w:ascii="Arial" w:hAnsi="Arial" w:cs="Arial"/>
                <w:iCs/>
                <w:sz w:val="20"/>
              </w:rPr>
              <w:t>3.0 – 3.9</w:t>
            </w:r>
          </w:p>
        </w:tc>
        <w:tc>
          <w:tcPr>
            <w:tcW w:w="3625" w:type="dxa"/>
            <w:vAlign w:val="center"/>
          </w:tcPr>
          <w:p w14:paraId="2C6CD0E9" w14:textId="77777777" w:rsidR="00111469" w:rsidRPr="00111469" w:rsidRDefault="00111469" w:rsidP="00370337">
            <w:pPr>
              <w:spacing w:line="240" w:lineRule="auto"/>
              <w:contextualSpacing/>
              <w:jc w:val="center"/>
              <w:rPr>
                <w:rFonts w:ascii="Arial" w:hAnsi="Arial" w:cs="Arial"/>
                <w:iCs/>
                <w:sz w:val="20"/>
              </w:rPr>
            </w:pPr>
            <w:r w:rsidRPr="00111469">
              <w:rPr>
                <w:rFonts w:ascii="Arial" w:hAnsi="Arial" w:cs="Arial"/>
                <w:iCs/>
                <w:sz w:val="20"/>
              </w:rPr>
              <w:t>3</w:t>
            </w:r>
          </w:p>
        </w:tc>
      </w:tr>
      <w:tr w:rsidR="00111469" w:rsidRPr="00111469" w14:paraId="7C011B20" w14:textId="77777777" w:rsidTr="007818DC">
        <w:trPr>
          <w:trHeight w:hRule="exact" w:val="300"/>
        </w:trPr>
        <w:tc>
          <w:tcPr>
            <w:tcW w:w="3832" w:type="dxa"/>
            <w:vAlign w:val="center"/>
          </w:tcPr>
          <w:p w14:paraId="75A2D7FB" w14:textId="77777777" w:rsidR="00111469" w:rsidRPr="00111469" w:rsidRDefault="00111469" w:rsidP="00370337">
            <w:pPr>
              <w:spacing w:line="240" w:lineRule="auto"/>
              <w:contextualSpacing/>
              <w:rPr>
                <w:rFonts w:ascii="Arial" w:hAnsi="Arial" w:cs="Arial"/>
                <w:iCs/>
                <w:sz w:val="20"/>
              </w:rPr>
            </w:pPr>
            <w:r w:rsidRPr="00111469">
              <w:rPr>
                <w:rFonts w:ascii="Arial" w:hAnsi="Arial" w:cs="Arial"/>
                <w:iCs/>
                <w:sz w:val="20"/>
              </w:rPr>
              <w:t>4.0 – 4.3</w:t>
            </w:r>
          </w:p>
        </w:tc>
        <w:tc>
          <w:tcPr>
            <w:tcW w:w="3625" w:type="dxa"/>
            <w:vAlign w:val="center"/>
          </w:tcPr>
          <w:p w14:paraId="0344A881" w14:textId="77777777" w:rsidR="00111469" w:rsidRPr="00111469" w:rsidRDefault="00111469" w:rsidP="00370337">
            <w:pPr>
              <w:spacing w:line="240" w:lineRule="auto"/>
              <w:contextualSpacing/>
              <w:jc w:val="center"/>
              <w:rPr>
                <w:rFonts w:ascii="Arial" w:hAnsi="Arial" w:cs="Arial"/>
                <w:iCs/>
                <w:sz w:val="20"/>
              </w:rPr>
            </w:pPr>
            <w:r w:rsidRPr="00111469">
              <w:rPr>
                <w:rFonts w:ascii="Arial" w:hAnsi="Arial" w:cs="Arial"/>
                <w:iCs/>
                <w:sz w:val="20"/>
              </w:rPr>
              <w:t>2</w:t>
            </w:r>
          </w:p>
        </w:tc>
      </w:tr>
      <w:tr w:rsidR="00111469" w:rsidRPr="00111469" w14:paraId="010DFAAB" w14:textId="77777777" w:rsidTr="007818DC">
        <w:trPr>
          <w:trHeight w:hRule="exact" w:val="300"/>
        </w:trPr>
        <w:tc>
          <w:tcPr>
            <w:tcW w:w="3832" w:type="dxa"/>
            <w:vAlign w:val="center"/>
          </w:tcPr>
          <w:p w14:paraId="517A98A8" w14:textId="77777777" w:rsidR="00111469" w:rsidRPr="00111469" w:rsidRDefault="00111469" w:rsidP="00370337">
            <w:pPr>
              <w:spacing w:line="240" w:lineRule="auto"/>
              <w:contextualSpacing/>
              <w:rPr>
                <w:rFonts w:ascii="Arial" w:hAnsi="Arial" w:cs="Arial"/>
                <w:iCs/>
                <w:sz w:val="20"/>
              </w:rPr>
            </w:pPr>
            <w:r w:rsidRPr="00111469">
              <w:rPr>
                <w:rFonts w:ascii="Arial" w:hAnsi="Arial" w:cs="Arial"/>
                <w:iCs/>
                <w:sz w:val="20"/>
              </w:rPr>
              <w:t>4.4</w:t>
            </w:r>
          </w:p>
        </w:tc>
        <w:tc>
          <w:tcPr>
            <w:tcW w:w="3625" w:type="dxa"/>
            <w:vAlign w:val="center"/>
          </w:tcPr>
          <w:p w14:paraId="673F4384" w14:textId="77777777" w:rsidR="00111469" w:rsidRPr="00111469" w:rsidRDefault="00111469" w:rsidP="00370337">
            <w:pPr>
              <w:spacing w:line="240" w:lineRule="auto"/>
              <w:contextualSpacing/>
              <w:jc w:val="center"/>
              <w:rPr>
                <w:rFonts w:ascii="Arial" w:hAnsi="Arial" w:cs="Arial"/>
                <w:iCs/>
                <w:sz w:val="20"/>
              </w:rPr>
            </w:pPr>
            <w:r w:rsidRPr="00111469">
              <w:rPr>
                <w:rFonts w:ascii="Arial" w:hAnsi="Arial" w:cs="Arial"/>
                <w:iCs/>
                <w:sz w:val="20"/>
              </w:rPr>
              <w:t>1</w:t>
            </w:r>
          </w:p>
        </w:tc>
      </w:tr>
    </w:tbl>
    <w:p w14:paraId="45316F1C" w14:textId="77777777" w:rsidR="00390260" w:rsidRPr="001427AF" w:rsidRDefault="00390260" w:rsidP="00390260">
      <w:pPr>
        <w:autoSpaceDE w:val="0"/>
        <w:autoSpaceDN w:val="0"/>
        <w:adjustRightInd w:val="0"/>
        <w:spacing w:line="240" w:lineRule="auto"/>
        <w:contextualSpacing/>
        <w:rPr>
          <w:rFonts w:ascii="Arial" w:hAnsi="Arial" w:cs="Arial"/>
          <w:szCs w:val="24"/>
        </w:rPr>
      </w:pPr>
    </w:p>
    <w:p w14:paraId="1E95E084" w14:textId="3BF852F0" w:rsidR="00390260" w:rsidRDefault="0013510D" w:rsidP="00F45BEA">
      <w:pPr>
        <w:rPr>
          <w:rFonts w:ascii="Arial" w:hAnsi="Arial" w:cs="Arial"/>
        </w:rPr>
      </w:pPr>
      <w:r w:rsidRPr="46433D16">
        <w:rPr>
          <w:rFonts w:ascii="Arial" w:hAnsi="Arial" w:cs="Arial"/>
        </w:rPr>
        <w:t xml:space="preserve">Students are expected to make annual progress towards the goal of exiting EL status. After the initial year, the annual </w:t>
      </w:r>
      <w:r w:rsidR="697B597D" w:rsidRPr="46433D16">
        <w:rPr>
          <w:rFonts w:ascii="Arial" w:hAnsi="Arial" w:cs="Arial"/>
        </w:rPr>
        <w:t xml:space="preserve">WIDA </w:t>
      </w:r>
      <w:r w:rsidRPr="46433D16">
        <w:rPr>
          <w:rFonts w:ascii="Arial" w:hAnsi="Arial" w:cs="Arial"/>
        </w:rPr>
        <w:t xml:space="preserve">ACCESS composite score or </w:t>
      </w:r>
      <w:r w:rsidR="60E71299" w:rsidRPr="46433D16">
        <w:rPr>
          <w:rFonts w:ascii="Arial" w:hAnsi="Arial" w:cs="Arial"/>
        </w:rPr>
        <w:t>WIDA</w:t>
      </w:r>
      <w:r w:rsidRPr="46433D16">
        <w:rPr>
          <w:rFonts w:ascii="Arial" w:hAnsi="Arial" w:cs="Arial"/>
        </w:rPr>
        <w:t xml:space="preserve"> Alternate ACCESS scale score determines if a student meets or does not meet progress. The initial score used to determine progress targets is determined by data entered in the NCSIS. For students taking the </w:t>
      </w:r>
      <w:r w:rsidR="0033058B">
        <w:rPr>
          <w:rFonts w:ascii="Arial" w:hAnsi="Arial" w:cs="Arial"/>
        </w:rPr>
        <w:t>WIDA</w:t>
      </w:r>
      <w:r w:rsidRPr="46433D16">
        <w:rPr>
          <w:rFonts w:ascii="Arial" w:hAnsi="Arial" w:cs="Arial"/>
        </w:rPr>
        <w:t xml:space="preserve"> ACCESS assessment, the initial record is no earlier than the 2016–17 school year. For students taking the </w:t>
      </w:r>
      <w:r w:rsidR="680DD5B5" w:rsidRPr="46433D16">
        <w:rPr>
          <w:rFonts w:ascii="Arial" w:hAnsi="Arial" w:cs="Arial"/>
        </w:rPr>
        <w:t>alternate administration of</w:t>
      </w:r>
      <w:r w:rsidRPr="46433D16">
        <w:rPr>
          <w:rFonts w:ascii="Arial" w:hAnsi="Arial" w:cs="Arial"/>
        </w:rPr>
        <w:t xml:space="preserve"> the assessment, the initial record is no earlier than the 2023–24 school year.</w:t>
      </w:r>
    </w:p>
    <w:p w14:paraId="029E1ECB" w14:textId="77777777" w:rsidR="0013510D" w:rsidRPr="0013510D" w:rsidRDefault="0013510D" w:rsidP="00F45BEA">
      <w:pPr>
        <w:rPr>
          <w:rFonts w:ascii="Arial" w:hAnsi="Arial" w:cs="Arial"/>
        </w:rPr>
      </w:pPr>
    </w:p>
    <w:p w14:paraId="60F06DE4" w14:textId="01C7593F" w:rsidR="00390260" w:rsidRPr="001427AF" w:rsidRDefault="00390260" w:rsidP="001514C3">
      <w:pPr>
        <w:pStyle w:val="Heading2"/>
      </w:pPr>
      <w:bookmarkStart w:id="657" w:name="_Toc100132565"/>
      <w:bookmarkStart w:id="658" w:name="_Toc100132769"/>
      <w:bookmarkStart w:id="659" w:name="_Toc100136570"/>
      <w:bookmarkStart w:id="660" w:name="_Toc114211815"/>
      <w:bookmarkStart w:id="661" w:name="_Toc135812540"/>
      <w:bookmarkStart w:id="662" w:name="_Toc136418921"/>
      <w:bookmarkStart w:id="663" w:name="_Toc136419177"/>
      <w:bookmarkStart w:id="664" w:name="_Toc225404990"/>
      <w:r w:rsidRPr="001427AF">
        <w:t>Counting Progress of English Learners</w:t>
      </w:r>
      <w:bookmarkEnd w:id="657"/>
      <w:bookmarkEnd w:id="658"/>
      <w:bookmarkEnd w:id="659"/>
      <w:bookmarkEnd w:id="660"/>
      <w:bookmarkEnd w:id="661"/>
      <w:bookmarkEnd w:id="662"/>
      <w:bookmarkEnd w:id="663"/>
      <w:bookmarkEnd w:id="664"/>
      <w:r w:rsidRPr="001427AF">
        <w:t xml:space="preserve"> </w:t>
      </w:r>
    </w:p>
    <w:p w14:paraId="2D22DD28" w14:textId="77777777" w:rsidR="001916D8" w:rsidRPr="001916D8" w:rsidRDefault="001916D8" w:rsidP="001916D8">
      <w:pPr>
        <w:autoSpaceDE w:val="0"/>
        <w:autoSpaceDN w:val="0"/>
        <w:adjustRightInd w:val="0"/>
        <w:spacing w:line="240" w:lineRule="auto"/>
        <w:contextualSpacing/>
        <w:rPr>
          <w:rFonts w:ascii="Arial" w:hAnsi="Arial" w:cs="Arial"/>
          <w:szCs w:val="24"/>
        </w:rPr>
      </w:pPr>
      <w:bookmarkStart w:id="665" w:name="_Toc100132566"/>
      <w:bookmarkStart w:id="666" w:name="_Toc100132770"/>
      <w:bookmarkStart w:id="667" w:name="_Toc100136571"/>
      <w:bookmarkStart w:id="668" w:name="_Toc114211816"/>
      <w:r w:rsidRPr="001916D8">
        <w:rPr>
          <w:rFonts w:ascii="Arial" w:hAnsi="Arial" w:cs="Arial"/>
          <w:szCs w:val="24"/>
        </w:rPr>
        <w:t>Each EL student counts</w:t>
      </w:r>
      <w:r w:rsidRPr="001916D8" w:rsidDel="000B5914">
        <w:rPr>
          <w:rFonts w:ascii="Arial" w:hAnsi="Arial" w:cs="Arial"/>
          <w:szCs w:val="24"/>
        </w:rPr>
        <w:t xml:space="preserve"> </w:t>
      </w:r>
      <w:r w:rsidRPr="001916D8">
        <w:rPr>
          <w:rFonts w:ascii="Arial" w:hAnsi="Arial" w:cs="Arial"/>
          <w:szCs w:val="24"/>
        </w:rPr>
        <w:t xml:space="preserve">either positively or negatively toward progress. A student must have an initial score and a current year score to measure progress. </w:t>
      </w:r>
    </w:p>
    <w:p w14:paraId="2D8B0AE5" w14:textId="77777777" w:rsidR="001916D8" w:rsidRPr="001916D8" w:rsidRDefault="001916D8" w:rsidP="001916D8">
      <w:pPr>
        <w:autoSpaceDE w:val="0"/>
        <w:autoSpaceDN w:val="0"/>
        <w:adjustRightInd w:val="0"/>
        <w:spacing w:line="240" w:lineRule="auto"/>
        <w:contextualSpacing/>
        <w:rPr>
          <w:rFonts w:ascii="Arial" w:hAnsi="Arial" w:cs="Arial"/>
          <w:szCs w:val="24"/>
        </w:rPr>
      </w:pPr>
    </w:p>
    <w:p w14:paraId="4A2DB1FB" w14:textId="1E1CF1E8" w:rsidR="001916D8" w:rsidRPr="001916D8" w:rsidRDefault="001916D8" w:rsidP="001916D8">
      <w:pPr>
        <w:autoSpaceDE w:val="0"/>
        <w:autoSpaceDN w:val="0"/>
        <w:adjustRightInd w:val="0"/>
        <w:spacing w:line="240" w:lineRule="auto"/>
        <w:contextualSpacing/>
        <w:rPr>
          <w:rFonts w:ascii="Arial" w:hAnsi="Arial" w:cs="Arial"/>
          <w:strike/>
        </w:rPr>
      </w:pPr>
      <w:r w:rsidRPr="46433D16">
        <w:rPr>
          <w:rFonts w:ascii="Arial" w:hAnsi="Arial" w:cs="Arial"/>
        </w:rPr>
        <w:t xml:space="preserve">EL students not enrolled during the </w:t>
      </w:r>
      <w:r w:rsidR="319B0084" w:rsidRPr="46433D16">
        <w:rPr>
          <w:rFonts w:ascii="Arial" w:hAnsi="Arial" w:cs="Arial"/>
        </w:rPr>
        <w:t>annual testing</w:t>
      </w:r>
      <w:r w:rsidRPr="46433D16">
        <w:rPr>
          <w:rFonts w:ascii="Arial" w:hAnsi="Arial" w:cs="Arial"/>
        </w:rPr>
        <w:t xml:space="preserve"> window are not included in progress calculations. If the student attended multiple schools during the window, the last school the student was enrolled in during the </w:t>
      </w:r>
      <w:r w:rsidR="11F76F76" w:rsidRPr="46433D16">
        <w:rPr>
          <w:rFonts w:ascii="Arial" w:hAnsi="Arial" w:cs="Arial"/>
        </w:rPr>
        <w:t>testing</w:t>
      </w:r>
      <w:r w:rsidRPr="46433D16">
        <w:rPr>
          <w:rFonts w:ascii="Arial" w:hAnsi="Arial" w:cs="Arial"/>
        </w:rPr>
        <w:t xml:space="preserve"> window is used for ELP. </w:t>
      </w:r>
    </w:p>
    <w:p w14:paraId="761FC46B" w14:textId="41CA103E" w:rsidR="00390260" w:rsidRPr="001427AF" w:rsidRDefault="00390260" w:rsidP="00B76243">
      <w:pPr>
        <w:pStyle w:val="Heading3"/>
      </w:pPr>
      <w:bookmarkStart w:id="669" w:name="_Toc135812541"/>
      <w:bookmarkStart w:id="670" w:name="_Toc136418922"/>
      <w:bookmarkStart w:id="671" w:name="_Toc136419178"/>
      <w:bookmarkStart w:id="672" w:name="_Toc225404991"/>
      <w:r w:rsidRPr="001427AF">
        <w:t>Students Counting Positively for English Learner Progress</w:t>
      </w:r>
      <w:bookmarkEnd w:id="665"/>
      <w:bookmarkEnd w:id="666"/>
      <w:bookmarkEnd w:id="667"/>
      <w:bookmarkEnd w:id="668"/>
      <w:bookmarkEnd w:id="669"/>
      <w:bookmarkEnd w:id="670"/>
      <w:bookmarkEnd w:id="671"/>
      <w:bookmarkEnd w:id="672"/>
      <w:r w:rsidRPr="001427AF">
        <w:t xml:space="preserve"> </w:t>
      </w:r>
    </w:p>
    <w:p w14:paraId="60553ADC" w14:textId="77777777" w:rsidR="000A7CB6" w:rsidRPr="000A7CB6" w:rsidRDefault="000A7CB6" w:rsidP="000A7CB6">
      <w:pPr>
        <w:autoSpaceDE w:val="0"/>
        <w:autoSpaceDN w:val="0"/>
        <w:adjustRightInd w:val="0"/>
        <w:spacing w:line="240" w:lineRule="auto"/>
        <w:contextualSpacing/>
        <w:rPr>
          <w:rFonts w:ascii="Arial" w:hAnsi="Arial" w:cs="Arial"/>
          <w:szCs w:val="24"/>
        </w:rPr>
      </w:pPr>
      <w:r w:rsidRPr="000A7CB6">
        <w:rPr>
          <w:rFonts w:ascii="Arial" w:hAnsi="Arial" w:cs="Arial"/>
          <w:szCs w:val="24"/>
        </w:rPr>
        <w:t xml:space="preserve">Students count positively in the ELP goal or indicator when they meet the expected yearly progress toward exiting, or if they exit EL status in or before the expected exit year. </w:t>
      </w:r>
    </w:p>
    <w:p w14:paraId="40C0045B" w14:textId="77777777" w:rsidR="000A7CB6" w:rsidRPr="000A7CB6" w:rsidRDefault="000A7CB6" w:rsidP="000A7CB6">
      <w:pPr>
        <w:autoSpaceDE w:val="0"/>
        <w:autoSpaceDN w:val="0"/>
        <w:adjustRightInd w:val="0"/>
        <w:spacing w:line="240" w:lineRule="auto"/>
        <w:contextualSpacing/>
        <w:rPr>
          <w:rFonts w:ascii="Arial" w:hAnsi="Arial" w:cs="Arial"/>
          <w:szCs w:val="24"/>
        </w:rPr>
      </w:pPr>
    </w:p>
    <w:p w14:paraId="2173E942" w14:textId="77777777" w:rsidR="000A7CB6" w:rsidRPr="000A7CB6" w:rsidRDefault="000A7CB6" w:rsidP="000A7CB6">
      <w:pPr>
        <w:autoSpaceDE w:val="0"/>
        <w:autoSpaceDN w:val="0"/>
        <w:adjustRightInd w:val="0"/>
        <w:spacing w:line="240" w:lineRule="auto"/>
        <w:contextualSpacing/>
        <w:rPr>
          <w:rFonts w:ascii="Arial" w:hAnsi="Arial" w:cs="Arial"/>
          <w:szCs w:val="24"/>
        </w:rPr>
      </w:pPr>
      <w:r w:rsidRPr="000A7CB6">
        <w:rPr>
          <w:rFonts w:ascii="Arial" w:hAnsi="Arial" w:cs="Arial"/>
          <w:szCs w:val="24"/>
        </w:rPr>
        <w:t xml:space="preserve">The following are the EL performance measures (ELPM) that are used to make this determination:  </w:t>
      </w:r>
    </w:p>
    <w:p w14:paraId="76C8466A" w14:textId="77777777" w:rsidR="000A7CB6" w:rsidRPr="000A7CB6" w:rsidRDefault="000A7CB6" w:rsidP="000A7CB6">
      <w:pPr>
        <w:autoSpaceDE w:val="0"/>
        <w:autoSpaceDN w:val="0"/>
        <w:adjustRightInd w:val="0"/>
        <w:spacing w:line="240" w:lineRule="auto"/>
        <w:contextualSpacing/>
        <w:rPr>
          <w:rFonts w:ascii="Arial" w:hAnsi="Arial" w:cs="Arial"/>
          <w:szCs w:val="24"/>
        </w:rPr>
      </w:pPr>
      <w:r w:rsidRPr="000A7CB6">
        <w:rPr>
          <w:rFonts w:ascii="Arial" w:hAnsi="Arial" w:cs="Arial"/>
          <w:szCs w:val="24"/>
        </w:rPr>
        <w:t xml:space="preserve"> </w:t>
      </w:r>
    </w:p>
    <w:p w14:paraId="7C424E9C" w14:textId="77777777" w:rsidR="000A7CB6" w:rsidRPr="000A7CB6" w:rsidRDefault="000A7CB6" w:rsidP="000A7CB6">
      <w:pPr>
        <w:autoSpaceDE w:val="0"/>
        <w:autoSpaceDN w:val="0"/>
        <w:adjustRightInd w:val="0"/>
        <w:spacing w:line="240" w:lineRule="auto"/>
        <w:contextualSpacing/>
        <w:rPr>
          <w:rFonts w:ascii="Arial" w:hAnsi="Arial" w:cs="Arial"/>
          <w:szCs w:val="24"/>
        </w:rPr>
      </w:pPr>
      <w:r w:rsidRPr="000A7CB6">
        <w:rPr>
          <w:rFonts w:ascii="Arial" w:hAnsi="Arial" w:cs="Arial"/>
          <w:i/>
          <w:szCs w:val="24"/>
        </w:rPr>
        <w:t>ELPM # 1.</w:t>
      </w:r>
      <w:r w:rsidRPr="000A7CB6">
        <w:rPr>
          <w:rFonts w:ascii="Arial" w:hAnsi="Arial" w:cs="Arial"/>
          <w:szCs w:val="24"/>
        </w:rPr>
        <w:t xml:space="preserve"> Students who meet or exceed expected progress as defined in the value table (see table 6.3.5.1 or 6.3.5.2). </w:t>
      </w:r>
    </w:p>
    <w:p w14:paraId="16CEAB7D" w14:textId="77777777" w:rsidR="000A7CB6" w:rsidRPr="000A7CB6" w:rsidRDefault="000A7CB6" w:rsidP="000A7CB6">
      <w:pPr>
        <w:autoSpaceDE w:val="0"/>
        <w:autoSpaceDN w:val="0"/>
        <w:adjustRightInd w:val="0"/>
        <w:spacing w:line="240" w:lineRule="auto"/>
        <w:contextualSpacing/>
        <w:rPr>
          <w:rFonts w:ascii="Arial" w:hAnsi="Arial" w:cs="Arial"/>
          <w:szCs w:val="24"/>
        </w:rPr>
      </w:pPr>
      <w:r w:rsidRPr="000A7CB6">
        <w:rPr>
          <w:rFonts w:ascii="Arial" w:hAnsi="Arial" w:cs="Arial"/>
          <w:szCs w:val="24"/>
        </w:rPr>
        <w:t xml:space="preserve"> </w:t>
      </w:r>
    </w:p>
    <w:p w14:paraId="119594C8" w14:textId="43015736" w:rsidR="000A7CB6" w:rsidRPr="000A7CB6" w:rsidRDefault="000A7CB6" w:rsidP="000A7CB6">
      <w:pPr>
        <w:autoSpaceDE w:val="0"/>
        <w:autoSpaceDN w:val="0"/>
        <w:adjustRightInd w:val="0"/>
        <w:spacing w:line="240" w:lineRule="auto"/>
        <w:contextualSpacing/>
        <w:rPr>
          <w:rFonts w:ascii="Arial" w:hAnsi="Arial" w:cs="Arial"/>
        </w:rPr>
      </w:pPr>
      <w:r w:rsidRPr="46433D16">
        <w:rPr>
          <w:rFonts w:ascii="Arial" w:hAnsi="Arial" w:cs="Arial"/>
          <w:i/>
        </w:rPr>
        <w:t>ELPM # 2.</w:t>
      </w:r>
      <w:r w:rsidRPr="46433D16">
        <w:rPr>
          <w:rFonts w:ascii="Arial" w:hAnsi="Arial" w:cs="Arial"/>
        </w:rPr>
        <w:t xml:space="preserve"> Students </w:t>
      </w:r>
      <w:r w:rsidR="00E3219D">
        <w:rPr>
          <w:rFonts w:ascii="Arial" w:hAnsi="Arial" w:cs="Arial"/>
        </w:rPr>
        <w:t>who</w:t>
      </w:r>
      <w:r w:rsidRPr="46433D16" w:rsidDel="00E3219D">
        <w:rPr>
          <w:rFonts w:ascii="Arial" w:hAnsi="Arial" w:cs="Arial"/>
        </w:rPr>
        <w:t xml:space="preserve"> </w:t>
      </w:r>
      <w:r w:rsidRPr="46433D16">
        <w:rPr>
          <w:rFonts w:ascii="Arial" w:hAnsi="Arial" w:cs="Arial"/>
        </w:rPr>
        <w:t xml:space="preserve">took either the WIDA Screener for Kindergarten, WIDA Screener, or the WIDA Alternate Screener, and exit EL status in the same year. </w:t>
      </w:r>
    </w:p>
    <w:p w14:paraId="3279833D" w14:textId="77777777" w:rsidR="000A7CB6" w:rsidRPr="000A7CB6" w:rsidRDefault="000A7CB6" w:rsidP="000A7CB6">
      <w:pPr>
        <w:autoSpaceDE w:val="0"/>
        <w:autoSpaceDN w:val="0"/>
        <w:adjustRightInd w:val="0"/>
        <w:spacing w:line="240" w:lineRule="auto"/>
        <w:contextualSpacing/>
        <w:rPr>
          <w:rFonts w:ascii="Arial" w:hAnsi="Arial" w:cs="Arial"/>
          <w:szCs w:val="24"/>
        </w:rPr>
      </w:pPr>
      <w:r w:rsidRPr="000A7CB6">
        <w:rPr>
          <w:rFonts w:ascii="Arial" w:hAnsi="Arial" w:cs="Arial"/>
          <w:szCs w:val="24"/>
        </w:rPr>
        <w:t xml:space="preserve"> </w:t>
      </w:r>
    </w:p>
    <w:p w14:paraId="7AAC990B" w14:textId="257B9872" w:rsidR="000A7CB6" w:rsidRPr="000A7CB6" w:rsidRDefault="000A7CB6" w:rsidP="001514C3">
      <w:pPr>
        <w:autoSpaceDE w:val="0"/>
        <w:autoSpaceDN w:val="0"/>
        <w:adjustRightInd w:val="0"/>
        <w:spacing w:line="240" w:lineRule="auto"/>
        <w:contextualSpacing/>
        <w:rPr>
          <w:rFonts w:ascii="Arial" w:hAnsi="Arial" w:cs="Arial"/>
        </w:rPr>
      </w:pPr>
      <w:r w:rsidRPr="107E2A14">
        <w:rPr>
          <w:rFonts w:ascii="Arial" w:hAnsi="Arial" w:cs="Arial"/>
          <w:i/>
        </w:rPr>
        <w:t>ELPM # 3.</w:t>
      </w:r>
      <w:r w:rsidRPr="107E2A14">
        <w:rPr>
          <w:rFonts w:ascii="Arial" w:hAnsi="Arial" w:cs="Arial"/>
        </w:rPr>
        <w:t xml:space="preserve"> Students </w:t>
      </w:r>
      <w:r w:rsidR="007E32C7">
        <w:rPr>
          <w:rFonts w:ascii="Arial" w:hAnsi="Arial" w:cs="Arial"/>
        </w:rPr>
        <w:t>who</w:t>
      </w:r>
      <w:r w:rsidRPr="107E2A14" w:rsidDel="007E32C7">
        <w:rPr>
          <w:rFonts w:ascii="Arial" w:hAnsi="Arial" w:cs="Arial"/>
        </w:rPr>
        <w:t xml:space="preserve"> </w:t>
      </w:r>
      <w:r w:rsidRPr="107E2A14">
        <w:rPr>
          <w:rFonts w:ascii="Arial" w:hAnsi="Arial" w:cs="Arial"/>
        </w:rPr>
        <w:t xml:space="preserve">took the </w:t>
      </w:r>
      <w:r w:rsidR="00A84E25">
        <w:rPr>
          <w:rFonts w:ascii="Arial" w:hAnsi="Arial" w:cs="Arial"/>
        </w:rPr>
        <w:t xml:space="preserve">WIDA </w:t>
      </w:r>
      <w:r w:rsidRPr="107E2A14">
        <w:rPr>
          <w:rFonts w:ascii="Arial" w:hAnsi="Arial" w:cs="Arial"/>
        </w:rPr>
        <w:t xml:space="preserve">Alternate ACCESS in the previous year and the </w:t>
      </w:r>
      <w:r w:rsidR="00A84E25">
        <w:rPr>
          <w:rFonts w:ascii="Arial" w:hAnsi="Arial" w:cs="Arial"/>
        </w:rPr>
        <w:t xml:space="preserve">WIDA </w:t>
      </w:r>
      <w:r w:rsidRPr="107E2A14">
        <w:rPr>
          <w:rFonts w:ascii="Arial" w:hAnsi="Arial" w:cs="Arial"/>
        </w:rPr>
        <w:t xml:space="preserve">ACCESS assessment in the current year, count positively. If the student has a prior </w:t>
      </w:r>
      <w:r w:rsidR="00A84E25">
        <w:rPr>
          <w:rFonts w:ascii="Arial" w:hAnsi="Arial" w:cs="Arial"/>
        </w:rPr>
        <w:t xml:space="preserve">WIDA </w:t>
      </w:r>
      <w:r w:rsidRPr="107E2A14">
        <w:rPr>
          <w:rFonts w:ascii="Arial" w:hAnsi="Arial" w:cs="Arial"/>
        </w:rPr>
        <w:t xml:space="preserve">ACCESS assessment it will be used as the initial </w:t>
      </w:r>
      <w:r w:rsidR="00A84E25">
        <w:rPr>
          <w:rFonts w:ascii="Arial" w:hAnsi="Arial" w:cs="Arial"/>
        </w:rPr>
        <w:t xml:space="preserve">WIDA </w:t>
      </w:r>
      <w:r w:rsidRPr="107E2A14">
        <w:rPr>
          <w:rFonts w:ascii="Arial" w:hAnsi="Arial" w:cs="Arial"/>
        </w:rPr>
        <w:t xml:space="preserve">ACCESS assessment. If a student does not have an initial </w:t>
      </w:r>
      <w:r w:rsidR="00E26ED5">
        <w:rPr>
          <w:rFonts w:ascii="Arial" w:hAnsi="Arial" w:cs="Arial"/>
        </w:rPr>
        <w:t xml:space="preserve">WIDA </w:t>
      </w:r>
      <w:r w:rsidRPr="107E2A14">
        <w:rPr>
          <w:rFonts w:ascii="Arial" w:hAnsi="Arial" w:cs="Arial"/>
        </w:rPr>
        <w:t xml:space="preserve">ACCESS assessment, the current year assessment becomes the initial </w:t>
      </w:r>
      <w:r w:rsidR="00E26ED5">
        <w:rPr>
          <w:rFonts w:ascii="Arial" w:hAnsi="Arial" w:cs="Arial"/>
        </w:rPr>
        <w:t xml:space="preserve">WIDA </w:t>
      </w:r>
      <w:r w:rsidRPr="107E2A14">
        <w:rPr>
          <w:rFonts w:ascii="Arial" w:hAnsi="Arial" w:cs="Arial"/>
        </w:rPr>
        <w:t xml:space="preserve">ACCESS assessment to measure progress in future years. </w:t>
      </w:r>
    </w:p>
    <w:p w14:paraId="10B1F5EA" w14:textId="77777777" w:rsidR="00390260" w:rsidRPr="001427AF" w:rsidRDefault="00390260" w:rsidP="001514C3">
      <w:pPr>
        <w:autoSpaceDE w:val="0"/>
        <w:autoSpaceDN w:val="0"/>
        <w:adjustRightInd w:val="0"/>
        <w:spacing w:line="240" w:lineRule="auto"/>
        <w:contextualSpacing/>
        <w:rPr>
          <w:rFonts w:ascii="Arial" w:hAnsi="Arial" w:cs="Arial"/>
          <w:szCs w:val="24"/>
        </w:rPr>
      </w:pPr>
      <w:r w:rsidRPr="001427AF">
        <w:rPr>
          <w:rFonts w:ascii="Arial" w:hAnsi="Arial" w:cs="Arial"/>
          <w:szCs w:val="24"/>
        </w:rPr>
        <w:t xml:space="preserve"> </w:t>
      </w:r>
    </w:p>
    <w:p w14:paraId="5C68297E" w14:textId="77777777" w:rsidR="00D60046" w:rsidRPr="00BF1F0E" w:rsidRDefault="00D60046">
      <w:pPr>
        <w:spacing w:line="240" w:lineRule="auto"/>
        <w:rPr>
          <w:rFonts w:ascii="Arial" w:hAnsi="Arial" w:cs="Arial"/>
          <w:szCs w:val="24"/>
        </w:rPr>
      </w:pPr>
      <w:bookmarkStart w:id="673" w:name="_Toc100132567"/>
      <w:bookmarkStart w:id="674" w:name="_Toc100132771"/>
      <w:bookmarkStart w:id="675" w:name="_Toc100136572"/>
      <w:bookmarkStart w:id="676" w:name="_Toc114211817"/>
      <w:bookmarkStart w:id="677" w:name="_Toc135812542"/>
      <w:bookmarkStart w:id="678" w:name="_Toc136418923"/>
      <w:bookmarkStart w:id="679" w:name="_Toc136419179"/>
      <w:bookmarkStart w:id="680" w:name="_Toc225404992"/>
      <w:r w:rsidRPr="00BF1F0E">
        <w:rPr>
          <w:rFonts w:ascii="Arial" w:hAnsi="Arial" w:cs="Arial"/>
          <w:szCs w:val="24"/>
        </w:rPr>
        <w:br w:type="page"/>
      </w:r>
    </w:p>
    <w:p w14:paraId="63C4F9AD" w14:textId="1633CDBB" w:rsidR="00390260" w:rsidRPr="001427AF" w:rsidRDefault="00390260" w:rsidP="00D60046">
      <w:pPr>
        <w:autoSpaceDE w:val="0"/>
        <w:autoSpaceDN w:val="0"/>
        <w:adjustRightInd w:val="0"/>
        <w:spacing w:line="240" w:lineRule="auto"/>
        <w:contextualSpacing/>
      </w:pPr>
      <w:r w:rsidRPr="00BF1F0E">
        <w:rPr>
          <w:rStyle w:val="Heading3Char"/>
          <w:rFonts w:cs="Arial"/>
        </w:rPr>
        <w:lastRenderedPageBreak/>
        <w:t>Students Counting Negatively for English Learner</w:t>
      </w:r>
      <w:r w:rsidRPr="001427AF">
        <w:t xml:space="preserve"> Progress</w:t>
      </w:r>
      <w:bookmarkEnd w:id="673"/>
      <w:bookmarkEnd w:id="674"/>
      <w:bookmarkEnd w:id="675"/>
      <w:bookmarkEnd w:id="676"/>
      <w:bookmarkEnd w:id="677"/>
      <w:bookmarkEnd w:id="678"/>
      <w:bookmarkEnd w:id="679"/>
      <w:bookmarkEnd w:id="680"/>
      <w:r w:rsidRPr="001427AF">
        <w:t xml:space="preserve"> </w:t>
      </w:r>
    </w:p>
    <w:p w14:paraId="015DB1AD" w14:textId="77777777" w:rsidR="005A3902" w:rsidRPr="005A3902" w:rsidRDefault="005A3902" w:rsidP="001514C3">
      <w:pPr>
        <w:autoSpaceDE w:val="0"/>
        <w:autoSpaceDN w:val="0"/>
        <w:adjustRightInd w:val="0"/>
        <w:spacing w:line="240" w:lineRule="auto"/>
        <w:contextualSpacing/>
        <w:rPr>
          <w:rFonts w:ascii="Arial" w:hAnsi="Arial" w:cs="Arial"/>
          <w:szCs w:val="24"/>
        </w:rPr>
      </w:pPr>
      <w:r w:rsidRPr="005A3902">
        <w:rPr>
          <w:rFonts w:ascii="Arial" w:hAnsi="Arial" w:cs="Arial"/>
          <w:szCs w:val="24"/>
        </w:rPr>
        <w:t xml:space="preserve">Students count negatively in the ELP goal or indicator when any of the following conditions are met:  </w:t>
      </w:r>
    </w:p>
    <w:p w14:paraId="0275FA4A" w14:textId="77777777" w:rsidR="005A3902" w:rsidRPr="005A3902" w:rsidRDefault="005A3902" w:rsidP="00CA5853">
      <w:pPr>
        <w:numPr>
          <w:ilvl w:val="0"/>
          <w:numId w:val="34"/>
        </w:numPr>
        <w:autoSpaceDE w:val="0"/>
        <w:autoSpaceDN w:val="0"/>
        <w:adjustRightInd w:val="0"/>
        <w:spacing w:line="240" w:lineRule="auto"/>
        <w:contextualSpacing/>
        <w:rPr>
          <w:rFonts w:ascii="Arial" w:hAnsi="Arial" w:cs="Arial"/>
          <w:szCs w:val="24"/>
        </w:rPr>
      </w:pPr>
      <w:bookmarkStart w:id="681" w:name="S6321"/>
      <w:bookmarkEnd w:id="681"/>
      <w:r w:rsidRPr="005A3902">
        <w:rPr>
          <w:rFonts w:ascii="Arial" w:hAnsi="Arial" w:cs="Arial"/>
          <w:szCs w:val="24"/>
        </w:rPr>
        <w:t xml:space="preserve">Students have an initial score and a current year score but do not meet expected progress as outlined in tables 6.3.5.1 or 6.3.5.2. </w:t>
      </w:r>
    </w:p>
    <w:p w14:paraId="0A24C4A1" w14:textId="77777777" w:rsidR="005A3902" w:rsidRPr="005A3902" w:rsidRDefault="005A3902" w:rsidP="00CA5853">
      <w:pPr>
        <w:pStyle w:val="ListParagraph"/>
        <w:numPr>
          <w:ilvl w:val="1"/>
          <w:numId w:val="34"/>
        </w:numPr>
        <w:autoSpaceDE w:val="0"/>
        <w:autoSpaceDN w:val="0"/>
        <w:adjustRightInd w:val="0"/>
        <w:spacing w:line="240" w:lineRule="auto"/>
        <w:rPr>
          <w:rFonts w:ascii="Arial" w:hAnsi="Arial" w:cs="Arial"/>
          <w:i/>
          <w:szCs w:val="24"/>
        </w:rPr>
      </w:pPr>
      <w:r w:rsidRPr="005A3902">
        <w:rPr>
          <w:rFonts w:ascii="Arial" w:hAnsi="Arial" w:cs="Arial"/>
          <w:i/>
          <w:szCs w:val="24"/>
        </w:rPr>
        <w:t xml:space="preserve">ELPM # 4. </w:t>
      </w:r>
      <w:r w:rsidRPr="005A3902">
        <w:rPr>
          <w:rFonts w:ascii="Arial" w:hAnsi="Arial" w:cs="Arial"/>
          <w:iCs/>
          <w:szCs w:val="24"/>
        </w:rPr>
        <w:t>Students not exiting EL status in the year expected, as reflected in table 6.3.5.1 or 6.3.5.2, negatively count each year until exiting EL status.</w:t>
      </w:r>
      <w:r w:rsidRPr="005A3902">
        <w:rPr>
          <w:rFonts w:ascii="Arial" w:hAnsi="Arial" w:cs="Arial"/>
          <w:i/>
          <w:szCs w:val="24"/>
        </w:rPr>
        <w:t xml:space="preserve"> </w:t>
      </w:r>
    </w:p>
    <w:p w14:paraId="3F980E74" w14:textId="77777777" w:rsidR="005A3902" w:rsidRPr="005A3902" w:rsidRDefault="005A3902" w:rsidP="005A3902">
      <w:pPr>
        <w:autoSpaceDE w:val="0"/>
        <w:autoSpaceDN w:val="0"/>
        <w:adjustRightInd w:val="0"/>
        <w:spacing w:line="240" w:lineRule="auto"/>
        <w:ind w:left="1080"/>
        <w:contextualSpacing/>
        <w:rPr>
          <w:rFonts w:ascii="Arial" w:hAnsi="Arial" w:cs="Arial"/>
          <w:szCs w:val="24"/>
        </w:rPr>
      </w:pPr>
    </w:p>
    <w:p w14:paraId="476F6133" w14:textId="638E40CA" w:rsidR="005A3902" w:rsidRPr="005A3902" w:rsidRDefault="005A3902" w:rsidP="00CA5853">
      <w:pPr>
        <w:numPr>
          <w:ilvl w:val="0"/>
          <w:numId w:val="34"/>
        </w:numPr>
        <w:autoSpaceDE w:val="0"/>
        <w:autoSpaceDN w:val="0"/>
        <w:adjustRightInd w:val="0"/>
        <w:spacing w:line="240" w:lineRule="auto"/>
        <w:contextualSpacing/>
        <w:rPr>
          <w:rFonts w:ascii="Arial" w:hAnsi="Arial" w:cs="Arial"/>
          <w:szCs w:val="24"/>
        </w:rPr>
      </w:pPr>
      <w:bookmarkStart w:id="682" w:name="S6322"/>
      <w:bookmarkEnd w:id="682"/>
      <w:r w:rsidRPr="005A3902">
        <w:rPr>
          <w:rFonts w:ascii="Arial" w:hAnsi="Arial" w:cs="Arial"/>
          <w:szCs w:val="24"/>
        </w:rPr>
        <w:t xml:space="preserve">Students have an initial score but do not have a current year score to measure progress. </w:t>
      </w:r>
    </w:p>
    <w:p w14:paraId="16F0BD9E" w14:textId="77777777" w:rsidR="005A3902" w:rsidRPr="005A3902" w:rsidRDefault="005A3902" w:rsidP="00CA5853">
      <w:pPr>
        <w:numPr>
          <w:ilvl w:val="1"/>
          <w:numId w:val="34"/>
        </w:numPr>
        <w:autoSpaceDE w:val="0"/>
        <w:autoSpaceDN w:val="0"/>
        <w:adjustRightInd w:val="0"/>
        <w:spacing w:line="240" w:lineRule="auto"/>
        <w:contextualSpacing/>
        <w:rPr>
          <w:rFonts w:ascii="Arial" w:hAnsi="Arial" w:cs="Arial"/>
          <w:szCs w:val="24"/>
        </w:rPr>
      </w:pPr>
      <w:r w:rsidRPr="005A3902">
        <w:rPr>
          <w:rFonts w:ascii="Arial" w:hAnsi="Arial" w:cs="Arial"/>
          <w:szCs w:val="24"/>
        </w:rPr>
        <w:t xml:space="preserve">Students </w:t>
      </w:r>
      <w:proofErr w:type="gramStart"/>
      <w:r w:rsidRPr="005A3902">
        <w:rPr>
          <w:rFonts w:ascii="Arial" w:hAnsi="Arial" w:cs="Arial"/>
          <w:szCs w:val="24"/>
        </w:rPr>
        <w:t>absent</w:t>
      </w:r>
      <w:proofErr w:type="gramEnd"/>
      <w:r w:rsidRPr="005A3902">
        <w:rPr>
          <w:rFonts w:ascii="Arial" w:hAnsi="Arial" w:cs="Arial"/>
          <w:szCs w:val="24"/>
        </w:rPr>
        <w:t xml:space="preserve"> from the current year administration. </w:t>
      </w:r>
    </w:p>
    <w:p w14:paraId="2CA712F1" w14:textId="77777777" w:rsidR="005A3902" w:rsidRPr="005A3902" w:rsidRDefault="005A3902" w:rsidP="00CA5853">
      <w:pPr>
        <w:numPr>
          <w:ilvl w:val="1"/>
          <w:numId w:val="34"/>
        </w:numPr>
        <w:autoSpaceDE w:val="0"/>
        <w:autoSpaceDN w:val="0"/>
        <w:adjustRightInd w:val="0"/>
        <w:spacing w:line="240" w:lineRule="auto"/>
        <w:contextualSpacing/>
        <w:rPr>
          <w:rFonts w:ascii="Arial" w:hAnsi="Arial" w:cs="Arial"/>
          <w:szCs w:val="24"/>
        </w:rPr>
      </w:pPr>
      <w:r w:rsidRPr="005A3902">
        <w:rPr>
          <w:rFonts w:ascii="Arial" w:hAnsi="Arial" w:cs="Arial"/>
          <w:szCs w:val="24"/>
        </w:rPr>
        <w:t xml:space="preserve">Students tested but did not complete all domains to receive a score. </w:t>
      </w:r>
    </w:p>
    <w:p w14:paraId="208E7867" w14:textId="77777777" w:rsidR="005A3902" w:rsidRPr="005A3902" w:rsidRDefault="005A3902" w:rsidP="005A3902">
      <w:pPr>
        <w:autoSpaceDE w:val="0"/>
        <w:autoSpaceDN w:val="0"/>
        <w:adjustRightInd w:val="0"/>
        <w:spacing w:line="240" w:lineRule="auto"/>
        <w:ind w:left="1080"/>
        <w:contextualSpacing/>
        <w:rPr>
          <w:rFonts w:ascii="Arial" w:hAnsi="Arial" w:cs="Arial"/>
          <w:szCs w:val="24"/>
        </w:rPr>
      </w:pPr>
    </w:p>
    <w:p w14:paraId="14ADBA86" w14:textId="77777777" w:rsidR="005A3902" w:rsidRPr="005A3902" w:rsidRDefault="005A3902" w:rsidP="00CA5853">
      <w:pPr>
        <w:numPr>
          <w:ilvl w:val="0"/>
          <w:numId w:val="34"/>
        </w:numPr>
        <w:autoSpaceDE w:val="0"/>
        <w:autoSpaceDN w:val="0"/>
        <w:adjustRightInd w:val="0"/>
        <w:spacing w:line="240" w:lineRule="auto"/>
        <w:contextualSpacing/>
        <w:rPr>
          <w:rFonts w:ascii="Arial" w:hAnsi="Arial" w:cs="Arial"/>
          <w:szCs w:val="24"/>
        </w:rPr>
      </w:pPr>
      <w:r w:rsidRPr="005A3902">
        <w:rPr>
          <w:rFonts w:ascii="Arial" w:hAnsi="Arial" w:cs="Arial"/>
          <w:szCs w:val="24"/>
        </w:rPr>
        <w:t xml:space="preserve">Students have been enrolled and expected to test for at least two test administrations, where the first administration is the initial year and progress cannot be measured. </w:t>
      </w:r>
    </w:p>
    <w:p w14:paraId="67D95582" w14:textId="77777777" w:rsidR="005A3902" w:rsidRPr="005A3902" w:rsidRDefault="005A3902" w:rsidP="00CA5853">
      <w:pPr>
        <w:numPr>
          <w:ilvl w:val="1"/>
          <w:numId w:val="34"/>
        </w:numPr>
        <w:autoSpaceDE w:val="0"/>
        <w:autoSpaceDN w:val="0"/>
        <w:adjustRightInd w:val="0"/>
        <w:spacing w:line="240" w:lineRule="auto"/>
        <w:contextualSpacing/>
        <w:rPr>
          <w:rFonts w:ascii="Arial" w:hAnsi="Arial" w:cs="Arial"/>
          <w:szCs w:val="24"/>
        </w:rPr>
      </w:pPr>
      <w:bookmarkStart w:id="683" w:name="S63231"/>
      <w:bookmarkEnd w:id="683"/>
      <w:r w:rsidRPr="005A3902">
        <w:rPr>
          <w:rFonts w:ascii="Arial" w:hAnsi="Arial" w:cs="Arial"/>
          <w:szCs w:val="24"/>
        </w:rPr>
        <w:t xml:space="preserve">Students have a current-year score but did not take the test in the prior year although expected to test (e.g., students move to schools within the same district). </w:t>
      </w:r>
    </w:p>
    <w:p w14:paraId="17B24A39" w14:textId="77777777" w:rsidR="005A3902" w:rsidRPr="005A3902" w:rsidRDefault="005A3902" w:rsidP="00CA5853">
      <w:pPr>
        <w:numPr>
          <w:ilvl w:val="1"/>
          <w:numId w:val="34"/>
        </w:numPr>
        <w:autoSpaceDE w:val="0"/>
        <w:autoSpaceDN w:val="0"/>
        <w:adjustRightInd w:val="0"/>
        <w:spacing w:line="240" w:lineRule="auto"/>
        <w:contextualSpacing/>
        <w:rPr>
          <w:rFonts w:ascii="Arial" w:hAnsi="Arial" w:cs="Arial"/>
          <w:szCs w:val="24"/>
        </w:rPr>
      </w:pPr>
      <w:bookmarkStart w:id="684" w:name="S63232"/>
      <w:bookmarkEnd w:id="684"/>
      <w:r w:rsidRPr="005A3902">
        <w:rPr>
          <w:rFonts w:ascii="Arial" w:hAnsi="Arial" w:cs="Arial"/>
          <w:szCs w:val="24"/>
        </w:rPr>
        <w:t xml:space="preserve">Students expected to take the test in the initial and current year but did not have a valid score in either year. </w:t>
      </w:r>
    </w:p>
    <w:p w14:paraId="2DD6390F" w14:textId="77777777" w:rsidR="005A3902" w:rsidRPr="005A3902" w:rsidRDefault="005A3902" w:rsidP="005A3902">
      <w:pPr>
        <w:autoSpaceDE w:val="0"/>
        <w:autoSpaceDN w:val="0"/>
        <w:adjustRightInd w:val="0"/>
        <w:spacing w:line="240" w:lineRule="auto"/>
        <w:ind w:left="720"/>
        <w:contextualSpacing/>
        <w:rPr>
          <w:rFonts w:ascii="Arial" w:hAnsi="Arial" w:cs="Arial"/>
          <w:szCs w:val="24"/>
        </w:rPr>
      </w:pPr>
    </w:p>
    <w:p w14:paraId="0AA476FB" w14:textId="77777777" w:rsidR="00A7480D" w:rsidRDefault="00A7480D" w:rsidP="000B1919">
      <w:pPr>
        <w:spacing w:line="240" w:lineRule="auto"/>
        <w:ind w:left="-111"/>
        <w:contextualSpacing/>
        <w:rPr>
          <w:rFonts w:ascii="Arial" w:hAnsi="Arial" w:cs="Arial"/>
          <w:szCs w:val="24"/>
        </w:rPr>
      </w:pPr>
      <w:r>
        <w:rPr>
          <w:rFonts w:ascii="Arial" w:hAnsi="Arial" w:cs="Arial"/>
          <w:szCs w:val="24"/>
        </w:rPr>
        <w:t xml:space="preserve"> </w:t>
      </w:r>
      <w:r w:rsidR="005A3902" w:rsidRPr="00E030D3">
        <w:rPr>
          <w:rFonts w:ascii="Arial" w:hAnsi="Arial" w:cs="Arial"/>
          <w:szCs w:val="24"/>
        </w:rPr>
        <w:t>Table 6.3.2</w:t>
      </w:r>
      <w:r w:rsidR="005A3902" w:rsidRPr="00E030D3">
        <w:rPr>
          <w:rFonts w:ascii="Arial" w:hAnsi="Arial" w:cs="Arial"/>
          <w:i/>
          <w:iCs/>
          <w:szCs w:val="24"/>
        </w:rPr>
        <w:t xml:space="preserve"> </w:t>
      </w:r>
      <w:r w:rsidR="005A3902" w:rsidRPr="00E030D3">
        <w:rPr>
          <w:rFonts w:ascii="Arial" w:hAnsi="Arial" w:cs="Arial"/>
          <w:szCs w:val="24"/>
        </w:rPr>
        <w:t xml:space="preserve">conceptualizes the above descriptions for the conditions of which students </w:t>
      </w:r>
      <w:r>
        <w:rPr>
          <w:rFonts w:ascii="Arial" w:hAnsi="Arial" w:cs="Arial"/>
          <w:szCs w:val="24"/>
        </w:rPr>
        <w:t xml:space="preserve"> </w:t>
      </w:r>
    </w:p>
    <w:p w14:paraId="44CDD0D3" w14:textId="627525E4" w:rsidR="000B1919" w:rsidRPr="00831945" w:rsidRDefault="00A7480D" w:rsidP="000B1919">
      <w:pPr>
        <w:spacing w:line="240" w:lineRule="auto"/>
        <w:ind w:left="-111"/>
        <w:contextualSpacing/>
        <w:rPr>
          <w:rFonts w:ascii="Arial" w:hAnsi="Arial" w:cs="Arial"/>
          <w:iCs/>
          <w:szCs w:val="24"/>
        </w:rPr>
      </w:pPr>
      <w:r>
        <w:rPr>
          <w:rFonts w:ascii="Arial" w:hAnsi="Arial" w:cs="Arial"/>
          <w:szCs w:val="24"/>
        </w:rPr>
        <w:t xml:space="preserve"> </w:t>
      </w:r>
      <w:r w:rsidR="005A3902" w:rsidRPr="00E030D3">
        <w:rPr>
          <w:rFonts w:ascii="Arial" w:hAnsi="Arial" w:cs="Arial"/>
          <w:szCs w:val="24"/>
        </w:rPr>
        <w:t>count negatively.</w:t>
      </w:r>
      <w:r w:rsidR="000B1919" w:rsidRPr="00831945">
        <w:rPr>
          <w:rFonts w:ascii="Arial" w:hAnsi="Arial" w:cs="Arial"/>
          <w:szCs w:val="24"/>
        </w:rPr>
        <w:t xml:space="preserve"> Table 6.3.</w:t>
      </w:r>
      <w:r w:rsidR="000B1919" w:rsidRPr="00831945">
        <w:rPr>
          <w:rFonts w:ascii="Arial" w:hAnsi="Arial" w:cs="Arial"/>
          <w:iCs/>
          <w:szCs w:val="24"/>
        </w:rPr>
        <w:t>2</w:t>
      </w:r>
      <w:r w:rsidR="000B1919" w:rsidRPr="00831945">
        <w:rPr>
          <w:rFonts w:ascii="Arial" w:hAnsi="Arial" w:cs="Arial"/>
          <w:szCs w:val="24"/>
        </w:rPr>
        <w:t xml:space="preserve"> definitions:</w:t>
      </w:r>
      <w:r w:rsidR="000B1919" w:rsidRPr="00831945">
        <w:rPr>
          <w:rFonts w:ascii="Arial" w:hAnsi="Arial" w:cs="Arial"/>
          <w:iCs/>
          <w:szCs w:val="24"/>
        </w:rPr>
        <w:t xml:space="preserve"> </w:t>
      </w:r>
    </w:p>
    <w:p w14:paraId="26D10D10" w14:textId="374A60E2" w:rsidR="000B1919" w:rsidRPr="003C4B70" w:rsidRDefault="000B1919" w:rsidP="00CA5853">
      <w:pPr>
        <w:pStyle w:val="ListParagraph"/>
        <w:numPr>
          <w:ilvl w:val="0"/>
          <w:numId w:val="142"/>
        </w:numPr>
        <w:spacing w:line="240" w:lineRule="auto"/>
        <w:rPr>
          <w:rFonts w:ascii="Arial" w:hAnsi="Arial" w:cs="Arial"/>
          <w:iCs/>
          <w:szCs w:val="24"/>
        </w:rPr>
      </w:pPr>
      <w:r w:rsidRPr="003C4B70">
        <w:rPr>
          <w:rFonts w:ascii="Arial" w:hAnsi="Arial" w:cs="Arial"/>
          <w:iCs/>
          <w:szCs w:val="24"/>
        </w:rPr>
        <w:t xml:space="preserve">Y = Took assessment </w:t>
      </w:r>
    </w:p>
    <w:p w14:paraId="3CEEF38F" w14:textId="15252423" w:rsidR="000B1919" w:rsidRPr="003C4B70" w:rsidRDefault="000B1919" w:rsidP="00CA5853">
      <w:pPr>
        <w:pStyle w:val="ListParagraph"/>
        <w:numPr>
          <w:ilvl w:val="0"/>
          <w:numId w:val="142"/>
        </w:numPr>
        <w:spacing w:line="240" w:lineRule="auto"/>
        <w:rPr>
          <w:rFonts w:ascii="Arial" w:hAnsi="Arial" w:cs="Arial"/>
          <w:iCs/>
          <w:szCs w:val="24"/>
        </w:rPr>
      </w:pPr>
      <w:r w:rsidRPr="003C4B70">
        <w:rPr>
          <w:rFonts w:ascii="Arial" w:hAnsi="Arial" w:cs="Arial"/>
          <w:iCs/>
          <w:szCs w:val="24"/>
        </w:rPr>
        <w:t>Y</w:t>
      </w:r>
      <w:r w:rsidRPr="003C4B70">
        <w:rPr>
          <w:rFonts w:ascii="Arial" w:hAnsi="Arial" w:cs="Arial"/>
          <w:iCs/>
          <w:szCs w:val="24"/>
          <w:vertAlign w:val="superscript"/>
        </w:rPr>
        <w:t xml:space="preserve">n </w:t>
      </w:r>
      <w:r w:rsidRPr="003C4B70">
        <w:rPr>
          <w:rFonts w:ascii="Arial" w:hAnsi="Arial" w:cs="Arial"/>
          <w:iCs/>
          <w:szCs w:val="24"/>
        </w:rPr>
        <w:t xml:space="preserve">= Took assessment but did not meet  </w:t>
      </w:r>
    </w:p>
    <w:p w14:paraId="21A257CF" w14:textId="2537FEFA" w:rsidR="00E030D3" w:rsidRPr="003C4B70" w:rsidRDefault="000B1919" w:rsidP="00CA5853">
      <w:pPr>
        <w:pStyle w:val="ListParagraph"/>
        <w:numPr>
          <w:ilvl w:val="0"/>
          <w:numId w:val="142"/>
        </w:numPr>
        <w:spacing w:line="240" w:lineRule="auto"/>
        <w:rPr>
          <w:rFonts w:ascii="Arial" w:hAnsi="Arial" w:cs="Arial"/>
          <w:iCs/>
          <w:szCs w:val="24"/>
        </w:rPr>
      </w:pPr>
      <w:r w:rsidRPr="003C4B70">
        <w:rPr>
          <w:rFonts w:ascii="Arial" w:hAnsi="Arial" w:cs="Arial"/>
          <w:iCs/>
          <w:szCs w:val="24"/>
        </w:rPr>
        <w:t xml:space="preserve">expected progress </w:t>
      </w:r>
    </w:p>
    <w:p w14:paraId="0E57D1D0" w14:textId="084030F2" w:rsidR="005A3902" w:rsidRPr="003C4B70" w:rsidRDefault="000B1919" w:rsidP="00CA5853">
      <w:pPr>
        <w:pStyle w:val="ListParagraph"/>
        <w:numPr>
          <w:ilvl w:val="0"/>
          <w:numId w:val="142"/>
        </w:numPr>
        <w:spacing w:line="240" w:lineRule="auto"/>
        <w:rPr>
          <w:rFonts w:ascii="Arial" w:hAnsi="Arial" w:cs="Arial"/>
          <w:iCs/>
          <w:szCs w:val="24"/>
        </w:rPr>
      </w:pPr>
      <w:r w:rsidRPr="003C4B70">
        <w:rPr>
          <w:rFonts w:ascii="Arial" w:hAnsi="Arial" w:cs="Arial"/>
          <w:iCs/>
          <w:szCs w:val="24"/>
        </w:rPr>
        <w:t>N = Eligible and did not take assessment</w:t>
      </w:r>
    </w:p>
    <w:p w14:paraId="5B3F5519" w14:textId="3319D719" w:rsidR="00390260" w:rsidRPr="001427AF" w:rsidRDefault="00390260" w:rsidP="00390260">
      <w:pPr>
        <w:autoSpaceDE w:val="0"/>
        <w:autoSpaceDN w:val="0"/>
        <w:adjustRightInd w:val="0"/>
        <w:spacing w:line="240" w:lineRule="auto"/>
        <w:contextualSpacing/>
        <w:rPr>
          <w:rFonts w:ascii="Arial" w:hAnsi="Arial" w:cs="Arial"/>
          <w:szCs w:val="24"/>
        </w:rPr>
      </w:pPr>
    </w:p>
    <w:p w14:paraId="394A9882" w14:textId="1038E811" w:rsidR="00390260" w:rsidRPr="001427AF" w:rsidRDefault="00390260" w:rsidP="00390260">
      <w:pPr>
        <w:spacing w:line="240" w:lineRule="auto"/>
        <w:contextualSpacing/>
        <w:rPr>
          <w:rFonts w:ascii="Arial" w:hAnsi="Arial" w:cs="Arial"/>
          <w:sz w:val="20"/>
        </w:rPr>
      </w:pPr>
      <w:r w:rsidRPr="001427AF">
        <w:rPr>
          <w:rFonts w:ascii="Arial" w:hAnsi="Arial" w:cs="Arial"/>
          <w:sz w:val="20"/>
        </w:rPr>
        <w:t xml:space="preserve">TABLE 6.3.2. Counting negatively for English Learner </w:t>
      </w:r>
      <w:r w:rsidR="008F0F86" w:rsidRPr="001427AF">
        <w:rPr>
          <w:rFonts w:ascii="Arial" w:hAnsi="Arial" w:cs="Arial"/>
          <w:sz w:val="20"/>
        </w:rPr>
        <w:t>P</w:t>
      </w:r>
      <w:r w:rsidRPr="001427AF">
        <w:rPr>
          <w:rFonts w:ascii="Arial" w:hAnsi="Arial" w:cs="Arial"/>
          <w:sz w:val="20"/>
        </w:rPr>
        <w:t>rogress</w:t>
      </w:r>
    </w:p>
    <w:tbl>
      <w:tblPr>
        <w:tblStyle w:val="TableGrid"/>
        <w:tblW w:w="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710"/>
        <w:gridCol w:w="1800"/>
      </w:tblGrid>
      <w:tr w:rsidR="00E030D3" w:rsidRPr="001427AF" w14:paraId="56544D33" w14:textId="77777777" w:rsidTr="00831945">
        <w:tc>
          <w:tcPr>
            <w:tcW w:w="1525" w:type="dxa"/>
            <w:shd w:val="clear" w:color="auto" w:fill="ACB9CA" w:themeFill="text2" w:themeFillTint="66"/>
          </w:tcPr>
          <w:p w14:paraId="7DC9911C" w14:textId="7870F4EA" w:rsidR="00E030D3" w:rsidRPr="001427AF" w:rsidRDefault="00E030D3" w:rsidP="00390260">
            <w:pPr>
              <w:spacing w:line="240" w:lineRule="auto"/>
              <w:contextualSpacing/>
              <w:rPr>
                <w:rFonts w:ascii="Arial" w:hAnsi="Arial" w:cs="Arial"/>
                <w:b/>
                <w:bCs/>
                <w:iCs/>
                <w:sz w:val="20"/>
              </w:rPr>
            </w:pPr>
            <w:proofErr w:type="gramStart"/>
            <w:r w:rsidRPr="001427AF">
              <w:rPr>
                <w:rFonts w:ascii="Arial" w:hAnsi="Arial" w:cs="Arial"/>
                <w:b/>
                <w:bCs/>
                <w:iCs/>
                <w:sz w:val="20"/>
              </w:rPr>
              <w:t>Student has</w:t>
            </w:r>
            <w:proofErr w:type="gramEnd"/>
            <w:r w:rsidRPr="001427AF">
              <w:rPr>
                <w:rFonts w:ascii="Arial" w:hAnsi="Arial" w:cs="Arial"/>
                <w:b/>
                <w:bCs/>
                <w:iCs/>
                <w:sz w:val="20"/>
              </w:rPr>
              <w:t xml:space="preserve"> an initial year assessment</w:t>
            </w:r>
          </w:p>
        </w:tc>
        <w:tc>
          <w:tcPr>
            <w:tcW w:w="1710" w:type="dxa"/>
            <w:shd w:val="clear" w:color="auto" w:fill="ACB9CA" w:themeFill="text2" w:themeFillTint="66"/>
          </w:tcPr>
          <w:p w14:paraId="38D0CFDD" w14:textId="45D7EDBA" w:rsidR="00E030D3" w:rsidRPr="001427AF" w:rsidRDefault="00E030D3" w:rsidP="00390260">
            <w:pPr>
              <w:spacing w:line="240" w:lineRule="auto"/>
              <w:contextualSpacing/>
              <w:rPr>
                <w:rFonts w:ascii="Arial" w:hAnsi="Arial" w:cs="Arial"/>
                <w:b/>
                <w:bCs/>
                <w:iCs/>
                <w:sz w:val="20"/>
              </w:rPr>
            </w:pPr>
            <w:proofErr w:type="gramStart"/>
            <w:r w:rsidRPr="001427AF">
              <w:rPr>
                <w:rFonts w:ascii="Arial" w:hAnsi="Arial" w:cs="Arial"/>
                <w:b/>
                <w:bCs/>
                <w:iCs/>
                <w:sz w:val="20"/>
              </w:rPr>
              <w:t>Student has</w:t>
            </w:r>
            <w:proofErr w:type="gramEnd"/>
            <w:r w:rsidRPr="001427AF">
              <w:rPr>
                <w:rFonts w:ascii="Arial" w:hAnsi="Arial" w:cs="Arial"/>
                <w:b/>
                <w:bCs/>
                <w:iCs/>
                <w:sz w:val="20"/>
              </w:rPr>
              <w:t xml:space="preserve"> a current year assessment</w:t>
            </w:r>
          </w:p>
        </w:tc>
        <w:tc>
          <w:tcPr>
            <w:tcW w:w="1800" w:type="dxa"/>
            <w:shd w:val="clear" w:color="auto" w:fill="ACB9CA" w:themeFill="text2" w:themeFillTint="66"/>
          </w:tcPr>
          <w:p w14:paraId="3DC33251" w14:textId="31F5016B" w:rsidR="00E030D3" w:rsidRPr="001427AF" w:rsidRDefault="00E030D3" w:rsidP="00390260">
            <w:pPr>
              <w:spacing w:line="240" w:lineRule="auto"/>
              <w:contextualSpacing/>
              <w:rPr>
                <w:rFonts w:ascii="Arial" w:hAnsi="Arial" w:cs="Arial"/>
                <w:b/>
                <w:bCs/>
                <w:iCs/>
                <w:sz w:val="20"/>
              </w:rPr>
            </w:pPr>
            <w:r w:rsidRPr="001427AF">
              <w:rPr>
                <w:rFonts w:ascii="Arial" w:hAnsi="Arial" w:cs="Arial"/>
                <w:b/>
                <w:bCs/>
                <w:iCs/>
                <w:sz w:val="20"/>
              </w:rPr>
              <w:t>Example Situation</w:t>
            </w:r>
          </w:p>
        </w:tc>
      </w:tr>
      <w:tr w:rsidR="00E030D3" w:rsidRPr="001427AF" w14:paraId="14F9E75F" w14:textId="77777777" w:rsidTr="00831945">
        <w:tc>
          <w:tcPr>
            <w:tcW w:w="1525" w:type="dxa"/>
          </w:tcPr>
          <w:p w14:paraId="7B2286A6"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Y</w:t>
            </w:r>
          </w:p>
        </w:tc>
        <w:tc>
          <w:tcPr>
            <w:tcW w:w="1710" w:type="dxa"/>
          </w:tcPr>
          <w:p w14:paraId="7694886F"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Y</w:t>
            </w:r>
            <w:r w:rsidRPr="001427AF">
              <w:rPr>
                <w:rFonts w:ascii="Arial" w:hAnsi="Arial" w:cs="Arial"/>
                <w:iCs/>
                <w:sz w:val="20"/>
                <w:vertAlign w:val="superscript"/>
              </w:rPr>
              <w:t>n</w:t>
            </w:r>
          </w:p>
        </w:tc>
        <w:tc>
          <w:tcPr>
            <w:tcW w:w="1800" w:type="dxa"/>
          </w:tcPr>
          <w:p w14:paraId="3B430D86" w14:textId="0B06C3AC" w:rsidR="00E030D3" w:rsidRPr="001427AF" w:rsidRDefault="00E030D3" w:rsidP="00390260">
            <w:pPr>
              <w:spacing w:line="240" w:lineRule="auto"/>
              <w:contextualSpacing/>
              <w:rPr>
                <w:rFonts w:ascii="Arial" w:hAnsi="Arial" w:cs="Arial"/>
                <w:iCs/>
                <w:sz w:val="20"/>
              </w:rPr>
            </w:pPr>
            <w:hyperlink w:anchor="S6321" w:history="1">
              <w:r w:rsidRPr="007306DD">
                <w:rPr>
                  <w:rStyle w:val="Hyperlink"/>
                  <w:rFonts w:ascii="Arial" w:hAnsi="Arial" w:cs="Arial"/>
                  <w:iCs/>
                  <w:sz w:val="20"/>
                </w:rPr>
                <w:t>#1 above</w:t>
              </w:r>
            </w:hyperlink>
          </w:p>
        </w:tc>
      </w:tr>
      <w:tr w:rsidR="00E030D3" w:rsidRPr="001427AF" w14:paraId="7EB7788E" w14:textId="77777777" w:rsidTr="00831945">
        <w:tc>
          <w:tcPr>
            <w:tcW w:w="1525" w:type="dxa"/>
          </w:tcPr>
          <w:p w14:paraId="522DDA3D"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Y</w:t>
            </w:r>
          </w:p>
        </w:tc>
        <w:tc>
          <w:tcPr>
            <w:tcW w:w="1710" w:type="dxa"/>
          </w:tcPr>
          <w:p w14:paraId="441A2EE0"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N</w:t>
            </w:r>
          </w:p>
        </w:tc>
        <w:tc>
          <w:tcPr>
            <w:tcW w:w="1800" w:type="dxa"/>
          </w:tcPr>
          <w:p w14:paraId="3B85239D" w14:textId="0B7DA8C9" w:rsidR="00E030D3" w:rsidRPr="001427AF" w:rsidRDefault="00E030D3" w:rsidP="00390260">
            <w:pPr>
              <w:spacing w:line="240" w:lineRule="auto"/>
              <w:contextualSpacing/>
              <w:rPr>
                <w:rFonts w:ascii="Arial" w:hAnsi="Arial" w:cs="Arial"/>
                <w:iCs/>
                <w:sz w:val="20"/>
              </w:rPr>
            </w:pPr>
            <w:hyperlink w:anchor="S6322" w:history="1">
              <w:r w:rsidRPr="007306DD">
                <w:rPr>
                  <w:rStyle w:val="Hyperlink"/>
                  <w:rFonts w:ascii="Arial" w:hAnsi="Arial" w:cs="Arial"/>
                  <w:iCs/>
                  <w:sz w:val="20"/>
                </w:rPr>
                <w:t>#2 above</w:t>
              </w:r>
            </w:hyperlink>
          </w:p>
        </w:tc>
      </w:tr>
      <w:tr w:rsidR="00E030D3" w:rsidRPr="001427AF" w14:paraId="277EA508" w14:textId="77777777" w:rsidTr="00831945">
        <w:tc>
          <w:tcPr>
            <w:tcW w:w="1525" w:type="dxa"/>
          </w:tcPr>
          <w:p w14:paraId="5F98E03C"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N</w:t>
            </w:r>
          </w:p>
        </w:tc>
        <w:tc>
          <w:tcPr>
            <w:tcW w:w="1710" w:type="dxa"/>
          </w:tcPr>
          <w:p w14:paraId="06DF595C"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Y</w:t>
            </w:r>
          </w:p>
        </w:tc>
        <w:tc>
          <w:tcPr>
            <w:tcW w:w="1800" w:type="dxa"/>
          </w:tcPr>
          <w:p w14:paraId="4173BFB1" w14:textId="019C15B8" w:rsidR="00E030D3" w:rsidRPr="001427AF" w:rsidRDefault="00E030D3" w:rsidP="00390260">
            <w:pPr>
              <w:spacing w:line="240" w:lineRule="auto"/>
              <w:contextualSpacing/>
              <w:rPr>
                <w:rFonts w:ascii="Arial" w:hAnsi="Arial" w:cs="Arial"/>
                <w:iCs/>
                <w:sz w:val="20"/>
              </w:rPr>
            </w:pPr>
            <w:hyperlink w:anchor="S63231" w:history="1">
              <w:r w:rsidRPr="00C22271">
                <w:rPr>
                  <w:rStyle w:val="Hyperlink"/>
                  <w:rFonts w:ascii="Arial" w:hAnsi="Arial" w:cs="Arial"/>
                  <w:iCs/>
                  <w:sz w:val="20"/>
                </w:rPr>
                <w:t>#3 above, bullet 1</w:t>
              </w:r>
            </w:hyperlink>
            <w:r w:rsidRPr="001427AF">
              <w:rPr>
                <w:rFonts w:ascii="Arial" w:hAnsi="Arial" w:cs="Arial"/>
                <w:iCs/>
                <w:sz w:val="20"/>
              </w:rPr>
              <w:t xml:space="preserve"> </w:t>
            </w:r>
          </w:p>
        </w:tc>
      </w:tr>
      <w:tr w:rsidR="00E030D3" w:rsidRPr="001427AF" w14:paraId="7F553AF5" w14:textId="77777777" w:rsidTr="00831945">
        <w:tc>
          <w:tcPr>
            <w:tcW w:w="1525" w:type="dxa"/>
          </w:tcPr>
          <w:p w14:paraId="408DE3D2"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N</w:t>
            </w:r>
          </w:p>
        </w:tc>
        <w:tc>
          <w:tcPr>
            <w:tcW w:w="1710" w:type="dxa"/>
          </w:tcPr>
          <w:p w14:paraId="1E69C6CF" w14:textId="77777777" w:rsidR="00E030D3" w:rsidRPr="001427AF" w:rsidRDefault="00E030D3" w:rsidP="00390260">
            <w:pPr>
              <w:spacing w:line="240" w:lineRule="auto"/>
              <w:contextualSpacing/>
              <w:rPr>
                <w:rFonts w:ascii="Arial" w:hAnsi="Arial" w:cs="Arial"/>
                <w:iCs/>
                <w:sz w:val="20"/>
              </w:rPr>
            </w:pPr>
            <w:r w:rsidRPr="001427AF">
              <w:rPr>
                <w:rFonts w:ascii="Arial" w:hAnsi="Arial" w:cs="Arial"/>
                <w:iCs/>
                <w:sz w:val="20"/>
              </w:rPr>
              <w:t>N</w:t>
            </w:r>
          </w:p>
        </w:tc>
        <w:tc>
          <w:tcPr>
            <w:tcW w:w="1800" w:type="dxa"/>
          </w:tcPr>
          <w:p w14:paraId="5AFCACAB" w14:textId="7C4D4810" w:rsidR="00E030D3" w:rsidRPr="001427AF" w:rsidRDefault="00E030D3" w:rsidP="00390260">
            <w:pPr>
              <w:spacing w:line="240" w:lineRule="auto"/>
              <w:contextualSpacing/>
              <w:rPr>
                <w:rFonts w:ascii="Arial" w:hAnsi="Arial" w:cs="Arial"/>
                <w:iCs/>
                <w:sz w:val="20"/>
              </w:rPr>
            </w:pPr>
            <w:hyperlink w:anchor="S63232" w:history="1">
              <w:r w:rsidRPr="00C22271">
                <w:rPr>
                  <w:rStyle w:val="Hyperlink"/>
                  <w:rFonts w:ascii="Arial" w:hAnsi="Arial" w:cs="Arial"/>
                  <w:iCs/>
                  <w:sz w:val="20"/>
                </w:rPr>
                <w:t>#3 above, bullet 2</w:t>
              </w:r>
            </w:hyperlink>
            <w:r w:rsidRPr="001427AF">
              <w:rPr>
                <w:rFonts w:ascii="Arial" w:hAnsi="Arial" w:cs="Arial"/>
                <w:iCs/>
                <w:sz w:val="20"/>
              </w:rPr>
              <w:t xml:space="preserve"> </w:t>
            </w:r>
          </w:p>
        </w:tc>
      </w:tr>
    </w:tbl>
    <w:p w14:paraId="03C3B534" w14:textId="77777777" w:rsidR="00390260" w:rsidRPr="001427AF" w:rsidRDefault="00390260" w:rsidP="001514C3">
      <w:pPr>
        <w:spacing w:line="240" w:lineRule="auto"/>
        <w:contextualSpacing/>
        <w:rPr>
          <w:rFonts w:ascii="Arial" w:hAnsi="Arial" w:cs="Arial"/>
          <w:b/>
          <w:bCs/>
          <w:i/>
          <w:szCs w:val="24"/>
        </w:rPr>
      </w:pPr>
    </w:p>
    <w:p w14:paraId="060B4A76" w14:textId="44605032" w:rsidR="00390260" w:rsidRPr="001427AF" w:rsidRDefault="00390260" w:rsidP="001514C3">
      <w:pPr>
        <w:pStyle w:val="Heading3"/>
        <w:spacing w:before="0"/>
      </w:pPr>
      <w:bookmarkStart w:id="685" w:name="_Toc100132568"/>
      <w:bookmarkStart w:id="686" w:name="_Toc100132772"/>
      <w:bookmarkStart w:id="687" w:name="_Toc100136573"/>
      <w:bookmarkStart w:id="688" w:name="_Toc114211818"/>
      <w:bookmarkStart w:id="689" w:name="_Toc135812543"/>
      <w:bookmarkStart w:id="690" w:name="_Toc136418924"/>
      <w:bookmarkStart w:id="691" w:name="_Toc136419180"/>
      <w:bookmarkStart w:id="692" w:name="_Toc225404993"/>
      <w:r w:rsidRPr="001427AF">
        <w:t xml:space="preserve">Students </w:t>
      </w:r>
      <w:r w:rsidR="008A7BC7" w:rsidRPr="001427AF">
        <w:t xml:space="preserve">Who </w:t>
      </w:r>
      <w:r w:rsidRPr="001427AF">
        <w:t xml:space="preserve">May Count Positively or Negatively </w:t>
      </w:r>
      <w:r w:rsidR="0022703C" w:rsidRPr="001427AF">
        <w:t>a</w:t>
      </w:r>
      <w:r w:rsidRPr="001427AF">
        <w:t>fter Defining a Trajectory</w:t>
      </w:r>
      <w:bookmarkEnd w:id="685"/>
      <w:bookmarkEnd w:id="686"/>
      <w:bookmarkEnd w:id="687"/>
      <w:bookmarkEnd w:id="688"/>
      <w:bookmarkEnd w:id="689"/>
      <w:bookmarkEnd w:id="690"/>
      <w:bookmarkEnd w:id="691"/>
      <w:bookmarkEnd w:id="692"/>
      <w:r w:rsidRPr="001427AF">
        <w:t xml:space="preserve"> </w:t>
      </w:r>
    </w:p>
    <w:p w14:paraId="1838A98E" w14:textId="4366A7D5" w:rsidR="00A64E1B" w:rsidRPr="00A64E1B" w:rsidRDefault="00A64E1B" w:rsidP="001514C3">
      <w:pPr>
        <w:spacing w:line="240" w:lineRule="auto"/>
        <w:rPr>
          <w:rFonts w:ascii="Arial" w:hAnsi="Arial" w:cs="Arial"/>
        </w:rPr>
      </w:pPr>
      <w:r w:rsidRPr="00A64E1B">
        <w:rPr>
          <w:rFonts w:ascii="Arial" w:hAnsi="Arial" w:cs="Arial"/>
        </w:rPr>
        <w:t xml:space="preserve">Students that missed taking the </w:t>
      </w:r>
      <w:r w:rsidR="00327812">
        <w:rPr>
          <w:rFonts w:ascii="Arial" w:hAnsi="Arial" w:cs="Arial"/>
        </w:rPr>
        <w:t>annual</w:t>
      </w:r>
      <w:r w:rsidR="00146101">
        <w:rPr>
          <w:rFonts w:ascii="Arial" w:hAnsi="Arial" w:cs="Arial"/>
        </w:rPr>
        <w:t xml:space="preserve"> English language proficiency</w:t>
      </w:r>
      <w:r w:rsidRPr="00A64E1B">
        <w:rPr>
          <w:rFonts w:ascii="Arial" w:hAnsi="Arial" w:cs="Arial"/>
        </w:rPr>
        <w:t xml:space="preserve"> assessment in the initial year but have a score from a subsequent year follow a set trajectory to measure progress in future years. </w:t>
      </w:r>
      <w:r w:rsidRPr="46433D16">
        <w:rPr>
          <w:rFonts w:ascii="Arial" w:hAnsi="Arial" w:cs="Arial"/>
        </w:rPr>
        <w:t>Students count against the ELP indicator for the years preceding at least two scores.</w:t>
      </w:r>
    </w:p>
    <w:p w14:paraId="50CD5CC4" w14:textId="77777777" w:rsidR="00A64E1B" w:rsidRPr="00A64E1B" w:rsidRDefault="00A64E1B" w:rsidP="00A64E1B">
      <w:pPr>
        <w:spacing w:line="240" w:lineRule="auto"/>
        <w:contextualSpacing/>
        <w:rPr>
          <w:rFonts w:ascii="Arial" w:hAnsi="Arial" w:cs="Arial"/>
          <w:iCs/>
          <w:szCs w:val="24"/>
        </w:rPr>
      </w:pPr>
    </w:p>
    <w:p w14:paraId="716C9D2C" w14:textId="77777777" w:rsidR="00A64E1B" w:rsidRPr="00A64E1B" w:rsidRDefault="00A64E1B" w:rsidP="00A64E1B">
      <w:pPr>
        <w:spacing w:line="240" w:lineRule="auto"/>
        <w:contextualSpacing/>
        <w:rPr>
          <w:rFonts w:ascii="Arial" w:hAnsi="Arial" w:cs="Arial"/>
        </w:rPr>
      </w:pPr>
      <w:r w:rsidRPr="00A64E1B">
        <w:rPr>
          <w:rFonts w:ascii="Arial" w:hAnsi="Arial" w:cs="Arial"/>
          <w:i/>
        </w:rPr>
        <w:t>ELPM # 5</w:t>
      </w:r>
      <w:r w:rsidRPr="00A64E1B">
        <w:rPr>
          <w:rFonts w:ascii="Arial" w:hAnsi="Arial" w:cs="Arial"/>
        </w:rPr>
        <w:t xml:space="preserve">. To determine the expected trajectory of progress, the score of the first assessment taken by the student indicates the trajectory path on the value table in the year the student took the assessment (this year is determined by the number of years </w:t>
      </w:r>
      <w:r w:rsidRPr="00A64E1B">
        <w:rPr>
          <w:rFonts w:ascii="Arial" w:hAnsi="Arial" w:cs="Arial"/>
        </w:rPr>
        <w:lastRenderedPageBreak/>
        <w:t>the student should have had an assessment). The student is</w:t>
      </w:r>
      <w:r w:rsidRPr="00A64E1B" w:rsidDel="000A440D">
        <w:rPr>
          <w:rFonts w:ascii="Arial" w:hAnsi="Arial" w:cs="Arial"/>
        </w:rPr>
        <w:t xml:space="preserve"> </w:t>
      </w:r>
      <w:r w:rsidRPr="00A64E1B">
        <w:rPr>
          <w:rFonts w:ascii="Arial" w:hAnsi="Arial" w:cs="Arial"/>
        </w:rPr>
        <w:t xml:space="preserve">expected to meet the annual progress goal in the value table for the remaining years before </w:t>
      </w:r>
      <w:r w:rsidRPr="00A64E1B" w:rsidDel="000A440D">
        <w:rPr>
          <w:rFonts w:ascii="Arial" w:hAnsi="Arial" w:cs="Arial"/>
        </w:rPr>
        <w:t>their</w:t>
      </w:r>
      <w:r w:rsidRPr="00A64E1B">
        <w:rPr>
          <w:rFonts w:ascii="Arial" w:hAnsi="Arial" w:cs="Arial"/>
        </w:rPr>
        <w:t xml:space="preserve"> expected exit. </w:t>
      </w:r>
    </w:p>
    <w:p w14:paraId="6ED6963F" w14:textId="77777777" w:rsidR="00A64E1B" w:rsidRPr="00A64E1B" w:rsidRDefault="00A64E1B" w:rsidP="00CA5853">
      <w:pPr>
        <w:numPr>
          <w:ilvl w:val="0"/>
          <w:numId w:val="15"/>
        </w:numPr>
        <w:spacing w:line="240" w:lineRule="auto"/>
        <w:ind w:left="360"/>
        <w:contextualSpacing/>
        <w:rPr>
          <w:rFonts w:ascii="Arial" w:hAnsi="Arial" w:cs="Arial"/>
          <w:iCs/>
          <w:szCs w:val="24"/>
        </w:rPr>
      </w:pPr>
      <w:r w:rsidRPr="00A64E1B">
        <w:rPr>
          <w:rFonts w:ascii="Arial" w:hAnsi="Arial" w:cs="Arial"/>
          <w:iCs/>
          <w:szCs w:val="24"/>
        </w:rPr>
        <w:t xml:space="preserve">If the student’s initial assessment score is lower than the lowest score in the value table (first row of the table), the student follows the trajectory in the first row to determine progress. </w:t>
      </w:r>
    </w:p>
    <w:p w14:paraId="394ED311" w14:textId="77777777" w:rsidR="00A64E1B" w:rsidRPr="00A64E1B" w:rsidRDefault="00A64E1B" w:rsidP="00CA5853">
      <w:pPr>
        <w:numPr>
          <w:ilvl w:val="0"/>
          <w:numId w:val="15"/>
        </w:numPr>
        <w:spacing w:line="240" w:lineRule="auto"/>
        <w:ind w:left="360"/>
        <w:contextualSpacing/>
        <w:rPr>
          <w:rFonts w:ascii="Arial" w:hAnsi="Arial" w:cs="Arial"/>
          <w:iCs/>
          <w:szCs w:val="24"/>
        </w:rPr>
      </w:pPr>
      <w:r w:rsidRPr="00A64E1B">
        <w:rPr>
          <w:rFonts w:ascii="Arial" w:hAnsi="Arial" w:cs="Arial"/>
          <w:iCs/>
          <w:szCs w:val="24"/>
        </w:rPr>
        <w:t xml:space="preserve">If a student’s assessment score falls in between trajectory values for the associated year, the student is placed on the trajectory that corresponds to the lower of the two trajectory values for that year. </w:t>
      </w:r>
    </w:p>
    <w:p w14:paraId="4C8AC0B4" w14:textId="77777777" w:rsidR="00C22271" w:rsidRDefault="00C22271" w:rsidP="00A64E1B">
      <w:pPr>
        <w:spacing w:line="240" w:lineRule="auto"/>
        <w:contextualSpacing/>
        <w:rPr>
          <w:rFonts w:ascii="Arial" w:hAnsi="Arial" w:cs="Arial"/>
          <w:i/>
        </w:rPr>
      </w:pPr>
    </w:p>
    <w:p w14:paraId="559F6DB2" w14:textId="1B7E04CC" w:rsidR="00A64E1B" w:rsidRPr="00A64E1B" w:rsidRDefault="00A64E1B" w:rsidP="00A64E1B">
      <w:pPr>
        <w:spacing w:line="240" w:lineRule="auto"/>
        <w:contextualSpacing/>
        <w:rPr>
          <w:rFonts w:ascii="Arial" w:hAnsi="Arial" w:cs="Arial"/>
        </w:rPr>
      </w:pPr>
      <w:r w:rsidRPr="107E2A14">
        <w:rPr>
          <w:rFonts w:ascii="Arial" w:hAnsi="Arial" w:cs="Arial"/>
          <w:i/>
        </w:rPr>
        <w:t xml:space="preserve">Example 1. </w:t>
      </w:r>
      <w:r w:rsidRPr="107E2A14">
        <w:rPr>
          <w:rFonts w:ascii="Arial" w:hAnsi="Arial" w:cs="Arial"/>
        </w:rPr>
        <w:t xml:space="preserve">Student A is absent for </w:t>
      </w:r>
      <w:r w:rsidRPr="107E2A14" w:rsidDel="000A440D">
        <w:rPr>
          <w:rFonts w:ascii="Arial" w:hAnsi="Arial" w:cs="Arial"/>
        </w:rPr>
        <w:t xml:space="preserve">their </w:t>
      </w:r>
      <w:r w:rsidRPr="107E2A14">
        <w:rPr>
          <w:rFonts w:ascii="Arial" w:hAnsi="Arial" w:cs="Arial"/>
        </w:rPr>
        <w:t xml:space="preserve">initial assessment and was expected </w:t>
      </w:r>
      <w:proofErr w:type="gramStart"/>
      <w:r w:rsidRPr="107E2A14">
        <w:rPr>
          <w:rFonts w:ascii="Arial" w:hAnsi="Arial" w:cs="Arial"/>
        </w:rPr>
        <w:t>to</w:t>
      </w:r>
      <w:proofErr w:type="gramEnd"/>
      <w:r w:rsidRPr="107E2A14">
        <w:rPr>
          <w:rFonts w:ascii="Arial" w:hAnsi="Arial" w:cs="Arial"/>
        </w:rPr>
        <w:t xml:space="preserve"> test. Then the student takes the assessment in Year 2 and scores a 1.7. Student A is expected to make at least a 2.4 in Year 3 (see Student A in table 6.3.3 below).</w:t>
      </w:r>
    </w:p>
    <w:p w14:paraId="60401D1B" w14:textId="77777777" w:rsidR="00A64E1B" w:rsidRPr="00A64E1B" w:rsidRDefault="00A64E1B" w:rsidP="00A64E1B">
      <w:pPr>
        <w:spacing w:line="240" w:lineRule="auto"/>
        <w:contextualSpacing/>
        <w:rPr>
          <w:rFonts w:ascii="Arial" w:hAnsi="Arial" w:cs="Arial"/>
          <w:iCs/>
          <w:szCs w:val="24"/>
        </w:rPr>
      </w:pPr>
    </w:p>
    <w:p w14:paraId="16A96DAD" w14:textId="278E0B87" w:rsidR="00A64E1B" w:rsidRPr="00A64E1B" w:rsidRDefault="00A64E1B" w:rsidP="00A64E1B">
      <w:pPr>
        <w:spacing w:line="240" w:lineRule="auto"/>
        <w:contextualSpacing/>
        <w:rPr>
          <w:rFonts w:ascii="Arial" w:hAnsi="Arial" w:cs="Arial"/>
          <w:iCs/>
          <w:szCs w:val="24"/>
        </w:rPr>
      </w:pPr>
      <w:r w:rsidRPr="00A64E1B">
        <w:rPr>
          <w:rFonts w:ascii="Arial" w:hAnsi="Arial" w:cs="Arial"/>
          <w:i/>
          <w:szCs w:val="24"/>
        </w:rPr>
        <w:t xml:space="preserve">Example 2. </w:t>
      </w:r>
      <w:r w:rsidRPr="00A64E1B">
        <w:rPr>
          <w:rFonts w:ascii="Arial" w:hAnsi="Arial" w:cs="Arial"/>
          <w:iCs/>
          <w:szCs w:val="24"/>
        </w:rPr>
        <w:t xml:space="preserve">Student B does not have an initial assessment score and does not have </w:t>
      </w:r>
      <w:r w:rsidR="00362F05">
        <w:rPr>
          <w:rFonts w:ascii="Arial" w:hAnsi="Arial" w:cs="Arial"/>
          <w:iCs/>
          <w:szCs w:val="24"/>
        </w:rPr>
        <w:t>a</w:t>
      </w:r>
      <w:r w:rsidRPr="00A64E1B">
        <w:rPr>
          <w:rFonts w:ascii="Arial" w:hAnsi="Arial" w:cs="Arial"/>
          <w:iCs/>
          <w:szCs w:val="24"/>
        </w:rPr>
        <w:t xml:space="preserve"> score in Year 2 but should have had scores in both years. Student B then scores a 3.5 in Year 3. Student B counts against the ELP Progress indicator in Year 3 because the student did not have an initial score. The student is expected to score a 4.0 in Year 4 to meet progress (see Student B in table 6.3.3 below). </w:t>
      </w:r>
    </w:p>
    <w:p w14:paraId="7CE149A8" w14:textId="77777777" w:rsidR="00A64E1B" w:rsidRPr="00A64E1B" w:rsidRDefault="00A64E1B" w:rsidP="00A64E1B">
      <w:pPr>
        <w:spacing w:line="240" w:lineRule="auto"/>
        <w:contextualSpacing/>
        <w:rPr>
          <w:rFonts w:ascii="Arial" w:hAnsi="Arial" w:cs="Arial"/>
          <w:iCs/>
          <w:szCs w:val="24"/>
        </w:rPr>
      </w:pPr>
    </w:p>
    <w:p w14:paraId="69D39AA1" w14:textId="0029DE47" w:rsidR="00A64E1B" w:rsidRPr="00A64E1B" w:rsidRDefault="00A64E1B" w:rsidP="00A64E1B">
      <w:pPr>
        <w:spacing w:line="240" w:lineRule="auto"/>
        <w:contextualSpacing/>
        <w:rPr>
          <w:rFonts w:ascii="Arial" w:hAnsi="Arial" w:cs="Arial"/>
          <w:iCs/>
          <w:szCs w:val="24"/>
        </w:rPr>
      </w:pPr>
      <w:r w:rsidRPr="00A64E1B">
        <w:rPr>
          <w:rFonts w:ascii="Arial" w:hAnsi="Arial" w:cs="Arial"/>
          <w:i/>
        </w:rPr>
        <w:t xml:space="preserve">Example 3. </w:t>
      </w:r>
      <w:r w:rsidRPr="00A64E1B">
        <w:rPr>
          <w:rFonts w:ascii="Arial" w:hAnsi="Arial" w:cs="Arial"/>
        </w:rPr>
        <w:t xml:space="preserve">Student C does not have an initial score and does not have a score in Year 1 but should have had scores in both years. Student C takes the assessment in Year 3 and scores a 3.0; a score that falls between the values of 2.9 and 3.3 on the Year 3 column of the value table. The student would follow the 2.9 trajectory path (since it is the lower of the two scores) and is expected to make at least a 3.5 in Year 4 (see Student C in table 3.3.3 below). </w:t>
      </w:r>
    </w:p>
    <w:p w14:paraId="4A28EF5D" w14:textId="77777777" w:rsidR="00390260" w:rsidRPr="001427AF" w:rsidRDefault="00390260" w:rsidP="00390260">
      <w:pPr>
        <w:spacing w:line="240" w:lineRule="auto"/>
        <w:contextualSpacing/>
        <w:rPr>
          <w:rFonts w:ascii="Arial" w:hAnsi="Arial" w:cs="Arial"/>
        </w:rPr>
      </w:pPr>
    </w:p>
    <w:p w14:paraId="1F73B162" w14:textId="0C3C5056" w:rsidR="00390260" w:rsidRPr="001427AF" w:rsidRDefault="00390260" w:rsidP="00390260">
      <w:pPr>
        <w:spacing w:line="240" w:lineRule="auto"/>
        <w:contextualSpacing/>
        <w:rPr>
          <w:rFonts w:ascii="Arial" w:hAnsi="Arial" w:cs="Arial"/>
          <w:sz w:val="20"/>
        </w:rPr>
      </w:pPr>
      <w:r w:rsidRPr="001427AF">
        <w:rPr>
          <w:rFonts w:ascii="Arial" w:hAnsi="Arial" w:cs="Arial"/>
          <w:sz w:val="20"/>
        </w:rPr>
        <w:t>TABLE 6.3.3. Examples of setting a trajectory</w:t>
      </w:r>
      <w:r w:rsidR="00DB67EF">
        <w:rPr>
          <w:rFonts w:ascii="ZWAdobeF" w:hAnsi="ZWAdobeF" w:cs="ZWAdobeF"/>
          <w:color w:val="auto"/>
          <w:sz w:val="2"/>
          <w:szCs w:val="2"/>
        </w:rPr>
        <w:t>7F</w:t>
      </w:r>
      <w:r w:rsidR="00BC68E1">
        <w:rPr>
          <w:rStyle w:val="FootnoteReference"/>
          <w:rFonts w:ascii="Arial" w:hAnsi="Arial" w:cs="Arial"/>
          <w:sz w:val="20"/>
        </w:rPr>
        <w:footnoteReference w:customMarkFollows="1" w:id="9"/>
        <w:t>1</w:t>
      </w:r>
      <w:bookmarkStart w:id="693" w:name="S633"/>
      <w:bookmarkEnd w:id="693"/>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provides an example of setting a trajectory path for a student. The information is provided in the paragraphs prior to this chart. "/>
      </w:tblPr>
      <w:tblGrid>
        <w:gridCol w:w="1165"/>
        <w:gridCol w:w="1505"/>
        <w:gridCol w:w="1336"/>
        <w:gridCol w:w="1336"/>
        <w:gridCol w:w="1336"/>
        <w:gridCol w:w="1336"/>
        <w:gridCol w:w="1336"/>
      </w:tblGrid>
      <w:tr w:rsidR="001E3F4C" w:rsidRPr="001427AF" w14:paraId="01E890B5" w14:textId="77777777" w:rsidTr="00695552">
        <w:trPr>
          <w:trHeight w:val="485"/>
        </w:trPr>
        <w:tc>
          <w:tcPr>
            <w:tcW w:w="1165" w:type="dxa"/>
            <w:tcBorders>
              <w:top w:val="single" w:sz="4" w:space="0" w:color="auto"/>
              <w:left w:val="single" w:sz="4" w:space="0" w:color="auto"/>
            </w:tcBorders>
            <w:shd w:val="clear" w:color="auto" w:fill="ACB9CA" w:themeFill="text2" w:themeFillTint="66"/>
            <w:vAlign w:val="center"/>
          </w:tcPr>
          <w:p w14:paraId="15F46871" w14:textId="7A29C3F7" w:rsidR="001E3F4C" w:rsidRPr="001427AF" w:rsidRDefault="00695552" w:rsidP="00695552">
            <w:pPr>
              <w:spacing w:line="240" w:lineRule="auto"/>
              <w:contextualSpacing/>
              <w:jc w:val="center"/>
              <w:rPr>
                <w:rFonts w:ascii="Arial" w:hAnsi="Arial" w:cs="Arial"/>
                <w:iCs/>
                <w:sz w:val="20"/>
              </w:rPr>
            </w:pPr>
            <w:r w:rsidRPr="00695552">
              <w:rPr>
                <w:rFonts w:ascii="Arial" w:hAnsi="Arial" w:cs="Arial"/>
                <w:b/>
                <w:bCs/>
                <w:iCs/>
                <w:sz w:val="20"/>
              </w:rPr>
              <w:t>Students</w:t>
            </w:r>
          </w:p>
        </w:tc>
        <w:tc>
          <w:tcPr>
            <w:tcW w:w="1505" w:type="dxa"/>
            <w:shd w:val="clear" w:color="auto" w:fill="ACB9CA" w:themeFill="text2" w:themeFillTint="66"/>
            <w:vAlign w:val="center"/>
          </w:tcPr>
          <w:p w14:paraId="3C26A331" w14:textId="77F7EEDF" w:rsidR="00C22271" w:rsidRDefault="001E3F4C" w:rsidP="006500FC">
            <w:pPr>
              <w:spacing w:line="240" w:lineRule="auto"/>
              <w:contextualSpacing/>
              <w:jc w:val="center"/>
              <w:rPr>
                <w:rFonts w:ascii="Arial" w:hAnsi="Arial" w:cs="Arial"/>
                <w:b/>
                <w:bCs/>
                <w:iCs/>
                <w:sz w:val="20"/>
              </w:rPr>
            </w:pPr>
            <w:r w:rsidRPr="001427AF">
              <w:rPr>
                <w:rFonts w:ascii="Arial" w:hAnsi="Arial" w:cs="Arial"/>
                <w:b/>
                <w:bCs/>
                <w:iCs/>
                <w:sz w:val="20"/>
              </w:rPr>
              <w:t>Initial ACCESS Score</w:t>
            </w:r>
          </w:p>
          <w:p w14:paraId="5C57826D" w14:textId="1C63CFC6" w:rsidR="001E3F4C" w:rsidRPr="001427AF" w:rsidRDefault="001E3F4C" w:rsidP="006500FC">
            <w:pPr>
              <w:spacing w:line="240" w:lineRule="auto"/>
              <w:contextualSpacing/>
              <w:jc w:val="center"/>
              <w:rPr>
                <w:rFonts w:ascii="Arial" w:hAnsi="Arial" w:cs="Arial"/>
                <w:b/>
                <w:bCs/>
                <w:iCs/>
                <w:sz w:val="20"/>
              </w:rPr>
            </w:pPr>
            <w:r w:rsidRPr="001427AF">
              <w:rPr>
                <w:rFonts w:ascii="Arial" w:hAnsi="Arial" w:cs="Arial"/>
                <w:b/>
                <w:bCs/>
                <w:iCs/>
                <w:sz w:val="20"/>
              </w:rPr>
              <w:t>(Year 1)</w:t>
            </w:r>
          </w:p>
        </w:tc>
        <w:tc>
          <w:tcPr>
            <w:tcW w:w="1336" w:type="dxa"/>
            <w:shd w:val="clear" w:color="auto" w:fill="ACB9CA" w:themeFill="text2" w:themeFillTint="66"/>
            <w:vAlign w:val="center"/>
          </w:tcPr>
          <w:p w14:paraId="24338576" w14:textId="77777777" w:rsidR="001E3F4C" w:rsidRPr="001427AF" w:rsidRDefault="001E3F4C">
            <w:pPr>
              <w:spacing w:line="240" w:lineRule="auto"/>
              <w:contextualSpacing/>
              <w:jc w:val="center"/>
              <w:rPr>
                <w:rFonts w:ascii="Arial" w:hAnsi="Arial" w:cs="Arial"/>
                <w:b/>
                <w:bCs/>
                <w:iCs/>
                <w:sz w:val="20"/>
              </w:rPr>
            </w:pPr>
            <w:r w:rsidRPr="001427AF">
              <w:rPr>
                <w:rFonts w:ascii="Arial" w:hAnsi="Arial" w:cs="Arial"/>
                <w:b/>
                <w:bCs/>
                <w:iCs/>
                <w:sz w:val="20"/>
              </w:rPr>
              <w:t>Year 2</w:t>
            </w:r>
          </w:p>
        </w:tc>
        <w:tc>
          <w:tcPr>
            <w:tcW w:w="1336" w:type="dxa"/>
            <w:shd w:val="clear" w:color="auto" w:fill="ACB9CA" w:themeFill="text2" w:themeFillTint="66"/>
            <w:vAlign w:val="center"/>
          </w:tcPr>
          <w:p w14:paraId="6793CEFD" w14:textId="77777777" w:rsidR="001E3F4C" w:rsidRPr="001427AF" w:rsidRDefault="001E3F4C">
            <w:pPr>
              <w:spacing w:line="240" w:lineRule="auto"/>
              <w:contextualSpacing/>
              <w:jc w:val="center"/>
              <w:rPr>
                <w:rFonts w:ascii="Arial" w:hAnsi="Arial" w:cs="Arial"/>
                <w:b/>
                <w:bCs/>
                <w:iCs/>
                <w:sz w:val="20"/>
              </w:rPr>
            </w:pPr>
            <w:r w:rsidRPr="001427AF">
              <w:rPr>
                <w:rFonts w:ascii="Arial" w:hAnsi="Arial" w:cs="Arial"/>
                <w:b/>
                <w:bCs/>
                <w:iCs/>
                <w:sz w:val="20"/>
              </w:rPr>
              <w:t>Year 3</w:t>
            </w:r>
          </w:p>
        </w:tc>
        <w:tc>
          <w:tcPr>
            <w:tcW w:w="1336" w:type="dxa"/>
            <w:shd w:val="clear" w:color="auto" w:fill="ACB9CA" w:themeFill="text2" w:themeFillTint="66"/>
            <w:vAlign w:val="center"/>
          </w:tcPr>
          <w:p w14:paraId="2C78B8EC" w14:textId="77777777" w:rsidR="001E3F4C" w:rsidRPr="001427AF" w:rsidRDefault="001E3F4C">
            <w:pPr>
              <w:spacing w:line="240" w:lineRule="auto"/>
              <w:contextualSpacing/>
              <w:jc w:val="center"/>
              <w:rPr>
                <w:rFonts w:ascii="Arial" w:hAnsi="Arial" w:cs="Arial"/>
                <w:b/>
                <w:bCs/>
                <w:iCs/>
                <w:sz w:val="20"/>
              </w:rPr>
            </w:pPr>
            <w:r w:rsidRPr="001427AF">
              <w:rPr>
                <w:rFonts w:ascii="Arial" w:hAnsi="Arial" w:cs="Arial"/>
                <w:b/>
                <w:bCs/>
                <w:iCs/>
                <w:sz w:val="20"/>
              </w:rPr>
              <w:t>Year 4</w:t>
            </w:r>
          </w:p>
        </w:tc>
        <w:tc>
          <w:tcPr>
            <w:tcW w:w="1336" w:type="dxa"/>
            <w:shd w:val="clear" w:color="auto" w:fill="ACB9CA" w:themeFill="text2" w:themeFillTint="66"/>
            <w:vAlign w:val="center"/>
          </w:tcPr>
          <w:p w14:paraId="2E5AF6A0" w14:textId="77777777" w:rsidR="001E3F4C" w:rsidRPr="001427AF" w:rsidRDefault="001E3F4C">
            <w:pPr>
              <w:spacing w:line="240" w:lineRule="auto"/>
              <w:contextualSpacing/>
              <w:jc w:val="center"/>
              <w:rPr>
                <w:rFonts w:ascii="Arial" w:hAnsi="Arial" w:cs="Arial"/>
                <w:b/>
                <w:bCs/>
                <w:iCs/>
                <w:sz w:val="20"/>
              </w:rPr>
            </w:pPr>
            <w:r w:rsidRPr="001427AF">
              <w:rPr>
                <w:rFonts w:ascii="Arial" w:hAnsi="Arial" w:cs="Arial"/>
                <w:b/>
                <w:bCs/>
                <w:iCs/>
                <w:sz w:val="20"/>
              </w:rPr>
              <w:t>Year 5</w:t>
            </w:r>
          </w:p>
        </w:tc>
        <w:tc>
          <w:tcPr>
            <w:tcW w:w="1336" w:type="dxa"/>
            <w:shd w:val="clear" w:color="auto" w:fill="ACB9CA" w:themeFill="text2" w:themeFillTint="66"/>
            <w:vAlign w:val="center"/>
          </w:tcPr>
          <w:p w14:paraId="72B41723" w14:textId="77777777" w:rsidR="001E3F4C" w:rsidRPr="001427AF" w:rsidRDefault="001E3F4C">
            <w:pPr>
              <w:spacing w:line="240" w:lineRule="auto"/>
              <w:contextualSpacing/>
              <w:jc w:val="center"/>
              <w:rPr>
                <w:rFonts w:ascii="Arial" w:hAnsi="Arial" w:cs="Arial"/>
                <w:b/>
                <w:bCs/>
                <w:iCs/>
                <w:sz w:val="20"/>
              </w:rPr>
            </w:pPr>
            <w:r w:rsidRPr="001427AF">
              <w:rPr>
                <w:rFonts w:ascii="Arial" w:hAnsi="Arial" w:cs="Arial"/>
                <w:b/>
                <w:bCs/>
                <w:iCs/>
                <w:sz w:val="20"/>
              </w:rPr>
              <w:t>Year 6</w:t>
            </w:r>
          </w:p>
        </w:tc>
      </w:tr>
      <w:tr w:rsidR="001E3F4C" w:rsidRPr="001427AF" w14:paraId="71809B62" w14:textId="77777777" w:rsidTr="007818DC">
        <w:trPr>
          <w:trHeight w:val="278"/>
        </w:trPr>
        <w:tc>
          <w:tcPr>
            <w:tcW w:w="1165" w:type="dxa"/>
            <w:vAlign w:val="center"/>
          </w:tcPr>
          <w:p w14:paraId="52040DF3" w14:textId="77777777" w:rsidR="001E3F4C" w:rsidRPr="001427AF" w:rsidRDefault="001E3F4C">
            <w:pPr>
              <w:spacing w:line="240" w:lineRule="auto"/>
              <w:rPr>
                <w:rFonts w:ascii="Arial" w:hAnsi="Arial" w:cs="Arial"/>
                <w:sz w:val="20"/>
              </w:rPr>
            </w:pPr>
            <w:r w:rsidRPr="001427AF">
              <w:rPr>
                <w:rFonts w:ascii="Arial" w:hAnsi="Arial" w:cs="Arial"/>
                <w:sz w:val="20"/>
              </w:rPr>
              <w:t>Student A</w:t>
            </w:r>
          </w:p>
        </w:tc>
        <w:tc>
          <w:tcPr>
            <w:tcW w:w="1505" w:type="dxa"/>
            <w:vAlign w:val="center"/>
          </w:tcPr>
          <w:p w14:paraId="009804D7" w14:textId="77777777" w:rsidR="001E3F4C" w:rsidRPr="001427AF" w:rsidRDefault="001E3F4C">
            <w:pPr>
              <w:spacing w:line="240" w:lineRule="auto"/>
              <w:jc w:val="center"/>
              <w:rPr>
                <w:rFonts w:ascii="Arial" w:hAnsi="Arial" w:cs="Arial"/>
                <w:sz w:val="20"/>
              </w:rPr>
            </w:pPr>
            <w:r w:rsidRPr="001427AF">
              <w:rPr>
                <w:rFonts w:ascii="Arial" w:hAnsi="Arial" w:cs="Arial"/>
                <w:sz w:val="20"/>
              </w:rPr>
              <w:t>Absent</w:t>
            </w:r>
          </w:p>
        </w:tc>
        <w:tc>
          <w:tcPr>
            <w:tcW w:w="1336" w:type="dxa"/>
            <w:vAlign w:val="center"/>
          </w:tcPr>
          <w:p w14:paraId="62FE6340"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1.7</w:t>
            </w:r>
          </w:p>
        </w:tc>
        <w:tc>
          <w:tcPr>
            <w:tcW w:w="1336" w:type="dxa"/>
            <w:vAlign w:val="center"/>
          </w:tcPr>
          <w:p w14:paraId="54328277"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2.4</w:t>
            </w:r>
          </w:p>
        </w:tc>
        <w:tc>
          <w:tcPr>
            <w:tcW w:w="1336" w:type="dxa"/>
            <w:vAlign w:val="center"/>
          </w:tcPr>
          <w:p w14:paraId="30C3E9F8"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3.1</w:t>
            </w:r>
          </w:p>
        </w:tc>
        <w:tc>
          <w:tcPr>
            <w:tcW w:w="1336" w:type="dxa"/>
            <w:vAlign w:val="center"/>
          </w:tcPr>
          <w:p w14:paraId="66F3A7A8"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3.8</w:t>
            </w:r>
          </w:p>
        </w:tc>
        <w:tc>
          <w:tcPr>
            <w:tcW w:w="1336" w:type="dxa"/>
            <w:vAlign w:val="center"/>
          </w:tcPr>
          <w:p w14:paraId="2C73CCB2"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Exit</w:t>
            </w:r>
          </w:p>
        </w:tc>
      </w:tr>
      <w:tr w:rsidR="001E3F4C" w:rsidRPr="001427AF" w14:paraId="2FE88BD2" w14:textId="77777777" w:rsidTr="007818DC">
        <w:tc>
          <w:tcPr>
            <w:tcW w:w="1165" w:type="dxa"/>
            <w:vAlign w:val="center"/>
          </w:tcPr>
          <w:p w14:paraId="6DD5ECD2" w14:textId="77777777" w:rsidR="001E3F4C" w:rsidRPr="001427AF" w:rsidRDefault="001E3F4C">
            <w:pPr>
              <w:spacing w:line="240" w:lineRule="auto"/>
              <w:rPr>
                <w:rFonts w:ascii="Arial" w:hAnsi="Arial" w:cs="Arial"/>
                <w:sz w:val="20"/>
              </w:rPr>
            </w:pPr>
            <w:r w:rsidRPr="001427AF">
              <w:rPr>
                <w:rFonts w:ascii="Arial" w:hAnsi="Arial" w:cs="Arial"/>
                <w:sz w:val="20"/>
              </w:rPr>
              <w:t>Student B</w:t>
            </w:r>
          </w:p>
        </w:tc>
        <w:tc>
          <w:tcPr>
            <w:tcW w:w="1505" w:type="dxa"/>
            <w:vAlign w:val="center"/>
          </w:tcPr>
          <w:p w14:paraId="42EB159F" w14:textId="77777777" w:rsidR="001E3F4C" w:rsidRPr="001427AF" w:rsidRDefault="001E3F4C">
            <w:pPr>
              <w:spacing w:line="240" w:lineRule="auto"/>
              <w:jc w:val="center"/>
              <w:rPr>
                <w:rFonts w:ascii="Arial" w:hAnsi="Arial" w:cs="Arial"/>
                <w:sz w:val="20"/>
              </w:rPr>
            </w:pPr>
            <w:r w:rsidRPr="001427AF">
              <w:rPr>
                <w:rFonts w:ascii="Arial" w:hAnsi="Arial" w:cs="Arial"/>
                <w:sz w:val="20"/>
              </w:rPr>
              <w:t>No score</w:t>
            </w:r>
          </w:p>
        </w:tc>
        <w:tc>
          <w:tcPr>
            <w:tcW w:w="1336" w:type="dxa"/>
            <w:vAlign w:val="center"/>
          </w:tcPr>
          <w:p w14:paraId="4FA94CCD"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No score</w:t>
            </w:r>
          </w:p>
        </w:tc>
        <w:tc>
          <w:tcPr>
            <w:tcW w:w="1336" w:type="dxa"/>
            <w:vAlign w:val="center"/>
          </w:tcPr>
          <w:p w14:paraId="2CF43EB9"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3.5</w:t>
            </w:r>
          </w:p>
        </w:tc>
        <w:tc>
          <w:tcPr>
            <w:tcW w:w="1336" w:type="dxa"/>
            <w:vAlign w:val="center"/>
          </w:tcPr>
          <w:p w14:paraId="3117086A"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4.0</w:t>
            </w:r>
          </w:p>
        </w:tc>
        <w:tc>
          <w:tcPr>
            <w:tcW w:w="1336" w:type="dxa"/>
            <w:vAlign w:val="center"/>
          </w:tcPr>
          <w:p w14:paraId="5BAA8FBD"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Exit</w:t>
            </w:r>
          </w:p>
        </w:tc>
        <w:tc>
          <w:tcPr>
            <w:tcW w:w="1336" w:type="dxa"/>
            <w:vAlign w:val="center"/>
          </w:tcPr>
          <w:p w14:paraId="39593F92"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Exit</w:t>
            </w:r>
          </w:p>
        </w:tc>
      </w:tr>
      <w:tr w:rsidR="001E3F4C" w:rsidRPr="001427AF" w14:paraId="075091A8" w14:textId="77777777" w:rsidTr="007818DC">
        <w:tc>
          <w:tcPr>
            <w:tcW w:w="1165" w:type="dxa"/>
            <w:vAlign w:val="center"/>
          </w:tcPr>
          <w:p w14:paraId="0748D195" w14:textId="77777777" w:rsidR="001E3F4C" w:rsidRPr="001427AF" w:rsidRDefault="001E3F4C">
            <w:pPr>
              <w:spacing w:line="240" w:lineRule="auto"/>
              <w:rPr>
                <w:rFonts w:ascii="Arial" w:hAnsi="Arial" w:cs="Arial"/>
                <w:sz w:val="20"/>
              </w:rPr>
            </w:pPr>
            <w:r w:rsidRPr="001427AF">
              <w:rPr>
                <w:rFonts w:ascii="Arial" w:hAnsi="Arial" w:cs="Arial"/>
                <w:sz w:val="20"/>
              </w:rPr>
              <w:t>Student C</w:t>
            </w:r>
          </w:p>
        </w:tc>
        <w:tc>
          <w:tcPr>
            <w:tcW w:w="1505" w:type="dxa"/>
            <w:vAlign w:val="center"/>
          </w:tcPr>
          <w:p w14:paraId="0F9CEFE3" w14:textId="77777777" w:rsidR="001E3F4C" w:rsidRPr="001427AF" w:rsidRDefault="001E3F4C">
            <w:pPr>
              <w:spacing w:line="240" w:lineRule="auto"/>
              <w:jc w:val="center"/>
              <w:rPr>
                <w:rFonts w:ascii="Arial" w:hAnsi="Arial" w:cs="Arial"/>
                <w:sz w:val="20"/>
              </w:rPr>
            </w:pPr>
            <w:r w:rsidRPr="001427AF">
              <w:rPr>
                <w:rFonts w:ascii="Arial" w:hAnsi="Arial" w:cs="Arial"/>
                <w:sz w:val="20"/>
              </w:rPr>
              <w:t>No score</w:t>
            </w:r>
          </w:p>
        </w:tc>
        <w:tc>
          <w:tcPr>
            <w:tcW w:w="1336" w:type="dxa"/>
            <w:vAlign w:val="center"/>
          </w:tcPr>
          <w:p w14:paraId="12AB9822"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No score</w:t>
            </w:r>
          </w:p>
        </w:tc>
        <w:tc>
          <w:tcPr>
            <w:tcW w:w="1336" w:type="dxa"/>
            <w:vAlign w:val="center"/>
          </w:tcPr>
          <w:p w14:paraId="5BF7FA76"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3.0</w:t>
            </w:r>
          </w:p>
        </w:tc>
        <w:tc>
          <w:tcPr>
            <w:tcW w:w="1336" w:type="dxa"/>
            <w:vAlign w:val="center"/>
          </w:tcPr>
          <w:p w14:paraId="53505DDA"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3.5</w:t>
            </w:r>
          </w:p>
        </w:tc>
        <w:tc>
          <w:tcPr>
            <w:tcW w:w="1336" w:type="dxa"/>
            <w:vAlign w:val="center"/>
          </w:tcPr>
          <w:p w14:paraId="4D2D5DFE"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4.0</w:t>
            </w:r>
          </w:p>
        </w:tc>
        <w:tc>
          <w:tcPr>
            <w:tcW w:w="1336" w:type="dxa"/>
            <w:vAlign w:val="center"/>
          </w:tcPr>
          <w:p w14:paraId="607BC565" w14:textId="77777777" w:rsidR="001E3F4C" w:rsidRPr="001427AF" w:rsidRDefault="001E3F4C">
            <w:pPr>
              <w:spacing w:line="240" w:lineRule="auto"/>
              <w:contextualSpacing/>
              <w:jc w:val="center"/>
              <w:rPr>
                <w:rFonts w:ascii="Arial" w:hAnsi="Arial" w:cs="Arial"/>
                <w:iCs/>
                <w:sz w:val="20"/>
              </w:rPr>
            </w:pPr>
            <w:r w:rsidRPr="001427AF">
              <w:rPr>
                <w:rFonts w:ascii="Arial" w:hAnsi="Arial" w:cs="Arial"/>
                <w:iCs/>
                <w:sz w:val="20"/>
              </w:rPr>
              <w:t>Exit</w:t>
            </w:r>
          </w:p>
        </w:tc>
      </w:tr>
    </w:tbl>
    <w:p w14:paraId="70BF3263" w14:textId="7310EA44" w:rsidR="00390260" w:rsidRPr="001427AF" w:rsidRDefault="00390260" w:rsidP="00B76243">
      <w:pPr>
        <w:pStyle w:val="Heading3"/>
      </w:pPr>
      <w:bookmarkStart w:id="694" w:name="_Toc100132569"/>
      <w:bookmarkStart w:id="695" w:name="_Toc100132773"/>
      <w:bookmarkStart w:id="696" w:name="_Toc100136574"/>
      <w:bookmarkStart w:id="697" w:name="_Toc114211819"/>
      <w:bookmarkStart w:id="698" w:name="_Toc135812544"/>
      <w:bookmarkStart w:id="699" w:name="_Toc136418925"/>
      <w:bookmarkStart w:id="700" w:name="_Toc136419181"/>
      <w:bookmarkStart w:id="701" w:name="_Toc225404994"/>
      <w:r w:rsidRPr="001427AF">
        <w:t>Students Counting Neither Negatively nor Positively for English Learner Progress (Not in the Denominator)</w:t>
      </w:r>
      <w:bookmarkEnd w:id="694"/>
      <w:bookmarkEnd w:id="695"/>
      <w:bookmarkEnd w:id="696"/>
      <w:bookmarkEnd w:id="697"/>
      <w:bookmarkEnd w:id="698"/>
      <w:bookmarkEnd w:id="699"/>
      <w:bookmarkEnd w:id="700"/>
      <w:bookmarkEnd w:id="701"/>
    </w:p>
    <w:p w14:paraId="284CD317" w14:textId="7FC95CE5" w:rsidR="00591FFD" w:rsidRPr="00591FFD" w:rsidRDefault="00591FFD" w:rsidP="00591FFD">
      <w:pPr>
        <w:spacing w:line="240" w:lineRule="auto"/>
        <w:contextualSpacing/>
        <w:rPr>
          <w:rFonts w:ascii="Arial" w:hAnsi="Arial" w:cs="Arial"/>
          <w:iCs/>
          <w:szCs w:val="24"/>
        </w:rPr>
      </w:pPr>
      <w:r w:rsidRPr="00591FFD">
        <w:rPr>
          <w:rFonts w:ascii="Arial" w:hAnsi="Arial" w:cs="Arial"/>
          <w:i/>
          <w:szCs w:val="24"/>
        </w:rPr>
        <w:t>ELPM # 6</w:t>
      </w:r>
      <w:r w:rsidRPr="00591FFD">
        <w:rPr>
          <w:rFonts w:ascii="Arial" w:hAnsi="Arial" w:cs="Arial"/>
          <w:iCs/>
          <w:szCs w:val="24"/>
        </w:rPr>
        <w:t xml:space="preserve">. Students that transfer from one public school unit to another, are enrolled, are expected to test for two administrations but did not test in the first </w:t>
      </w:r>
      <w:r w:rsidR="00F227BF" w:rsidRPr="00591FFD">
        <w:rPr>
          <w:rFonts w:ascii="Arial" w:hAnsi="Arial" w:cs="Arial"/>
          <w:iCs/>
          <w:szCs w:val="24"/>
        </w:rPr>
        <w:t>administration and</w:t>
      </w:r>
      <w:r w:rsidRPr="00591FFD">
        <w:rPr>
          <w:rFonts w:ascii="Arial" w:hAnsi="Arial" w:cs="Arial"/>
          <w:iCs/>
          <w:szCs w:val="24"/>
        </w:rPr>
        <w:t xml:space="preserve"> have current year scores; In this instance, public school units are being held harmless if they inherited a student from a previous district that did not test the student.</w:t>
      </w:r>
    </w:p>
    <w:p w14:paraId="264AE542" w14:textId="77777777" w:rsidR="00591FFD" w:rsidRPr="00591FFD" w:rsidRDefault="00591FFD" w:rsidP="00591FFD">
      <w:pPr>
        <w:spacing w:line="240" w:lineRule="auto"/>
        <w:contextualSpacing/>
        <w:rPr>
          <w:rFonts w:ascii="Arial" w:hAnsi="Arial" w:cs="Arial"/>
          <w:iCs/>
          <w:szCs w:val="24"/>
        </w:rPr>
      </w:pPr>
    </w:p>
    <w:p w14:paraId="2249EEE5" w14:textId="76025914" w:rsidR="00591FFD" w:rsidRPr="00591FFD" w:rsidRDefault="00591FFD" w:rsidP="00591FFD">
      <w:pPr>
        <w:spacing w:line="240" w:lineRule="auto"/>
        <w:contextualSpacing/>
        <w:rPr>
          <w:rFonts w:ascii="Arial" w:hAnsi="Arial" w:cs="Arial"/>
          <w:strike/>
        </w:rPr>
      </w:pPr>
      <w:r w:rsidRPr="076C62F5">
        <w:rPr>
          <w:rFonts w:ascii="Arial" w:hAnsi="Arial" w:cs="Arial"/>
          <w:i/>
        </w:rPr>
        <w:t>ELPM # 7</w:t>
      </w:r>
      <w:r w:rsidRPr="076C62F5">
        <w:rPr>
          <w:rFonts w:ascii="Arial" w:hAnsi="Arial" w:cs="Arial"/>
        </w:rPr>
        <w:t>. Students with disabilities preventing access to one or more domains on the ACCESS assessment must be tested on domains which can be accessed.</w:t>
      </w:r>
      <w:r w:rsidRPr="076C62F5">
        <w:rPr>
          <w:rFonts w:ascii="Arial" w:hAnsi="Arial" w:cs="Arial"/>
          <w:strike/>
        </w:rPr>
        <w:t xml:space="preserve"> </w:t>
      </w:r>
    </w:p>
    <w:p w14:paraId="095E7979" w14:textId="0F55E1B4" w:rsidR="00591FFD" w:rsidRPr="00591FFD" w:rsidRDefault="00FB2D99" w:rsidP="00CA5853">
      <w:pPr>
        <w:numPr>
          <w:ilvl w:val="0"/>
          <w:numId w:val="22"/>
        </w:numPr>
        <w:spacing w:line="240" w:lineRule="auto"/>
        <w:contextualSpacing/>
        <w:rPr>
          <w:rFonts w:ascii="Arial" w:hAnsi="Arial" w:cs="Arial"/>
        </w:rPr>
      </w:pPr>
      <w:r w:rsidRPr="33A4F440">
        <w:rPr>
          <w:rFonts w:ascii="Arial" w:hAnsi="Arial" w:cs="Arial"/>
        </w:rPr>
        <w:lastRenderedPageBreak/>
        <w:t xml:space="preserve">A </w:t>
      </w:r>
      <w:r w:rsidRPr="00834797">
        <w:rPr>
          <w:rFonts w:ascii="Arial" w:hAnsi="Arial" w:cs="Arial"/>
          <w:i/>
          <w:iCs/>
        </w:rPr>
        <w:t xml:space="preserve">Less Than Four Domain </w:t>
      </w:r>
      <w:r w:rsidR="0E61D376" w:rsidRPr="00834797">
        <w:rPr>
          <w:rFonts w:ascii="Arial" w:hAnsi="Arial" w:cs="Arial"/>
          <w:i/>
          <w:iCs/>
        </w:rPr>
        <w:t>Score Calculation</w:t>
      </w:r>
      <w:r w:rsidR="00591FFD" w:rsidRPr="00591FFD" w:rsidDel="001F4716">
        <w:rPr>
          <w:rFonts w:ascii="Arial" w:hAnsi="Arial" w:cs="Arial"/>
          <w:iCs/>
        </w:rPr>
        <w:t xml:space="preserve"> </w:t>
      </w:r>
      <w:r w:rsidR="00591FFD" w:rsidRPr="00591FFD">
        <w:rPr>
          <w:rFonts w:ascii="Arial" w:hAnsi="Arial" w:cs="Arial"/>
          <w:iCs/>
        </w:rPr>
        <w:t xml:space="preserve">is calculated for any student that has a documented disability in an IEP or Section 504 Plan, preventing participation in </w:t>
      </w:r>
      <w:r w:rsidR="00591FFD" w:rsidRPr="00591FFD" w:rsidDel="000E4DCC">
        <w:rPr>
          <w:rFonts w:ascii="Arial" w:hAnsi="Arial" w:cs="Arial"/>
          <w:iCs/>
        </w:rPr>
        <w:t xml:space="preserve">one </w:t>
      </w:r>
      <w:r w:rsidR="049C9DE7" w:rsidRPr="33A4F440">
        <w:rPr>
          <w:rFonts w:ascii="Arial" w:hAnsi="Arial" w:cs="Arial"/>
        </w:rPr>
        <w:t>or two</w:t>
      </w:r>
      <w:r w:rsidR="59254A18" w:rsidRPr="076C62F5">
        <w:rPr>
          <w:rFonts w:ascii="Arial" w:hAnsi="Arial" w:cs="Arial"/>
        </w:rPr>
        <w:t xml:space="preserve"> </w:t>
      </w:r>
      <w:r w:rsidR="00591FFD" w:rsidRPr="076C62F5">
        <w:rPr>
          <w:rFonts w:ascii="Arial" w:hAnsi="Arial" w:cs="Arial"/>
        </w:rPr>
        <w:t>domain</w:t>
      </w:r>
      <w:r w:rsidR="33C0387A" w:rsidRPr="076C62F5">
        <w:rPr>
          <w:rFonts w:ascii="Arial" w:hAnsi="Arial" w:cs="Arial"/>
        </w:rPr>
        <w:t>s</w:t>
      </w:r>
      <w:r w:rsidR="00591FFD" w:rsidRPr="00591FFD">
        <w:rPr>
          <w:rFonts w:ascii="Arial" w:hAnsi="Arial" w:cs="Arial"/>
          <w:iCs/>
        </w:rPr>
        <w:t xml:space="preserve"> on the </w:t>
      </w:r>
      <w:r w:rsidR="36225B14" w:rsidRPr="33A4F440">
        <w:rPr>
          <w:rFonts w:ascii="Arial" w:hAnsi="Arial" w:cs="Arial"/>
        </w:rPr>
        <w:t xml:space="preserve">WIDA Alternate ACCESS or WIDA </w:t>
      </w:r>
      <w:r w:rsidR="75414F95" w:rsidRPr="33A4F440">
        <w:rPr>
          <w:rFonts w:ascii="Arial" w:hAnsi="Arial" w:cs="Arial"/>
        </w:rPr>
        <w:t>ACCESS assessment</w:t>
      </w:r>
      <w:r w:rsidR="6F031BB4" w:rsidRPr="33A4F440">
        <w:rPr>
          <w:rFonts w:ascii="Arial" w:hAnsi="Arial" w:cs="Arial"/>
        </w:rPr>
        <w:t>s</w:t>
      </w:r>
      <w:r w:rsidR="75414F95" w:rsidRPr="33A4F440">
        <w:rPr>
          <w:rFonts w:ascii="Arial" w:hAnsi="Arial" w:cs="Arial"/>
        </w:rPr>
        <w:t>.</w:t>
      </w:r>
      <w:r w:rsidR="00591FFD" w:rsidRPr="00591FFD">
        <w:rPr>
          <w:rFonts w:ascii="Arial" w:hAnsi="Arial" w:cs="Arial"/>
          <w:iCs/>
        </w:rPr>
        <w:t xml:space="preserve">  </w:t>
      </w:r>
    </w:p>
    <w:p w14:paraId="0866C5DE" w14:textId="7299EB31" w:rsidR="00591FFD" w:rsidRPr="00591FFD" w:rsidRDefault="00591FFD" w:rsidP="00CA5853">
      <w:pPr>
        <w:numPr>
          <w:ilvl w:val="0"/>
          <w:numId w:val="22"/>
        </w:numPr>
        <w:spacing w:line="240" w:lineRule="auto"/>
        <w:contextualSpacing/>
        <w:rPr>
          <w:rFonts w:ascii="Arial" w:hAnsi="Arial" w:cs="Arial"/>
        </w:rPr>
      </w:pPr>
      <w:r w:rsidRPr="00591FFD">
        <w:rPr>
          <w:rFonts w:ascii="Arial" w:hAnsi="Arial" w:cs="Arial"/>
          <w:iCs/>
        </w:rPr>
        <w:t xml:space="preserve">The </w:t>
      </w:r>
      <w:r w:rsidR="594C17AE" w:rsidRPr="00834797">
        <w:rPr>
          <w:rFonts w:ascii="Arial" w:hAnsi="Arial" w:cs="Arial"/>
          <w:i/>
          <w:iCs/>
        </w:rPr>
        <w:t xml:space="preserve">Less Than Four Domain </w:t>
      </w:r>
      <w:r w:rsidR="7BF1DB9F" w:rsidRPr="00834797">
        <w:rPr>
          <w:rFonts w:ascii="Arial" w:hAnsi="Arial" w:cs="Arial"/>
          <w:i/>
          <w:iCs/>
        </w:rPr>
        <w:t xml:space="preserve">Score </w:t>
      </w:r>
      <w:r w:rsidR="594C17AE" w:rsidRPr="00834797">
        <w:rPr>
          <w:rFonts w:ascii="Arial" w:hAnsi="Arial" w:cs="Arial"/>
          <w:i/>
          <w:iCs/>
        </w:rPr>
        <w:t>Calculation</w:t>
      </w:r>
      <w:r w:rsidRPr="00591FFD">
        <w:rPr>
          <w:rFonts w:ascii="Arial" w:hAnsi="Arial" w:cs="Arial"/>
          <w:iCs/>
        </w:rPr>
        <w:t xml:space="preserve"> established becomes the baseline for student progress in subsequent years and counts either positively or negatively. Students with disabilities who do not have </w:t>
      </w:r>
      <w:r w:rsidR="2F856FEF" w:rsidRPr="076C62F5">
        <w:rPr>
          <w:rFonts w:ascii="Arial" w:hAnsi="Arial" w:cs="Arial"/>
        </w:rPr>
        <w:t>two</w:t>
      </w:r>
      <w:r w:rsidRPr="076C62F5">
        <w:rPr>
          <w:rFonts w:ascii="Arial" w:hAnsi="Arial" w:cs="Arial"/>
        </w:rPr>
        <w:t xml:space="preserve"> </w:t>
      </w:r>
      <w:r w:rsidRPr="00591FFD">
        <w:rPr>
          <w:rFonts w:ascii="Arial" w:hAnsi="Arial" w:cs="Arial"/>
          <w:iCs/>
        </w:rPr>
        <w:t xml:space="preserve">individual domain scores do not count against ELP because they cannot attain an overall </w:t>
      </w:r>
      <w:r w:rsidR="00834797">
        <w:rPr>
          <w:rFonts w:ascii="Arial" w:hAnsi="Arial" w:cs="Arial"/>
          <w:iCs/>
        </w:rPr>
        <w:t xml:space="preserve">composite </w:t>
      </w:r>
      <w:r w:rsidRPr="00591FFD">
        <w:rPr>
          <w:rFonts w:ascii="Arial" w:hAnsi="Arial" w:cs="Arial"/>
          <w:iCs/>
        </w:rPr>
        <w:t>score.</w:t>
      </w:r>
    </w:p>
    <w:p w14:paraId="69C17DE2" w14:textId="77777777" w:rsidR="00591FFD" w:rsidRPr="00591FFD" w:rsidRDefault="00591FFD" w:rsidP="00591FFD">
      <w:pPr>
        <w:spacing w:line="240" w:lineRule="auto"/>
        <w:ind w:left="720"/>
        <w:contextualSpacing/>
        <w:rPr>
          <w:rFonts w:ascii="Arial" w:hAnsi="Arial" w:cs="Arial"/>
          <w:iCs/>
          <w:szCs w:val="24"/>
        </w:rPr>
      </w:pPr>
    </w:p>
    <w:p w14:paraId="3F0735B2" w14:textId="15E0B6B5" w:rsidR="00591FFD" w:rsidRPr="00591FFD" w:rsidRDefault="00591FFD" w:rsidP="00591FFD">
      <w:pPr>
        <w:spacing w:line="240" w:lineRule="auto"/>
        <w:contextualSpacing/>
        <w:rPr>
          <w:rFonts w:ascii="Arial" w:hAnsi="Arial" w:cs="Arial"/>
          <w:iCs/>
          <w:szCs w:val="24"/>
        </w:rPr>
      </w:pPr>
      <w:r w:rsidRPr="00591FFD">
        <w:rPr>
          <w:rFonts w:ascii="Arial" w:hAnsi="Arial" w:cs="Arial"/>
          <w:i/>
          <w:szCs w:val="24"/>
        </w:rPr>
        <w:t>ELPM # 8</w:t>
      </w:r>
      <w:r w:rsidRPr="00591FFD">
        <w:rPr>
          <w:rFonts w:ascii="Arial" w:hAnsi="Arial" w:cs="Arial"/>
          <w:iCs/>
          <w:szCs w:val="24"/>
        </w:rPr>
        <w:t xml:space="preserve">. Students granted a medical exception in the current year or the previous year (only if the previous year is the initial assessment). </w:t>
      </w:r>
    </w:p>
    <w:p w14:paraId="12A3CB67" w14:textId="77777777" w:rsidR="00591FFD" w:rsidRPr="00591FFD" w:rsidRDefault="00591FFD" w:rsidP="00591FFD">
      <w:pPr>
        <w:spacing w:line="240" w:lineRule="auto"/>
        <w:contextualSpacing/>
        <w:rPr>
          <w:rFonts w:ascii="Arial" w:hAnsi="Arial" w:cs="Arial"/>
          <w:iCs/>
          <w:szCs w:val="24"/>
        </w:rPr>
      </w:pPr>
    </w:p>
    <w:p w14:paraId="30BEEAD0" w14:textId="68CDF3A0" w:rsidR="00591FFD" w:rsidRPr="00591FFD" w:rsidRDefault="00591FFD" w:rsidP="00591FFD">
      <w:pPr>
        <w:spacing w:line="240" w:lineRule="auto"/>
        <w:contextualSpacing/>
        <w:rPr>
          <w:rFonts w:ascii="Arial" w:hAnsi="Arial" w:cs="Arial"/>
          <w:iCs/>
          <w:szCs w:val="24"/>
        </w:rPr>
      </w:pPr>
      <w:r w:rsidRPr="00591FFD">
        <w:rPr>
          <w:rFonts w:ascii="Arial" w:hAnsi="Arial" w:cs="Arial"/>
          <w:i/>
          <w:szCs w:val="24"/>
        </w:rPr>
        <w:t>ELPM # 9</w:t>
      </w:r>
      <w:r w:rsidRPr="00591FFD">
        <w:rPr>
          <w:rFonts w:ascii="Arial" w:hAnsi="Arial" w:cs="Arial"/>
          <w:iCs/>
          <w:szCs w:val="24"/>
        </w:rPr>
        <w:t xml:space="preserve">. Students who are enrolled at a school after the designated enrollment deadline and </w:t>
      </w:r>
      <w:proofErr w:type="gramStart"/>
      <w:r w:rsidRPr="00591FFD">
        <w:rPr>
          <w:rFonts w:ascii="Arial" w:hAnsi="Arial" w:cs="Arial"/>
          <w:iCs/>
          <w:szCs w:val="24"/>
        </w:rPr>
        <w:t>were</w:t>
      </w:r>
      <w:proofErr w:type="gramEnd"/>
      <w:r w:rsidRPr="00591FFD">
        <w:rPr>
          <w:rFonts w:ascii="Arial" w:hAnsi="Arial" w:cs="Arial"/>
          <w:iCs/>
          <w:szCs w:val="24"/>
        </w:rPr>
        <w:t xml:space="preserve"> not required to take the </w:t>
      </w:r>
      <w:r w:rsidR="007F0F77">
        <w:rPr>
          <w:rFonts w:ascii="Arial" w:hAnsi="Arial" w:cs="Arial"/>
          <w:iCs/>
          <w:szCs w:val="24"/>
        </w:rPr>
        <w:t xml:space="preserve">annual </w:t>
      </w:r>
      <w:r w:rsidRPr="00591FFD">
        <w:rPr>
          <w:rFonts w:ascii="Arial" w:hAnsi="Arial" w:cs="Arial"/>
          <w:iCs/>
          <w:szCs w:val="24"/>
        </w:rPr>
        <w:t xml:space="preserve">assessment during the test administration window. </w:t>
      </w:r>
    </w:p>
    <w:p w14:paraId="2742F07A" w14:textId="77777777" w:rsidR="00591FFD" w:rsidRPr="00591FFD" w:rsidRDefault="00591FFD" w:rsidP="00591FFD">
      <w:pPr>
        <w:spacing w:line="240" w:lineRule="auto"/>
        <w:contextualSpacing/>
        <w:rPr>
          <w:rFonts w:ascii="Arial" w:hAnsi="Arial" w:cs="Arial"/>
          <w:iCs/>
          <w:szCs w:val="24"/>
        </w:rPr>
      </w:pPr>
    </w:p>
    <w:p w14:paraId="4E1033AA" w14:textId="6B3F8D2A" w:rsidR="00591FFD" w:rsidRPr="00591FFD" w:rsidRDefault="00591FFD" w:rsidP="00591FFD">
      <w:pPr>
        <w:spacing w:line="240" w:lineRule="auto"/>
        <w:contextualSpacing/>
        <w:rPr>
          <w:rFonts w:ascii="Arial" w:hAnsi="Arial" w:cs="Arial"/>
          <w:iCs/>
          <w:szCs w:val="24"/>
        </w:rPr>
      </w:pPr>
      <w:r w:rsidRPr="00591FFD">
        <w:rPr>
          <w:rFonts w:ascii="Arial" w:hAnsi="Arial" w:cs="Arial"/>
          <w:i/>
          <w:szCs w:val="24"/>
        </w:rPr>
        <w:t>ELPM # 10</w:t>
      </w:r>
      <w:r w:rsidRPr="00591FFD">
        <w:rPr>
          <w:rFonts w:ascii="Arial" w:hAnsi="Arial" w:cs="Arial"/>
          <w:iCs/>
          <w:szCs w:val="24"/>
        </w:rPr>
        <w:t xml:space="preserve">. Students that took the </w:t>
      </w:r>
      <w:r w:rsidR="007F0F77">
        <w:rPr>
          <w:rFonts w:ascii="Arial" w:hAnsi="Arial" w:cs="Arial"/>
          <w:iCs/>
          <w:szCs w:val="24"/>
        </w:rPr>
        <w:t xml:space="preserve">WIDA </w:t>
      </w:r>
      <w:r w:rsidRPr="00591FFD">
        <w:rPr>
          <w:rFonts w:ascii="Arial" w:hAnsi="Arial" w:cs="Arial"/>
          <w:iCs/>
          <w:szCs w:val="24"/>
        </w:rPr>
        <w:t xml:space="preserve">ACCESS assessment in the previous year and the </w:t>
      </w:r>
      <w:r w:rsidR="007F0F77">
        <w:rPr>
          <w:rFonts w:ascii="Arial" w:hAnsi="Arial" w:cs="Arial"/>
          <w:iCs/>
          <w:szCs w:val="24"/>
        </w:rPr>
        <w:t xml:space="preserve">WIDA </w:t>
      </w:r>
      <w:r w:rsidRPr="00591FFD">
        <w:rPr>
          <w:rFonts w:ascii="Arial" w:hAnsi="Arial" w:cs="Arial"/>
          <w:iCs/>
          <w:szCs w:val="24"/>
        </w:rPr>
        <w:t xml:space="preserve">Alternate ACCESS assessment in the current year, count neither negatively nor positively. The </w:t>
      </w:r>
      <w:r w:rsidR="007F0F77">
        <w:rPr>
          <w:rFonts w:ascii="Arial" w:hAnsi="Arial" w:cs="Arial"/>
          <w:iCs/>
          <w:szCs w:val="24"/>
        </w:rPr>
        <w:t>WIDA</w:t>
      </w:r>
      <w:r w:rsidRPr="00591FFD">
        <w:rPr>
          <w:rFonts w:ascii="Arial" w:hAnsi="Arial" w:cs="Arial"/>
          <w:iCs/>
          <w:szCs w:val="24"/>
        </w:rPr>
        <w:t xml:space="preserve"> Alternate ACCESS assessment becomes the initial assessment to measure progress in future years based on table</w:t>
      </w:r>
      <w:r w:rsidRPr="00591FFD">
        <w:rPr>
          <w:rFonts w:ascii="Arial" w:hAnsi="Arial" w:cs="Arial"/>
          <w:szCs w:val="24"/>
        </w:rPr>
        <w:t xml:space="preserve"> 6.3.5.2</w:t>
      </w:r>
      <w:r w:rsidRPr="00591FFD">
        <w:rPr>
          <w:rFonts w:ascii="Arial" w:hAnsi="Arial" w:cs="Arial"/>
          <w:iCs/>
          <w:szCs w:val="24"/>
        </w:rPr>
        <w:t xml:space="preserve">. If the student takes the </w:t>
      </w:r>
      <w:r w:rsidR="007F0F77">
        <w:rPr>
          <w:rFonts w:ascii="Arial" w:hAnsi="Arial" w:cs="Arial"/>
          <w:iCs/>
          <w:szCs w:val="24"/>
        </w:rPr>
        <w:t xml:space="preserve">WIDA </w:t>
      </w:r>
      <w:r w:rsidRPr="00591FFD">
        <w:rPr>
          <w:rFonts w:ascii="Arial" w:hAnsi="Arial" w:cs="Arial"/>
          <w:iCs/>
          <w:szCs w:val="24"/>
        </w:rPr>
        <w:t xml:space="preserve">ACCESS assessment in a future year, the original initial </w:t>
      </w:r>
      <w:r w:rsidR="007F0F77">
        <w:rPr>
          <w:rFonts w:ascii="Arial" w:hAnsi="Arial" w:cs="Arial"/>
          <w:iCs/>
          <w:szCs w:val="24"/>
        </w:rPr>
        <w:t xml:space="preserve">WIDA </w:t>
      </w:r>
      <w:r w:rsidRPr="00591FFD">
        <w:rPr>
          <w:rFonts w:ascii="Arial" w:hAnsi="Arial" w:cs="Arial"/>
          <w:iCs/>
          <w:szCs w:val="24"/>
        </w:rPr>
        <w:t>ACCESS assessment is used to measure progress in future years based on table</w:t>
      </w:r>
      <w:r w:rsidRPr="00591FFD">
        <w:rPr>
          <w:rFonts w:ascii="Arial" w:hAnsi="Arial" w:cs="Arial"/>
          <w:szCs w:val="24"/>
        </w:rPr>
        <w:t xml:space="preserve"> 6.3.5.1</w:t>
      </w:r>
      <w:r w:rsidRPr="00591FFD">
        <w:rPr>
          <w:rFonts w:ascii="Arial" w:hAnsi="Arial" w:cs="Arial"/>
          <w:iCs/>
          <w:szCs w:val="24"/>
        </w:rPr>
        <w:t xml:space="preserve">. </w:t>
      </w:r>
    </w:p>
    <w:p w14:paraId="5E9AD533" w14:textId="77777777" w:rsidR="00591FFD" w:rsidRPr="00591FFD" w:rsidRDefault="00591FFD" w:rsidP="00591FFD">
      <w:pPr>
        <w:spacing w:line="240" w:lineRule="auto"/>
        <w:contextualSpacing/>
        <w:rPr>
          <w:rFonts w:ascii="Arial" w:hAnsi="Arial" w:cs="Arial"/>
          <w:iCs/>
          <w:szCs w:val="24"/>
        </w:rPr>
      </w:pPr>
    </w:p>
    <w:p w14:paraId="74F1FA90" w14:textId="47D4103E" w:rsidR="00591FFD" w:rsidRPr="00591FFD" w:rsidRDefault="00591FFD" w:rsidP="006500FC">
      <w:pPr>
        <w:spacing w:line="240" w:lineRule="auto"/>
        <w:contextualSpacing/>
        <w:rPr>
          <w:rFonts w:ascii="Arial" w:hAnsi="Arial" w:cs="Arial"/>
          <w:iCs/>
          <w:szCs w:val="24"/>
        </w:rPr>
      </w:pPr>
      <w:r w:rsidRPr="00591FFD">
        <w:rPr>
          <w:rFonts w:ascii="Arial" w:hAnsi="Arial" w:cs="Arial"/>
          <w:i/>
        </w:rPr>
        <w:t>ELPM # 11</w:t>
      </w:r>
      <w:r w:rsidRPr="00591FFD">
        <w:rPr>
          <w:rFonts w:ascii="Arial" w:hAnsi="Arial" w:cs="Arial"/>
          <w:iCs/>
        </w:rPr>
        <w:t xml:space="preserve">. Eligible students who withdrew from NC public schools during the testing window and did not have </w:t>
      </w:r>
      <w:r w:rsidR="001D61AC">
        <w:rPr>
          <w:rFonts w:ascii="Arial" w:hAnsi="Arial" w:cs="Arial"/>
          <w:iCs/>
        </w:rPr>
        <w:t>a</w:t>
      </w:r>
      <w:r w:rsidRPr="00591FFD">
        <w:rPr>
          <w:rFonts w:ascii="Arial" w:hAnsi="Arial" w:cs="Arial"/>
          <w:iCs/>
        </w:rPr>
        <w:t xml:space="preserve"> score, do not count against progress. Enrollment data is collected on the first and last day of the testing window.</w:t>
      </w:r>
    </w:p>
    <w:p w14:paraId="02265BE1" w14:textId="77777777" w:rsidR="00591FFD" w:rsidRPr="00962C05" w:rsidRDefault="00591FFD" w:rsidP="006500FC">
      <w:pPr>
        <w:spacing w:line="240" w:lineRule="auto"/>
        <w:contextualSpacing/>
        <w:rPr>
          <w:sz w:val="20"/>
        </w:rPr>
      </w:pPr>
    </w:p>
    <w:p w14:paraId="388078F7" w14:textId="77777777" w:rsidR="007C6652" w:rsidRPr="001427AF" w:rsidRDefault="007C6652" w:rsidP="006500FC">
      <w:pPr>
        <w:pStyle w:val="Heading3"/>
        <w:spacing w:before="0"/>
      </w:pPr>
      <w:bookmarkStart w:id="702" w:name="_Toc100132570"/>
      <w:bookmarkStart w:id="703" w:name="_Toc100132774"/>
      <w:bookmarkStart w:id="704" w:name="_Toc100136575"/>
      <w:bookmarkStart w:id="705" w:name="_Toc114211820"/>
      <w:bookmarkStart w:id="706" w:name="_Toc135812545"/>
      <w:bookmarkStart w:id="707" w:name="_Toc136418926"/>
      <w:bookmarkStart w:id="708" w:name="_Toc136419182"/>
      <w:bookmarkStart w:id="709" w:name="_Toc164435004"/>
      <w:bookmarkStart w:id="710" w:name="_Toc225404995"/>
      <w:r w:rsidRPr="001427AF">
        <w:t xml:space="preserve">Adjusting the ELP Long-Term Goal and Indicator When Students Move in and out of </w:t>
      </w:r>
      <w:bookmarkEnd w:id="702"/>
      <w:bookmarkEnd w:id="703"/>
      <w:bookmarkEnd w:id="704"/>
      <w:bookmarkEnd w:id="705"/>
      <w:bookmarkEnd w:id="706"/>
      <w:bookmarkEnd w:id="707"/>
      <w:bookmarkEnd w:id="708"/>
      <w:bookmarkEnd w:id="709"/>
      <w:r w:rsidRPr="001427AF">
        <w:t>the State</w:t>
      </w:r>
      <w:bookmarkEnd w:id="710"/>
      <w:r w:rsidRPr="001427AF">
        <w:t xml:space="preserve"> </w:t>
      </w:r>
    </w:p>
    <w:p w14:paraId="154E9051" w14:textId="7EC54D12" w:rsidR="00F124F1" w:rsidRPr="00F124F1" w:rsidRDefault="00F124F1" w:rsidP="00F124F1">
      <w:pPr>
        <w:autoSpaceDE w:val="0"/>
        <w:autoSpaceDN w:val="0"/>
        <w:adjustRightInd w:val="0"/>
        <w:spacing w:line="240" w:lineRule="auto"/>
        <w:contextualSpacing/>
        <w:rPr>
          <w:rFonts w:ascii="Arial" w:hAnsi="Arial" w:cs="Arial"/>
          <w:szCs w:val="24"/>
        </w:rPr>
      </w:pPr>
      <w:r w:rsidRPr="00F124F1">
        <w:rPr>
          <w:rFonts w:ascii="Arial" w:hAnsi="Arial" w:cs="Arial"/>
          <w:i/>
          <w:szCs w:val="24"/>
        </w:rPr>
        <w:t>ELPM # 12</w:t>
      </w:r>
      <w:r w:rsidRPr="00F124F1">
        <w:rPr>
          <w:rFonts w:ascii="Arial" w:hAnsi="Arial" w:cs="Arial"/>
          <w:szCs w:val="24"/>
        </w:rPr>
        <w:t xml:space="preserve">. Students who have an initial score and move out of NC public schools to an in-state private or home school or out of state (not out of country, see ELPM #14) and return in a later year, maintain the initial score. After returning, students are expected to make progress based on the initial score and the expected score designated by the yearly progression in table 6.3.5.1 or 6.3.5.2. </w:t>
      </w:r>
    </w:p>
    <w:p w14:paraId="02033C56" w14:textId="77777777" w:rsidR="00F124F1" w:rsidRPr="00F124F1" w:rsidRDefault="00F124F1" w:rsidP="00F124F1">
      <w:pPr>
        <w:autoSpaceDE w:val="0"/>
        <w:autoSpaceDN w:val="0"/>
        <w:adjustRightInd w:val="0"/>
        <w:spacing w:line="240" w:lineRule="auto"/>
        <w:contextualSpacing/>
        <w:rPr>
          <w:rFonts w:ascii="Arial" w:hAnsi="Arial" w:cs="Arial"/>
          <w:szCs w:val="24"/>
        </w:rPr>
      </w:pPr>
    </w:p>
    <w:p w14:paraId="512E589A" w14:textId="68425E42" w:rsidR="00F124F1" w:rsidRPr="00F124F1" w:rsidRDefault="00F124F1" w:rsidP="00F124F1">
      <w:pPr>
        <w:autoSpaceDE w:val="0"/>
        <w:autoSpaceDN w:val="0"/>
        <w:adjustRightInd w:val="0"/>
        <w:spacing w:line="240" w:lineRule="auto"/>
        <w:contextualSpacing/>
        <w:rPr>
          <w:rFonts w:ascii="Arial" w:hAnsi="Arial" w:cs="Arial"/>
          <w:szCs w:val="24"/>
        </w:rPr>
      </w:pPr>
      <w:r w:rsidRPr="00F124F1">
        <w:rPr>
          <w:rFonts w:ascii="Arial" w:hAnsi="Arial" w:cs="Arial"/>
          <w:i/>
          <w:szCs w:val="24"/>
        </w:rPr>
        <w:t>ELPM # 13</w:t>
      </w:r>
      <w:r w:rsidRPr="00F124F1">
        <w:rPr>
          <w:rFonts w:ascii="Arial" w:hAnsi="Arial" w:cs="Arial"/>
          <w:szCs w:val="24"/>
        </w:rPr>
        <w:t xml:space="preserve">. Students who enter from out of state, where the </w:t>
      </w:r>
      <w:r w:rsidR="001D61AC">
        <w:rPr>
          <w:rFonts w:ascii="Arial" w:hAnsi="Arial" w:cs="Arial"/>
          <w:szCs w:val="24"/>
        </w:rPr>
        <w:t xml:space="preserve">WIDA </w:t>
      </w:r>
      <w:r w:rsidRPr="00F124F1">
        <w:rPr>
          <w:rFonts w:ascii="Arial" w:hAnsi="Arial" w:cs="Arial"/>
          <w:szCs w:val="24"/>
        </w:rPr>
        <w:t xml:space="preserve">ACCESS assessment </w:t>
      </w:r>
      <w:r w:rsidR="00BB6AB8">
        <w:rPr>
          <w:rFonts w:ascii="Arial" w:hAnsi="Arial" w:cs="Arial"/>
          <w:szCs w:val="24"/>
        </w:rPr>
        <w:t xml:space="preserve">or WIDA Alternate ACCESS </w:t>
      </w:r>
      <w:r w:rsidRPr="00F124F1">
        <w:rPr>
          <w:rFonts w:ascii="Arial" w:hAnsi="Arial" w:cs="Arial"/>
          <w:szCs w:val="24"/>
        </w:rPr>
        <w:t xml:space="preserve">is administered and were not previously enrolled in NC, use the most recent score as the initial score in NC. These students are expected to make progress as specified in table 6.3.5.1 or 6.3.5.2. </w:t>
      </w:r>
    </w:p>
    <w:p w14:paraId="7A09EFF9" w14:textId="77777777" w:rsidR="00F124F1" w:rsidRPr="00F124F1" w:rsidRDefault="00F124F1" w:rsidP="00F124F1">
      <w:pPr>
        <w:autoSpaceDE w:val="0"/>
        <w:autoSpaceDN w:val="0"/>
        <w:adjustRightInd w:val="0"/>
        <w:spacing w:line="240" w:lineRule="auto"/>
        <w:contextualSpacing/>
        <w:rPr>
          <w:rFonts w:ascii="Arial" w:hAnsi="Arial" w:cs="Arial"/>
          <w:szCs w:val="24"/>
        </w:rPr>
      </w:pPr>
    </w:p>
    <w:p w14:paraId="6A48271B" w14:textId="7634CFDB" w:rsidR="00F124F1" w:rsidRPr="00F124F1" w:rsidRDefault="00F124F1" w:rsidP="00F124F1">
      <w:pPr>
        <w:autoSpaceDE w:val="0"/>
        <w:autoSpaceDN w:val="0"/>
        <w:adjustRightInd w:val="0"/>
        <w:spacing w:line="240" w:lineRule="auto"/>
        <w:contextualSpacing/>
        <w:rPr>
          <w:rFonts w:ascii="Arial" w:hAnsi="Arial" w:cs="Arial"/>
          <w:szCs w:val="24"/>
        </w:rPr>
      </w:pPr>
      <w:r w:rsidRPr="00F124F1">
        <w:rPr>
          <w:rFonts w:ascii="Arial" w:hAnsi="Arial" w:cs="Arial"/>
          <w:i/>
          <w:iCs/>
          <w:szCs w:val="24"/>
        </w:rPr>
        <w:t xml:space="preserve">Example. </w:t>
      </w:r>
      <w:r w:rsidRPr="00F124F1">
        <w:rPr>
          <w:rFonts w:ascii="Arial" w:hAnsi="Arial" w:cs="Arial"/>
          <w:szCs w:val="24"/>
        </w:rPr>
        <w:t xml:space="preserve">A student took the initial </w:t>
      </w:r>
      <w:r w:rsidR="00BB6AB8">
        <w:rPr>
          <w:rFonts w:ascii="Arial" w:hAnsi="Arial" w:cs="Arial"/>
          <w:szCs w:val="24"/>
        </w:rPr>
        <w:t xml:space="preserve">WIDA </w:t>
      </w:r>
      <w:r w:rsidRPr="00F124F1">
        <w:rPr>
          <w:rFonts w:ascii="Arial" w:hAnsi="Arial" w:cs="Arial"/>
          <w:szCs w:val="24"/>
        </w:rPr>
        <w:t xml:space="preserve">ACCESS assessment in Colorado (CO) and earned a 1.0 composite score. Three years later, the student entered NC with a most recent </w:t>
      </w:r>
      <w:r w:rsidR="00BB6AB8">
        <w:rPr>
          <w:rFonts w:ascii="Arial" w:hAnsi="Arial" w:cs="Arial"/>
          <w:szCs w:val="24"/>
        </w:rPr>
        <w:t xml:space="preserve">WIDA </w:t>
      </w:r>
      <w:r w:rsidRPr="00F124F1">
        <w:rPr>
          <w:rFonts w:ascii="Arial" w:hAnsi="Arial" w:cs="Arial"/>
          <w:szCs w:val="24"/>
        </w:rPr>
        <w:t xml:space="preserve">ACCESS composite score of 3.3. The 3.3 composite score from </w:t>
      </w:r>
      <w:proofErr w:type="gramStart"/>
      <w:r w:rsidRPr="00F124F1">
        <w:rPr>
          <w:rFonts w:ascii="Arial" w:hAnsi="Arial" w:cs="Arial"/>
          <w:szCs w:val="24"/>
        </w:rPr>
        <w:t>CO,</w:t>
      </w:r>
      <w:proofErr w:type="gramEnd"/>
      <w:r w:rsidRPr="00F124F1">
        <w:rPr>
          <w:rFonts w:ascii="Arial" w:hAnsi="Arial" w:cs="Arial"/>
          <w:szCs w:val="24"/>
        </w:rPr>
        <w:t xml:space="preserve"> is considered the initial </w:t>
      </w:r>
      <w:r w:rsidR="00BB6AB8">
        <w:rPr>
          <w:rFonts w:ascii="Arial" w:hAnsi="Arial" w:cs="Arial"/>
          <w:szCs w:val="24"/>
        </w:rPr>
        <w:t xml:space="preserve">WIDA </w:t>
      </w:r>
      <w:r w:rsidRPr="00F124F1">
        <w:rPr>
          <w:rFonts w:ascii="Arial" w:hAnsi="Arial" w:cs="Arial"/>
          <w:szCs w:val="24"/>
        </w:rPr>
        <w:t xml:space="preserve">ACCESS composite score in NC, and the student is expected to score at least a 3.7 to be considered a student making progress the following year (see table 6.3.5.1). </w:t>
      </w:r>
    </w:p>
    <w:p w14:paraId="13BC4C76" w14:textId="6EA63ED1" w:rsidR="00390260" w:rsidRPr="001427AF" w:rsidRDefault="00390260" w:rsidP="00390260">
      <w:pPr>
        <w:spacing w:line="240" w:lineRule="auto"/>
        <w:contextualSpacing/>
        <w:rPr>
          <w:rFonts w:ascii="Arial" w:hAnsi="Arial" w:cs="Arial"/>
          <w:sz w:val="20"/>
        </w:rPr>
      </w:pPr>
      <w:r w:rsidRPr="001427AF">
        <w:rPr>
          <w:rFonts w:ascii="Arial" w:hAnsi="Arial" w:cs="Arial"/>
          <w:sz w:val="20"/>
        </w:rPr>
        <w:lastRenderedPageBreak/>
        <w:t>TABLE 6.3.5.1. Example of progress calculation for students who entered N</w:t>
      </w:r>
      <w:r w:rsidR="00196B72" w:rsidRPr="001427AF">
        <w:rPr>
          <w:rFonts w:ascii="Arial" w:hAnsi="Arial" w:cs="Arial"/>
          <w:sz w:val="20"/>
        </w:rPr>
        <w:t>C</w:t>
      </w:r>
      <w:r w:rsidRPr="001427AF">
        <w:rPr>
          <w:rFonts w:ascii="Arial" w:hAnsi="Arial" w:cs="Arial"/>
          <w:sz w:val="20"/>
        </w:rPr>
        <w:t xml:space="preserve"> from out of state where ACCESS is administered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si table is an example of the EL progress calculation for students who entered North Carolina from out of state where ACCESSS was administered. "/>
      </w:tblPr>
      <w:tblGrid>
        <w:gridCol w:w="1558"/>
        <w:gridCol w:w="1767"/>
        <w:gridCol w:w="1349"/>
        <w:gridCol w:w="1558"/>
        <w:gridCol w:w="1503"/>
        <w:gridCol w:w="1615"/>
      </w:tblGrid>
      <w:tr w:rsidR="00865DF0" w:rsidRPr="001427AF" w14:paraId="71AA82A0" w14:textId="77777777" w:rsidTr="00E31F2D">
        <w:tc>
          <w:tcPr>
            <w:tcW w:w="1558" w:type="dxa"/>
            <w:tcBorders>
              <w:top w:val="single" w:sz="4" w:space="0" w:color="auto"/>
              <w:left w:val="single" w:sz="4" w:space="0" w:color="auto"/>
            </w:tcBorders>
            <w:shd w:val="clear" w:color="auto" w:fill="ACB9CA" w:themeFill="text2" w:themeFillTint="66"/>
          </w:tcPr>
          <w:p w14:paraId="78D2A2F0" w14:textId="2EB7EA56" w:rsidR="00865DF0" w:rsidRPr="001427AF" w:rsidRDefault="00E31F2D" w:rsidP="00E31F2D">
            <w:pPr>
              <w:autoSpaceDE w:val="0"/>
              <w:autoSpaceDN w:val="0"/>
              <w:adjustRightInd w:val="0"/>
              <w:spacing w:line="240" w:lineRule="auto"/>
              <w:contextualSpacing/>
              <w:rPr>
                <w:rFonts w:ascii="Arial" w:hAnsi="Arial" w:cs="Arial"/>
                <w:sz w:val="20"/>
              </w:rPr>
            </w:pPr>
            <w:r w:rsidRPr="00E31F2D">
              <w:rPr>
                <w:rFonts w:ascii="Arial" w:hAnsi="Arial" w:cs="Arial"/>
                <w:b/>
                <w:bCs/>
                <w:sz w:val="20"/>
              </w:rPr>
              <w:t xml:space="preserve">Grade </w:t>
            </w:r>
            <w:r>
              <w:rPr>
                <w:rFonts w:ascii="Arial" w:hAnsi="Arial" w:cs="Arial"/>
                <w:b/>
                <w:bCs/>
                <w:sz w:val="20"/>
              </w:rPr>
              <w:t xml:space="preserve">level </w:t>
            </w:r>
            <w:r w:rsidRPr="00E31F2D">
              <w:rPr>
                <w:rFonts w:ascii="Arial" w:hAnsi="Arial" w:cs="Arial"/>
                <w:b/>
                <w:bCs/>
                <w:sz w:val="20"/>
              </w:rPr>
              <w:t>or score</w:t>
            </w:r>
          </w:p>
        </w:tc>
        <w:tc>
          <w:tcPr>
            <w:tcW w:w="1767" w:type="dxa"/>
            <w:shd w:val="clear" w:color="auto" w:fill="ACB9CA" w:themeFill="text2" w:themeFillTint="66"/>
          </w:tcPr>
          <w:p w14:paraId="43C1D3A3" w14:textId="77777777" w:rsidR="00865DF0" w:rsidRPr="001427AF" w:rsidRDefault="00865DF0">
            <w:pPr>
              <w:autoSpaceDE w:val="0"/>
              <w:autoSpaceDN w:val="0"/>
              <w:adjustRightInd w:val="0"/>
              <w:spacing w:line="240" w:lineRule="auto"/>
              <w:contextualSpacing/>
              <w:jc w:val="center"/>
              <w:rPr>
                <w:rFonts w:ascii="Arial" w:hAnsi="Arial" w:cs="Arial"/>
                <w:b/>
                <w:bCs/>
                <w:sz w:val="20"/>
              </w:rPr>
            </w:pPr>
            <w:r w:rsidRPr="001427AF">
              <w:rPr>
                <w:rFonts w:ascii="Arial" w:hAnsi="Arial" w:cs="Arial"/>
                <w:b/>
                <w:bCs/>
                <w:sz w:val="20"/>
              </w:rPr>
              <w:t>Initial ACCESS score CO</w:t>
            </w:r>
          </w:p>
        </w:tc>
        <w:tc>
          <w:tcPr>
            <w:tcW w:w="1349" w:type="dxa"/>
            <w:shd w:val="clear" w:color="auto" w:fill="ACB9CA" w:themeFill="text2" w:themeFillTint="66"/>
          </w:tcPr>
          <w:p w14:paraId="7DE0F731" w14:textId="77777777" w:rsidR="00865DF0" w:rsidRPr="001427AF" w:rsidRDefault="00865DF0">
            <w:pPr>
              <w:autoSpaceDE w:val="0"/>
              <w:autoSpaceDN w:val="0"/>
              <w:adjustRightInd w:val="0"/>
              <w:spacing w:line="240" w:lineRule="auto"/>
              <w:contextualSpacing/>
              <w:jc w:val="center"/>
              <w:rPr>
                <w:rFonts w:ascii="Arial" w:hAnsi="Arial" w:cs="Arial"/>
                <w:b/>
                <w:bCs/>
                <w:sz w:val="20"/>
              </w:rPr>
            </w:pPr>
            <w:r w:rsidRPr="001427AF">
              <w:rPr>
                <w:rFonts w:ascii="Arial" w:hAnsi="Arial" w:cs="Arial"/>
                <w:b/>
                <w:bCs/>
                <w:sz w:val="20"/>
              </w:rPr>
              <w:t>ACCESS score CO</w:t>
            </w:r>
          </w:p>
        </w:tc>
        <w:tc>
          <w:tcPr>
            <w:tcW w:w="1558" w:type="dxa"/>
            <w:shd w:val="clear" w:color="auto" w:fill="ACB9CA" w:themeFill="text2" w:themeFillTint="66"/>
          </w:tcPr>
          <w:p w14:paraId="3A7810FB" w14:textId="77777777" w:rsidR="00865DF0" w:rsidRPr="001427AF" w:rsidRDefault="00865DF0">
            <w:pPr>
              <w:autoSpaceDE w:val="0"/>
              <w:autoSpaceDN w:val="0"/>
              <w:adjustRightInd w:val="0"/>
              <w:spacing w:line="240" w:lineRule="auto"/>
              <w:contextualSpacing/>
              <w:jc w:val="center"/>
              <w:rPr>
                <w:rFonts w:ascii="Arial" w:hAnsi="Arial" w:cs="Arial"/>
                <w:b/>
                <w:bCs/>
                <w:sz w:val="20"/>
              </w:rPr>
            </w:pPr>
            <w:r w:rsidRPr="001427AF">
              <w:rPr>
                <w:rFonts w:ascii="Arial" w:hAnsi="Arial" w:cs="Arial"/>
                <w:b/>
                <w:bCs/>
                <w:sz w:val="20"/>
              </w:rPr>
              <w:t>ACCESS score CO</w:t>
            </w:r>
          </w:p>
        </w:tc>
        <w:tc>
          <w:tcPr>
            <w:tcW w:w="1503" w:type="dxa"/>
            <w:shd w:val="clear" w:color="auto" w:fill="ACB9CA" w:themeFill="text2" w:themeFillTint="66"/>
          </w:tcPr>
          <w:p w14:paraId="2B304287" w14:textId="77777777" w:rsidR="00865DF0" w:rsidRPr="001427AF" w:rsidRDefault="00865DF0">
            <w:pPr>
              <w:autoSpaceDE w:val="0"/>
              <w:autoSpaceDN w:val="0"/>
              <w:adjustRightInd w:val="0"/>
              <w:spacing w:line="240" w:lineRule="auto"/>
              <w:contextualSpacing/>
              <w:jc w:val="center"/>
              <w:rPr>
                <w:rFonts w:ascii="Arial" w:hAnsi="Arial" w:cs="Arial"/>
                <w:b/>
                <w:bCs/>
                <w:sz w:val="20"/>
              </w:rPr>
            </w:pPr>
            <w:r w:rsidRPr="001427AF">
              <w:rPr>
                <w:rFonts w:ascii="Arial" w:hAnsi="Arial" w:cs="Arial"/>
                <w:b/>
                <w:bCs/>
                <w:sz w:val="20"/>
              </w:rPr>
              <w:t>ACCESS score CO</w:t>
            </w:r>
          </w:p>
        </w:tc>
        <w:tc>
          <w:tcPr>
            <w:tcW w:w="1615" w:type="dxa"/>
            <w:shd w:val="clear" w:color="auto" w:fill="ACB9CA" w:themeFill="text2" w:themeFillTint="66"/>
          </w:tcPr>
          <w:p w14:paraId="75750A9C" w14:textId="77777777" w:rsidR="00865DF0" w:rsidRPr="001427AF" w:rsidRDefault="00865DF0">
            <w:pPr>
              <w:autoSpaceDE w:val="0"/>
              <w:autoSpaceDN w:val="0"/>
              <w:adjustRightInd w:val="0"/>
              <w:spacing w:line="240" w:lineRule="auto"/>
              <w:contextualSpacing/>
              <w:jc w:val="center"/>
              <w:rPr>
                <w:rFonts w:ascii="Arial" w:hAnsi="Arial" w:cs="Arial"/>
                <w:b/>
                <w:bCs/>
                <w:sz w:val="20"/>
              </w:rPr>
            </w:pPr>
            <w:r w:rsidRPr="001427AF">
              <w:rPr>
                <w:rFonts w:ascii="Arial" w:hAnsi="Arial" w:cs="Arial"/>
                <w:b/>
                <w:bCs/>
                <w:sz w:val="20"/>
              </w:rPr>
              <w:t>Year 2 NC</w:t>
            </w:r>
          </w:p>
          <w:p w14:paraId="2624ED26" w14:textId="77777777" w:rsidR="00865DF0" w:rsidRPr="001427AF" w:rsidRDefault="00865DF0">
            <w:pPr>
              <w:autoSpaceDE w:val="0"/>
              <w:autoSpaceDN w:val="0"/>
              <w:adjustRightInd w:val="0"/>
              <w:spacing w:line="240" w:lineRule="auto"/>
              <w:contextualSpacing/>
              <w:jc w:val="center"/>
              <w:rPr>
                <w:rFonts w:ascii="Arial" w:hAnsi="Arial" w:cs="Arial"/>
                <w:b/>
                <w:bCs/>
                <w:sz w:val="20"/>
              </w:rPr>
            </w:pPr>
          </w:p>
        </w:tc>
      </w:tr>
      <w:tr w:rsidR="00865DF0" w:rsidRPr="001427AF" w14:paraId="65B858BE" w14:textId="77777777" w:rsidTr="007818DC">
        <w:tc>
          <w:tcPr>
            <w:tcW w:w="1558" w:type="dxa"/>
            <w:vAlign w:val="center"/>
          </w:tcPr>
          <w:p w14:paraId="35621A54" w14:textId="77777777" w:rsidR="00865DF0" w:rsidRPr="001427AF" w:rsidRDefault="00865DF0">
            <w:pPr>
              <w:autoSpaceDE w:val="0"/>
              <w:autoSpaceDN w:val="0"/>
              <w:adjustRightInd w:val="0"/>
              <w:spacing w:line="240" w:lineRule="auto"/>
              <w:contextualSpacing/>
              <w:rPr>
                <w:rFonts w:ascii="Arial" w:hAnsi="Arial" w:cs="Arial"/>
                <w:sz w:val="20"/>
              </w:rPr>
            </w:pPr>
            <w:r w:rsidRPr="001427AF">
              <w:rPr>
                <w:rFonts w:ascii="Arial" w:hAnsi="Arial" w:cs="Arial"/>
                <w:sz w:val="20"/>
              </w:rPr>
              <w:t>Grade level</w:t>
            </w:r>
          </w:p>
        </w:tc>
        <w:tc>
          <w:tcPr>
            <w:tcW w:w="1767" w:type="dxa"/>
            <w:vAlign w:val="center"/>
          </w:tcPr>
          <w:p w14:paraId="0F98D911"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K</w:t>
            </w:r>
          </w:p>
        </w:tc>
        <w:tc>
          <w:tcPr>
            <w:tcW w:w="1349" w:type="dxa"/>
            <w:vAlign w:val="center"/>
          </w:tcPr>
          <w:p w14:paraId="75CC1EC4"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1</w:t>
            </w:r>
          </w:p>
        </w:tc>
        <w:tc>
          <w:tcPr>
            <w:tcW w:w="1558" w:type="dxa"/>
            <w:vAlign w:val="center"/>
          </w:tcPr>
          <w:p w14:paraId="32C52AE2"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2</w:t>
            </w:r>
          </w:p>
        </w:tc>
        <w:tc>
          <w:tcPr>
            <w:tcW w:w="1503" w:type="dxa"/>
            <w:vAlign w:val="center"/>
          </w:tcPr>
          <w:p w14:paraId="510AE64F"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3</w:t>
            </w:r>
          </w:p>
        </w:tc>
        <w:tc>
          <w:tcPr>
            <w:tcW w:w="1615" w:type="dxa"/>
            <w:vAlign w:val="center"/>
          </w:tcPr>
          <w:p w14:paraId="2A32461C"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4</w:t>
            </w:r>
          </w:p>
        </w:tc>
      </w:tr>
      <w:tr w:rsidR="00865DF0" w:rsidRPr="001427AF" w14:paraId="1A2F1D7E" w14:textId="77777777" w:rsidTr="007818DC">
        <w:trPr>
          <w:trHeight w:val="503"/>
        </w:trPr>
        <w:tc>
          <w:tcPr>
            <w:tcW w:w="1558" w:type="dxa"/>
            <w:vAlign w:val="center"/>
          </w:tcPr>
          <w:p w14:paraId="6C31502E" w14:textId="77777777" w:rsidR="00865DF0" w:rsidRPr="001427AF" w:rsidRDefault="00865DF0">
            <w:pPr>
              <w:autoSpaceDE w:val="0"/>
              <w:autoSpaceDN w:val="0"/>
              <w:adjustRightInd w:val="0"/>
              <w:spacing w:line="240" w:lineRule="auto"/>
              <w:contextualSpacing/>
              <w:rPr>
                <w:rFonts w:ascii="Arial" w:hAnsi="Arial" w:cs="Arial"/>
                <w:sz w:val="20"/>
              </w:rPr>
            </w:pPr>
            <w:r w:rsidRPr="001427AF">
              <w:rPr>
                <w:rFonts w:ascii="Arial" w:hAnsi="Arial" w:cs="Arial"/>
                <w:sz w:val="20"/>
              </w:rPr>
              <w:t>Score</w:t>
            </w:r>
          </w:p>
        </w:tc>
        <w:tc>
          <w:tcPr>
            <w:tcW w:w="1767" w:type="dxa"/>
            <w:vAlign w:val="center"/>
          </w:tcPr>
          <w:p w14:paraId="3ADDE8C7"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1.0</w:t>
            </w:r>
          </w:p>
        </w:tc>
        <w:tc>
          <w:tcPr>
            <w:tcW w:w="1349" w:type="dxa"/>
            <w:vAlign w:val="center"/>
          </w:tcPr>
          <w:p w14:paraId="6E37DBB4"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1.8</w:t>
            </w:r>
          </w:p>
        </w:tc>
        <w:tc>
          <w:tcPr>
            <w:tcW w:w="1558" w:type="dxa"/>
            <w:vAlign w:val="center"/>
          </w:tcPr>
          <w:p w14:paraId="6FF4782E"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2.6</w:t>
            </w:r>
          </w:p>
        </w:tc>
        <w:tc>
          <w:tcPr>
            <w:tcW w:w="1503" w:type="dxa"/>
            <w:vAlign w:val="center"/>
          </w:tcPr>
          <w:p w14:paraId="10B37D37"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3.3</w:t>
            </w:r>
          </w:p>
          <w:p w14:paraId="50D76E3D"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(Initial NC)</w:t>
            </w:r>
          </w:p>
        </w:tc>
        <w:tc>
          <w:tcPr>
            <w:tcW w:w="1615" w:type="dxa"/>
            <w:vAlign w:val="center"/>
          </w:tcPr>
          <w:p w14:paraId="73ACEA08"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 xml:space="preserve">3.7 </w:t>
            </w:r>
          </w:p>
          <w:p w14:paraId="4B9B26DF" w14:textId="77777777" w:rsidR="00865DF0" w:rsidRPr="001427AF" w:rsidRDefault="00865DF0">
            <w:pPr>
              <w:autoSpaceDE w:val="0"/>
              <w:autoSpaceDN w:val="0"/>
              <w:adjustRightInd w:val="0"/>
              <w:spacing w:line="240" w:lineRule="auto"/>
              <w:contextualSpacing/>
              <w:jc w:val="center"/>
              <w:rPr>
                <w:rFonts w:ascii="Arial" w:hAnsi="Arial" w:cs="Arial"/>
                <w:sz w:val="20"/>
              </w:rPr>
            </w:pPr>
            <w:r w:rsidRPr="001427AF">
              <w:rPr>
                <w:rFonts w:ascii="Arial" w:hAnsi="Arial" w:cs="Arial"/>
                <w:sz w:val="20"/>
              </w:rPr>
              <w:t>(Expected)</w:t>
            </w:r>
          </w:p>
        </w:tc>
      </w:tr>
    </w:tbl>
    <w:p w14:paraId="6D844AB1" w14:textId="77777777" w:rsidR="0072420C" w:rsidRDefault="0072420C" w:rsidP="00FD6B71">
      <w:pPr>
        <w:autoSpaceDE w:val="0"/>
        <w:autoSpaceDN w:val="0"/>
        <w:adjustRightInd w:val="0"/>
        <w:spacing w:line="240" w:lineRule="auto"/>
        <w:contextualSpacing/>
        <w:rPr>
          <w:rFonts w:ascii="Arial" w:hAnsi="Arial" w:cs="Arial"/>
          <w:i/>
          <w:szCs w:val="24"/>
        </w:rPr>
      </w:pPr>
    </w:p>
    <w:p w14:paraId="4A58A698" w14:textId="734D09F7" w:rsidR="00FD6B71" w:rsidRPr="00A951F6" w:rsidRDefault="00FD6B71" w:rsidP="00FD6B71">
      <w:pPr>
        <w:autoSpaceDE w:val="0"/>
        <w:autoSpaceDN w:val="0"/>
        <w:adjustRightInd w:val="0"/>
        <w:spacing w:line="240" w:lineRule="auto"/>
        <w:contextualSpacing/>
        <w:rPr>
          <w:rFonts w:ascii="Arial" w:hAnsi="Arial" w:cs="Arial"/>
          <w:szCs w:val="24"/>
        </w:rPr>
      </w:pPr>
      <w:r w:rsidRPr="00A951F6">
        <w:rPr>
          <w:rFonts w:ascii="Arial" w:hAnsi="Arial" w:cs="Arial"/>
          <w:i/>
          <w:szCs w:val="24"/>
        </w:rPr>
        <w:t>ELPM # 14</w:t>
      </w:r>
      <w:r w:rsidRPr="00A951F6">
        <w:rPr>
          <w:rFonts w:ascii="Arial" w:hAnsi="Arial" w:cs="Arial"/>
          <w:szCs w:val="24"/>
        </w:rPr>
        <w:t xml:space="preserve">. Students who enter from out of state where the </w:t>
      </w:r>
      <w:r w:rsidR="00BB6AB8">
        <w:rPr>
          <w:rFonts w:ascii="Arial" w:hAnsi="Arial" w:cs="Arial"/>
          <w:szCs w:val="24"/>
        </w:rPr>
        <w:t xml:space="preserve">WIDA </w:t>
      </w:r>
      <w:r w:rsidRPr="00A951F6">
        <w:rPr>
          <w:rFonts w:ascii="Arial" w:hAnsi="Arial" w:cs="Arial"/>
          <w:szCs w:val="24"/>
        </w:rPr>
        <w:t xml:space="preserve">ACCESS </w:t>
      </w:r>
      <w:r w:rsidR="00BB6AB8">
        <w:rPr>
          <w:rFonts w:ascii="Arial" w:hAnsi="Arial" w:cs="Arial"/>
          <w:szCs w:val="24"/>
        </w:rPr>
        <w:t>or the</w:t>
      </w:r>
      <w:r w:rsidRPr="00A951F6">
        <w:rPr>
          <w:rFonts w:ascii="Arial" w:hAnsi="Arial" w:cs="Arial"/>
          <w:szCs w:val="24"/>
        </w:rPr>
        <w:t xml:space="preserve"> </w:t>
      </w:r>
      <w:r w:rsidR="004209B4">
        <w:rPr>
          <w:rFonts w:ascii="Arial" w:hAnsi="Arial" w:cs="Arial"/>
          <w:szCs w:val="24"/>
        </w:rPr>
        <w:t xml:space="preserve">alternate </w:t>
      </w:r>
      <w:r w:rsidRPr="00A951F6">
        <w:rPr>
          <w:rFonts w:ascii="Arial" w:hAnsi="Arial" w:cs="Arial"/>
          <w:szCs w:val="24"/>
        </w:rPr>
        <w:t xml:space="preserve">assessment </w:t>
      </w:r>
      <w:r w:rsidR="004209B4">
        <w:rPr>
          <w:rFonts w:ascii="Arial" w:hAnsi="Arial" w:cs="Arial"/>
          <w:szCs w:val="24"/>
        </w:rPr>
        <w:t>are</w:t>
      </w:r>
      <w:r w:rsidRPr="00A951F6">
        <w:rPr>
          <w:rFonts w:ascii="Arial" w:hAnsi="Arial" w:cs="Arial"/>
          <w:szCs w:val="24"/>
        </w:rPr>
        <w:t xml:space="preserve"> not administered and were not previously enrolled in NC public schools, use the first </w:t>
      </w:r>
      <w:r w:rsidR="004209B4">
        <w:rPr>
          <w:rFonts w:ascii="Arial" w:hAnsi="Arial" w:cs="Arial"/>
          <w:szCs w:val="24"/>
        </w:rPr>
        <w:t>WIDA ACCESS or WIDA Alternate ACCESS</w:t>
      </w:r>
      <w:r w:rsidR="004209B4" w:rsidRPr="00A951F6">
        <w:rPr>
          <w:rFonts w:ascii="Arial" w:hAnsi="Arial" w:cs="Arial"/>
          <w:szCs w:val="24"/>
        </w:rPr>
        <w:t xml:space="preserve"> </w:t>
      </w:r>
      <w:r w:rsidRPr="00A951F6">
        <w:rPr>
          <w:rFonts w:ascii="Arial" w:hAnsi="Arial" w:cs="Arial"/>
          <w:szCs w:val="24"/>
        </w:rPr>
        <w:t xml:space="preserve">assessment administered in NC (the current year) as the initial score. </w:t>
      </w:r>
    </w:p>
    <w:p w14:paraId="46258CB5" w14:textId="77777777" w:rsidR="001825DC" w:rsidRPr="00A951F6" w:rsidRDefault="001825DC" w:rsidP="00FD6B71">
      <w:pPr>
        <w:autoSpaceDE w:val="0"/>
        <w:autoSpaceDN w:val="0"/>
        <w:adjustRightInd w:val="0"/>
        <w:spacing w:line="240" w:lineRule="auto"/>
        <w:contextualSpacing/>
        <w:rPr>
          <w:rFonts w:ascii="Arial" w:hAnsi="Arial" w:cs="Arial"/>
          <w:szCs w:val="24"/>
        </w:rPr>
      </w:pPr>
    </w:p>
    <w:p w14:paraId="6E735415" w14:textId="57172B7B" w:rsidR="00FD6B71" w:rsidRPr="00A951F6" w:rsidRDefault="00FD6B71" w:rsidP="00FD6B71">
      <w:pPr>
        <w:autoSpaceDE w:val="0"/>
        <w:autoSpaceDN w:val="0"/>
        <w:adjustRightInd w:val="0"/>
        <w:spacing w:line="240" w:lineRule="auto"/>
        <w:contextualSpacing/>
        <w:rPr>
          <w:rFonts w:ascii="Arial" w:hAnsi="Arial" w:cs="Arial"/>
          <w:szCs w:val="24"/>
        </w:rPr>
      </w:pPr>
      <w:r w:rsidRPr="00A951F6">
        <w:rPr>
          <w:rFonts w:ascii="Arial" w:hAnsi="Arial" w:cs="Arial"/>
          <w:i/>
          <w:szCs w:val="24"/>
        </w:rPr>
        <w:t>ELPM # 15</w:t>
      </w:r>
      <w:r w:rsidRPr="00A951F6">
        <w:rPr>
          <w:rFonts w:ascii="Arial" w:hAnsi="Arial" w:cs="Arial"/>
          <w:szCs w:val="24"/>
        </w:rPr>
        <w:t>. Students who leave the U.S. for two or more consecutive assessment cycles must take the WIDA Screener for Kindergarten, WIDA Screener, or the WIDA Alternate Screener upon returning to the country. For these students, the score earned during the next assessment window (in the U.S.) is considered a new initial score. This rule does not apply to students who leave the U.S. and miss only one assessment window. In this instance, students will continue the trajectory they were on prior to leaving.</w:t>
      </w:r>
    </w:p>
    <w:p w14:paraId="596D9D18" w14:textId="77777777" w:rsidR="00FD6B71" w:rsidRPr="00A951F6" w:rsidRDefault="00FD6B71" w:rsidP="00FD6B71">
      <w:pPr>
        <w:autoSpaceDE w:val="0"/>
        <w:autoSpaceDN w:val="0"/>
        <w:adjustRightInd w:val="0"/>
        <w:spacing w:line="240" w:lineRule="auto"/>
        <w:contextualSpacing/>
        <w:rPr>
          <w:rFonts w:ascii="Arial" w:hAnsi="Arial" w:cs="Arial"/>
          <w:szCs w:val="24"/>
        </w:rPr>
      </w:pPr>
    </w:p>
    <w:p w14:paraId="5D30781C" w14:textId="356249F7" w:rsidR="00FD6B71" w:rsidRPr="00A951F6" w:rsidRDefault="00FD6B71" w:rsidP="00FD6B71">
      <w:pPr>
        <w:autoSpaceDE w:val="0"/>
        <w:autoSpaceDN w:val="0"/>
        <w:adjustRightInd w:val="0"/>
        <w:spacing w:line="240" w:lineRule="auto"/>
        <w:contextualSpacing/>
        <w:rPr>
          <w:rFonts w:ascii="Arial" w:hAnsi="Arial" w:cs="Arial"/>
        </w:rPr>
      </w:pPr>
      <w:r w:rsidRPr="46433D16">
        <w:rPr>
          <w:rFonts w:ascii="Arial" w:hAnsi="Arial" w:cs="Arial"/>
        </w:rPr>
        <w:t xml:space="preserve">Table 6.3.5.1 provides the trajectory of progress students </w:t>
      </w:r>
      <w:proofErr w:type="gramStart"/>
      <w:r w:rsidRPr="46433D16">
        <w:rPr>
          <w:rFonts w:ascii="Arial" w:hAnsi="Arial" w:cs="Arial"/>
        </w:rPr>
        <w:t>follow after</w:t>
      </w:r>
      <w:proofErr w:type="gramEnd"/>
      <w:r w:rsidRPr="46433D16">
        <w:rPr>
          <w:rFonts w:ascii="Arial" w:hAnsi="Arial" w:cs="Arial"/>
        </w:rPr>
        <w:t xml:space="preserve"> completing the initial </w:t>
      </w:r>
      <w:r w:rsidR="00585723" w:rsidRPr="46433D16">
        <w:rPr>
          <w:rFonts w:ascii="Arial" w:hAnsi="Arial" w:cs="Arial"/>
        </w:rPr>
        <w:t xml:space="preserve">WIDA </w:t>
      </w:r>
      <w:r w:rsidRPr="46433D16">
        <w:rPr>
          <w:rFonts w:ascii="Arial" w:hAnsi="Arial" w:cs="Arial"/>
        </w:rPr>
        <w:t xml:space="preserve">ACCESS assessment. </w:t>
      </w:r>
    </w:p>
    <w:p w14:paraId="7039E22A" w14:textId="77777777" w:rsidR="00390260" w:rsidRDefault="00390260" w:rsidP="00390260">
      <w:pPr>
        <w:spacing w:line="240" w:lineRule="auto"/>
        <w:contextualSpacing/>
        <w:rPr>
          <w:rFonts w:ascii="Arial" w:hAnsi="Arial" w:cs="Arial"/>
          <w:bCs/>
          <w:iCs/>
        </w:rPr>
      </w:pPr>
    </w:p>
    <w:p w14:paraId="72DA13A1" w14:textId="77777777" w:rsidR="00DA4851" w:rsidRDefault="00DA4851" w:rsidP="00390260">
      <w:pPr>
        <w:spacing w:line="240" w:lineRule="auto"/>
        <w:contextualSpacing/>
        <w:rPr>
          <w:rFonts w:ascii="Arial" w:hAnsi="Arial" w:cs="Arial"/>
          <w:bCs/>
          <w:iCs/>
        </w:rPr>
      </w:pPr>
    </w:p>
    <w:p w14:paraId="55289431" w14:textId="77777777" w:rsidR="00DA4851" w:rsidRDefault="00DA4851" w:rsidP="00390260">
      <w:pPr>
        <w:spacing w:line="240" w:lineRule="auto"/>
        <w:contextualSpacing/>
        <w:rPr>
          <w:rFonts w:ascii="Arial" w:hAnsi="Arial" w:cs="Arial"/>
          <w:bCs/>
          <w:iCs/>
        </w:rPr>
      </w:pPr>
    </w:p>
    <w:p w14:paraId="2EE895E4" w14:textId="77777777" w:rsidR="00DA4851" w:rsidRDefault="00DA4851" w:rsidP="00390260">
      <w:pPr>
        <w:spacing w:line="240" w:lineRule="auto"/>
        <w:contextualSpacing/>
        <w:rPr>
          <w:rFonts w:ascii="Arial" w:hAnsi="Arial" w:cs="Arial"/>
          <w:bCs/>
          <w:iCs/>
        </w:rPr>
      </w:pPr>
    </w:p>
    <w:p w14:paraId="294EBB5E" w14:textId="77777777" w:rsidR="00DA4851" w:rsidRDefault="00DA4851" w:rsidP="00390260">
      <w:pPr>
        <w:spacing w:line="240" w:lineRule="auto"/>
        <w:contextualSpacing/>
        <w:rPr>
          <w:rFonts w:ascii="Arial" w:hAnsi="Arial" w:cs="Arial"/>
          <w:bCs/>
          <w:iCs/>
        </w:rPr>
      </w:pPr>
    </w:p>
    <w:p w14:paraId="03E0096B" w14:textId="77777777" w:rsidR="00DA4851" w:rsidRDefault="00DA4851" w:rsidP="00390260">
      <w:pPr>
        <w:spacing w:line="240" w:lineRule="auto"/>
        <w:contextualSpacing/>
        <w:rPr>
          <w:rFonts w:ascii="Arial" w:hAnsi="Arial" w:cs="Arial"/>
          <w:bCs/>
          <w:iCs/>
        </w:rPr>
      </w:pPr>
    </w:p>
    <w:p w14:paraId="616BC016" w14:textId="77777777" w:rsidR="00DA4851" w:rsidRDefault="00DA4851" w:rsidP="00390260">
      <w:pPr>
        <w:spacing w:line="240" w:lineRule="auto"/>
        <w:contextualSpacing/>
        <w:rPr>
          <w:rFonts w:ascii="Arial" w:hAnsi="Arial" w:cs="Arial"/>
          <w:bCs/>
          <w:iCs/>
        </w:rPr>
      </w:pPr>
    </w:p>
    <w:p w14:paraId="2517B20C" w14:textId="77777777" w:rsidR="00DA4851" w:rsidRDefault="00DA4851" w:rsidP="00390260">
      <w:pPr>
        <w:spacing w:line="240" w:lineRule="auto"/>
        <w:contextualSpacing/>
        <w:rPr>
          <w:rFonts w:ascii="Arial" w:hAnsi="Arial" w:cs="Arial"/>
          <w:bCs/>
          <w:iCs/>
        </w:rPr>
      </w:pPr>
    </w:p>
    <w:p w14:paraId="032A3E97" w14:textId="77777777" w:rsidR="00DA4851" w:rsidRDefault="00DA4851" w:rsidP="00390260">
      <w:pPr>
        <w:spacing w:line="240" w:lineRule="auto"/>
        <w:contextualSpacing/>
        <w:rPr>
          <w:rFonts w:ascii="Arial" w:hAnsi="Arial" w:cs="Arial"/>
          <w:bCs/>
          <w:iCs/>
        </w:rPr>
      </w:pPr>
    </w:p>
    <w:p w14:paraId="22550C32" w14:textId="77777777" w:rsidR="00DA4851" w:rsidRDefault="00DA4851" w:rsidP="00390260">
      <w:pPr>
        <w:spacing w:line="240" w:lineRule="auto"/>
        <w:contextualSpacing/>
        <w:rPr>
          <w:rFonts w:ascii="Arial" w:hAnsi="Arial" w:cs="Arial"/>
          <w:bCs/>
          <w:iCs/>
        </w:rPr>
      </w:pPr>
    </w:p>
    <w:p w14:paraId="24DBD156" w14:textId="77777777" w:rsidR="00DA4851" w:rsidRDefault="00DA4851" w:rsidP="00390260">
      <w:pPr>
        <w:spacing w:line="240" w:lineRule="auto"/>
        <w:contextualSpacing/>
        <w:rPr>
          <w:rFonts w:ascii="Arial" w:hAnsi="Arial" w:cs="Arial"/>
          <w:bCs/>
          <w:iCs/>
        </w:rPr>
      </w:pPr>
    </w:p>
    <w:p w14:paraId="6B356D93" w14:textId="77777777" w:rsidR="00DA4851" w:rsidRDefault="00DA4851" w:rsidP="00390260">
      <w:pPr>
        <w:spacing w:line="240" w:lineRule="auto"/>
        <w:contextualSpacing/>
        <w:rPr>
          <w:rFonts w:ascii="Arial" w:hAnsi="Arial" w:cs="Arial"/>
          <w:bCs/>
          <w:iCs/>
        </w:rPr>
      </w:pPr>
    </w:p>
    <w:p w14:paraId="19241540" w14:textId="77777777" w:rsidR="00DA4851" w:rsidRDefault="00DA4851" w:rsidP="00390260">
      <w:pPr>
        <w:spacing w:line="240" w:lineRule="auto"/>
        <w:contextualSpacing/>
        <w:rPr>
          <w:rFonts w:ascii="Arial" w:hAnsi="Arial" w:cs="Arial"/>
          <w:bCs/>
          <w:iCs/>
        </w:rPr>
      </w:pPr>
    </w:p>
    <w:p w14:paraId="4DF905E5" w14:textId="77777777" w:rsidR="00DA4851" w:rsidRDefault="00DA4851" w:rsidP="00390260">
      <w:pPr>
        <w:spacing w:line="240" w:lineRule="auto"/>
        <w:contextualSpacing/>
        <w:rPr>
          <w:rFonts w:ascii="Arial" w:hAnsi="Arial" w:cs="Arial"/>
          <w:bCs/>
          <w:iCs/>
        </w:rPr>
      </w:pPr>
    </w:p>
    <w:p w14:paraId="4A0D3674" w14:textId="77777777" w:rsidR="00DA4851" w:rsidRDefault="00DA4851" w:rsidP="00390260">
      <w:pPr>
        <w:spacing w:line="240" w:lineRule="auto"/>
        <w:contextualSpacing/>
        <w:rPr>
          <w:rFonts w:ascii="Arial" w:hAnsi="Arial" w:cs="Arial"/>
          <w:bCs/>
          <w:iCs/>
        </w:rPr>
      </w:pPr>
    </w:p>
    <w:p w14:paraId="22D6B0B8" w14:textId="77777777" w:rsidR="00DA4851" w:rsidRDefault="00DA4851" w:rsidP="00390260">
      <w:pPr>
        <w:spacing w:line="240" w:lineRule="auto"/>
        <w:contextualSpacing/>
        <w:rPr>
          <w:rFonts w:ascii="Arial" w:hAnsi="Arial" w:cs="Arial"/>
          <w:bCs/>
          <w:iCs/>
        </w:rPr>
      </w:pPr>
    </w:p>
    <w:p w14:paraId="1E28B341" w14:textId="77777777" w:rsidR="00DA4851" w:rsidRDefault="00DA4851" w:rsidP="00390260">
      <w:pPr>
        <w:spacing w:line="240" w:lineRule="auto"/>
        <w:contextualSpacing/>
        <w:rPr>
          <w:rFonts w:ascii="Arial" w:hAnsi="Arial" w:cs="Arial"/>
          <w:bCs/>
          <w:iCs/>
        </w:rPr>
      </w:pPr>
    </w:p>
    <w:p w14:paraId="11E4F43E" w14:textId="77777777" w:rsidR="00096888" w:rsidRDefault="00096888" w:rsidP="00390260">
      <w:pPr>
        <w:spacing w:line="240" w:lineRule="auto"/>
        <w:contextualSpacing/>
        <w:rPr>
          <w:rFonts w:ascii="Arial" w:hAnsi="Arial" w:cs="Arial"/>
          <w:bCs/>
          <w:iCs/>
        </w:rPr>
      </w:pPr>
    </w:p>
    <w:p w14:paraId="7013A491" w14:textId="77777777" w:rsidR="00096888" w:rsidRDefault="00096888" w:rsidP="00390260">
      <w:pPr>
        <w:spacing w:line="240" w:lineRule="auto"/>
        <w:contextualSpacing/>
        <w:rPr>
          <w:rFonts w:ascii="Arial" w:hAnsi="Arial" w:cs="Arial"/>
          <w:bCs/>
          <w:iCs/>
        </w:rPr>
      </w:pPr>
    </w:p>
    <w:p w14:paraId="12E164F0" w14:textId="77777777" w:rsidR="00DA4851" w:rsidRDefault="00DA4851" w:rsidP="00390260">
      <w:pPr>
        <w:spacing w:line="240" w:lineRule="auto"/>
        <w:contextualSpacing/>
        <w:rPr>
          <w:rFonts w:ascii="Arial" w:hAnsi="Arial" w:cs="Arial"/>
          <w:bCs/>
          <w:iCs/>
        </w:rPr>
      </w:pPr>
    </w:p>
    <w:p w14:paraId="0C29026E" w14:textId="77777777" w:rsidR="00DA4851" w:rsidRDefault="00DA4851" w:rsidP="00390260">
      <w:pPr>
        <w:spacing w:line="240" w:lineRule="auto"/>
        <w:contextualSpacing/>
        <w:rPr>
          <w:rFonts w:ascii="Arial" w:hAnsi="Arial" w:cs="Arial"/>
          <w:bCs/>
          <w:iCs/>
        </w:rPr>
      </w:pPr>
    </w:p>
    <w:p w14:paraId="1D6C1C2F" w14:textId="77777777" w:rsidR="00DA4851" w:rsidRPr="001427AF" w:rsidRDefault="00DA4851" w:rsidP="00390260">
      <w:pPr>
        <w:spacing w:line="240" w:lineRule="auto"/>
        <w:contextualSpacing/>
        <w:rPr>
          <w:rFonts w:ascii="Arial" w:hAnsi="Arial" w:cs="Arial"/>
          <w:bCs/>
          <w:iCs/>
        </w:rPr>
      </w:pPr>
    </w:p>
    <w:p w14:paraId="77A654BF" w14:textId="00E2B3FC" w:rsidR="00390260" w:rsidRPr="001427AF" w:rsidRDefault="00390260" w:rsidP="00390260">
      <w:pPr>
        <w:spacing w:line="240" w:lineRule="auto"/>
        <w:contextualSpacing/>
        <w:rPr>
          <w:rFonts w:ascii="Arial" w:hAnsi="Arial" w:cs="Arial"/>
          <w:sz w:val="20"/>
        </w:rPr>
      </w:pPr>
      <w:r w:rsidRPr="001427AF">
        <w:rPr>
          <w:rFonts w:ascii="Arial" w:hAnsi="Arial" w:cs="Arial"/>
          <w:sz w:val="20"/>
        </w:rPr>
        <w:lastRenderedPageBreak/>
        <w:t>TABLE 6.3.5.</w:t>
      </w:r>
      <w:r w:rsidR="009C1DBC">
        <w:rPr>
          <w:rFonts w:ascii="Arial" w:hAnsi="Arial" w:cs="Arial"/>
          <w:sz w:val="20"/>
        </w:rPr>
        <w:t>1</w:t>
      </w:r>
      <w:r w:rsidRPr="001427AF">
        <w:rPr>
          <w:rFonts w:ascii="Arial" w:hAnsi="Arial" w:cs="Arial"/>
          <w:sz w:val="20"/>
        </w:rPr>
        <w:t>.</w:t>
      </w:r>
      <w:r w:rsidR="00F762DE" w:rsidRPr="001427AF">
        <w:rPr>
          <w:rFonts w:ascii="Arial" w:hAnsi="Arial" w:cs="Arial"/>
          <w:bCs/>
          <w:iCs/>
          <w:szCs w:val="24"/>
        </w:rPr>
        <w:t xml:space="preserve"> </w:t>
      </w:r>
      <w:r w:rsidRPr="001427AF">
        <w:rPr>
          <w:rFonts w:ascii="Arial" w:hAnsi="Arial" w:cs="Arial"/>
          <w:sz w:val="20"/>
        </w:rPr>
        <w:t>English Learner Progress value</w:t>
      </w:r>
      <w:r w:rsidR="00DB67EF">
        <w:rPr>
          <w:rFonts w:ascii="ZWAdobeF" w:hAnsi="ZWAdobeF" w:cs="ZWAdobeF"/>
          <w:color w:val="auto"/>
          <w:sz w:val="2"/>
          <w:szCs w:val="2"/>
        </w:rPr>
        <w:t>8F</w:t>
      </w:r>
      <w:r w:rsidR="006B67A4">
        <w:rPr>
          <w:rStyle w:val="FootnoteReference"/>
          <w:rFonts w:ascii="Arial" w:hAnsi="Arial" w:cs="Arial"/>
          <w:sz w:val="20"/>
        </w:rPr>
        <w:footnoteReference w:customMarkFollows="1" w:id="10"/>
        <w:t>2</w:t>
      </w:r>
      <w:r w:rsidRPr="001427AF">
        <w:rPr>
          <w:rFonts w:ascii="Arial" w:hAnsi="Arial" w:cs="Arial"/>
          <w:sz w:val="20"/>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s the English Learner Progress Value table. It is the expected performance path of an EL student based on their initial ACCESS assessment score. "/>
      </w:tblPr>
      <w:tblGrid>
        <w:gridCol w:w="1734"/>
        <w:gridCol w:w="1024"/>
        <w:gridCol w:w="1110"/>
        <w:gridCol w:w="1370"/>
        <w:gridCol w:w="1370"/>
        <w:gridCol w:w="1371"/>
        <w:gridCol w:w="1371"/>
      </w:tblGrid>
      <w:tr w:rsidR="007D78BC" w:rsidRPr="001427AF" w14:paraId="06C46EE4" w14:textId="77777777" w:rsidTr="007818DC">
        <w:trPr>
          <w:tblHeader/>
        </w:trPr>
        <w:tc>
          <w:tcPr>
            <w:tcW w:w="1734" w:type="dxa"/>
            <w:shd w:val="clear" w:color="auto" w:fill="ACB9CA" w:themeFill="text2" w:themeFillTint="66"/>
          </w:tcPr>
          <w:p w14:paraId="16030642" w14:textId="4F392966" w:rsidR="007D78BC" w:rsidRPr="001427AF" w:rsidRDefault="007D78BC">
            <w:pPr>
              <w:spacing w:line="240" w:lineRule="auto"/>
              <w:contextualSpacing/>
              <w:rPr>
                <w:rFonts w:ascii="Arial" w:hAnsi="Arial" w:cs="Arial"/>
                <w:b/>
                <w:iCs/>
                <w:sz w:val="20"/>
              </w:rPr>
            </w:pPr>
            <w:r w:rsidRPr="001427AF">
              <w:rPr>
                <w:rFonts w:ascii="Arial" w:hAnsi="Arial" w:cs="Arial"/>
                <w:b/>
                <w:iCs/>
                <w:sz w:val="20"/>
              </w:rPr>
              <w:t xml:space="preserve">Initial </w:t>
            </w:r>
            <w:r w:rsidR="005E5765">
              <w:rPr>
                <w:rFonts w:ascii="Arial" w:hAnsi="Arial" w:cs="Arial"/>
                <w:b/>
                <w:iCs/>
                <w:sz w:val="20"/>
              </w:rPr>
              <w:t xml:space="preserve">WIDA </w:t>
            </w:r>
            <w:r w:rsidRPr="001427AF">
              <w:rPr>
                <w:rFonts w:ascii="Arial" w:hAnsi="Arial" w:cs="Arial"/>
                <w:b/>
                <w:iCs/>
                <w:sz w:val="20"/>
              </w:rPr>
              <w:t xml:space="preserve">ACCESS assessment score taken in </w:t>
            </w:r>
          </w:p>
          <w:p w14:paraId="0D13BE1D"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Year 1</w:t>
            </w:r>
          </w:p>
        </w:tc>
        <w:tc>
          <w:tcPr>
            <w:tcW w:w="1024" w:type="dxa"/>
            <w:shd w:val="clear" w:color="auto" w:fill="ACB9CA" w:themeFill="text2" w:themeFillTint="66"/>
            <w:vAlign w:val="bottom"/>
          </w:tcPr>
          <w:p w14:paraId="4971117C" w14:textId="77777777" w:rsidR="007D78BC" w:rsidRPr="001427AF" w:rsidRDefault="007D78BC">
            <w:pPr>
              <w:spacing w:line="240" w:lineRule="auto"/>
              <w:contextualSpacing/>
              <w:rPr>
                <w:rFonts w:ascii="Arial" w:hAnsi="Arial" w:cs="Arial"/>
                <w:b/>
                <w:iCs/>
                <w:sz w:val="20"/>
              </w:rPr>
            </w:pPr>
            <w:r w:rsidRPr="001427AF">
              <w:rPr>
                <w:rStyle w:val="normaltextrun"/>
                <w:rFonts w:ascii="Arial" w:hAnsi="Arial" w:cs="Arial"/>
                <w:b/>
                <w:bCs/>
                <w:sz w:val="20"/>
              </w:rPr>
              <w:t>Years to Exit after initial year</w:t>
            </w:r>
            <w:r w:rsidRPr="001427AF">
              <w:rPr>
                <w:rStyle w:val="eop"/>
                <w:rFonts w:ascii="Arial" w:hAnsi="Arial" w:cs="Arial"/>
                <w:sz w:val="20"/>
              </w:rPr>
              <w:t> </w:t>
            </w:r>
          </w:p>
        </w:tc>
        <w:tc>
          <w:tcPr>
            <w:tcW w:w="1110" w:type="dxa"/>
            <w:shd w:val="clear" w:color="auto" w:fill="ACB9CA" w:themeFill="text2" w:themeFillTint="66"/>
          </w:tcPr>
          <w:p w14:paraId="11B8AFAC"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Year 2</w:t>
            </w:r>
          </w:p>
        </w:tc>
        <w:tc>
          <w:tcPr>
            <w:tcW w:w="1370" w:type="dxa"/>
            <w:shd w:val="clear" w:color="auto" w:fill="ACB9CA" w:themeFill="text2" w:themeFillTint="66"/>
          </w:tcPr>
          <w:p w14:paraId="753802FE"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Year 3</w:t>
            </w:r>
          </w:p>
        </w:tc>
        <w:tc>
          <w:tcPr>
            <w:tcW w:w="1370" w:type="dxa"/>
            <w:shd w:val="clear" w:color="auto" w:fill="ACB9CA" w:themeFill="text2" w:themeFillTint="66"/>
          </w:tcPr>
          <w:p w14:paraId="00D7BC3E"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Year 4</w:t>
            </w:r>
          </w:p>
        </w:tc>
        <w:tc>
          <w:tcPr>
            <w:tcW w:w="1371" w:type="dxa"/>
            <w:shd w:val="clear" w:color="auto" w:fill="ACB9CA" w:themeFill="text2" w:themeFillTint="66"/>
          </w:tcPr>
          <w:p w14:paraId="6F5D54A3"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Year 5</w:t>
            </w:r>
          </w:p>
        </w:tc>
        <w:tc>
          <w:tcPr>
            <w:tcW w:w="1371" w:type="dxa"/>
            <w:shd w:val="clear" w:color="auto" w:fill="ACB9CA" w:themeFill="text2" w:themeFillTint="66"/>
          </w:tcPr>
          <w:p w14:paraId="6A84E14E"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Year 6</w:t>
            </w:r>
          </w:p>
        </w:tc>
      </w:tr>
      <w:tr w:rsidR="007D78BC" w:rsidRPr="001427AF" w14:paraId="6D852084" w14:textId="77777777" w:rsidTr="007818DC">
        <w:trPr>
          <w:trHeight w:val="188"/>
        </w:trPr>
        <w:tc>
          <w:tcPr>
            <w:tcW w:w="1734" w:type="dxa"/>
          </w:tcPr>
          <w:p w14:paraId="38DED67A" w14:textId="7F194B6B" w:rsidR="007D78BC" w:rsidRPr="001427AF" w:rsidRDefault="007D78BC">
            <w:pPr>
              <w:spacing w:line="240" w:lineRule="auto"/>
              <w:contextualSpacing/>
              <w:rPr>
                <w:rFonts w:ascii="Arial" w:hAnsi="Arial" w:cs="Arial"/>
                <w:b/>
                <w:iCs/>
                <w:sz w:val="20"/>
              </w:rPr>
            </w:pPr>
            <w:r w:rsidRPr="001427AF">
              <w:rPr>
                <w:rFonts w:ascii="Arial" w:hAnsi="Arial" w:cs="Arial"/>
                <w:b/>
                <w:iCs/>
                <w:sz w:val="20"/>
              </w:rPr>
              <w:t>1.0</w:t>
            </w:r>
          </w:p>
        </w:tc>
        <w:tc>
          <w:tcPr>
            <w:tcW w:w="1024" w:type="dxa"/>
            <w:vAlign w:val="bottom"/>
          </w:tcPr>
          <w:p w14:paraId="57D6E24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69B2D2F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1.7</w:t>
            </w:r>
            <w:r w:rsidRPr="001427AF">
              <w:rPr>
                <w:rStyle w:val="eop"/>
                <w:rFonts w:ascii="Arial" w:hAnsi="Arial" w:cs="Arial"/>
                <w:sz w:val="20"/>
              </w:rPr>
              <w:t> </w:t>
            </w:r>
          </w:p>
        </w:tc>
        <w:tc>
          <w:tcPr>
            <w:tcW w:w="1370" w:type="dxa"/>
            <w:vAlign w:val="bottom"/>
          </w:tcPr>
          <w:p w14:paraId="0C53670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2.4</w:t>
            </w:r>
            <w:r w:rsidRPr="001427AF">
              <w:rPr>
                <w:rStyle w:val="eop"/>
                <w:rFonts w:ascii="Arial" w:hAnsi="Arial" w:cs="Arial"/>
                <w:sz w:val="20"/>
              </w:rPr>
              <w:t> </w:t>
            </w:r>
          </w:p>
        </w:tc>
        <w:tc>
          <w:tcPr>
            <w:tcW w:w="1370" w:type="dxa"/>
            <w:vAlign w:val="bottom"/>
          </w:tcPr>
          <w:p w14:paraId="76A36A1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3.1</w:t>
            </w:r>
            <w:r w:rsidRPr="001427AF">
              <w:rPr>
                <w:rStyle w:val="eop"/>
                <w:rFonts w:ascii="Arial" w:hAnsi="Arial" w:cs="Arial"/>
                <w:sz w:val="20"/>
              </w:rPr>
              <w:t> </w:t>
            </w:r>
          </w:p>
        </w:tc>
        <w:tc>
          <w:tcPr>
            <w:tcW w:w="1371" w:type="dxa"/>
            <w:vAlign w:val="bottom"/>
          </w:tcPr>
          <w:p w14:paraId="76295D8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3.8</w:t>
            </w:r>
            <w:r w:rsidRPr="001427AF">
              <w:rPr>
                <w:rStyle w:val="eop"/>
                <w:rFonts w:ascii="Arial" w:hAnsi="Arial" w:cs="Arial"/>
                <w:sz w:val="20"/>
              </w:rPr>
              <w:t> </w:t>
            </w:r>
          </w:p>
        </w:tc>
        <w:tc>
          <w:tcPr>
            <w:tcW w:w="1371" w:type="dxa"/>
            <w:vAlign w:val="bottom"/>
          </w:tcPr>
          <w:p w14:paraId="2BF4E86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23779BA2" w14:textId="77777777" w:rsidTr="007818DC">
        <w:trPr>
          <w:trHeight w:val="125"/>
        </w:trPr>
        <w:tc>
          <w:tcPr>
            <w:tcW w:w="1734" w:type="dxa"/>
          </w:tcPr>
          <w:p w14:paraId="273D6B61"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1.1</w:t>
            </w:r>
          </w:p>
        </w:tc>
        <w:tc>
          <w:tcPr>
            <w:tcW w:w="1024" w:type="dxa"/>
            <w:vAlign w:val="bottom"/>
          </w:tcPr>
          <w:p w14:paraId="7A4D32C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7EA2655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1.8</w:t>
            </w:r>
            <w:r w:rsidRPr="001427AF">
              <w:rPr>
                <w:rStyle w:val="eop"/>
                <w:rFonts w:ascii="Arial" w:hAnsi="Arial" w:cs="Arial"/>
                <w:sz w:val="20"/>
              </w:rPr>
              <w:t> </w:t>
            </w:r>
          </w:p>
        </w:tc>
        <w:tc>
          <w:tcPr>
            <w:tcW w:w="1370" w:type="dxa"/>
            <w:vAlign w:val="bottom"/>
          </w:tcPr>
          <w:p w14:paraId="3715D10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2.5</w:t>
            </w:r>
            <w:r w:rsidRPr="001427AF">
              <w:rPr>
                <w:rStyle w:val="eop"/>
                <w:rFonts w:ascii="Arial" w:hAnsi="Arial" w:cs="Arial"/>
                <w:sz w:val="20"/>
              </w:rPr>
              <w:t> </w:t>
            </w:r>
          </w:p>
        </w:tc>
        <w:tc>
          <w:tcPr>
            <w:tcW w:w="1370" w:type="dxa"/>
            <w:vAlign w:val="bottom"/>
          </w:tcPr>
          <w:p w14:paraId="5B00FC7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3.1</w:t>
            </w:r>
            <w:r w:rsidRPr="001427AF">
              <w:rPr>
                <w:rStyle w:val="eop"/>
                <w:rFonts w:ascii="Arial" w:hAnsi="Arial" w:cs="Arial"/>
                <w:sz w:val="20"/>
              </w:rPr>
              <w:t> </w:t>
            </w:r>
          </w:p>
        </w:tc>
        <w:tc>
          <w:tcPr>
            <w:tcW w:w="1371" w:type="dxa"/>
            <w:vAlign w:val="bottom"/>
          </w:tcPr>
          <w:p w14:paraId="4FE1616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3.8</w:t>
            </w:r>
            <w:r w:rsidRPr="001427AF">
              <w:rPr>
                <w:rStyle w:val="eop"/>
                <w:rFonts w:ascii="Arial" w:hAnsi="Arial" w:cs="Arial"/>
                <w:sz w:val="20"/>
              </w:rPr>
              <w:t> </w:t>
            </w:r>
          </w:p>
        </w:tc>
        <w:tc>
          <w:tcPr>
            <w:tcW w:w="1371" w:type="dxa"/>
            <w:vAlign w:val="bottom"/>
          </w:tcPr>
          <w:p w14:paraId="14628AE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79829860" w14:textId="77777777" w:rsidTr="007818DC">
        <w:tc>
          <w:tcPr>
            <w:tcW w:w="1734" w:type="dxa"/>
          </w:tcPr>
          <w:p w14:paraId="3E9A55EA"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1.2</w:t>
            </w:r>
          </w:p>
        </w:tc>
        <w:tc>
          <w:tcPr>
            <w:tcW w:w="1024" w:type="dxa"/>
            <w:vAlign w:val="bottom"/>
          </w:tcPr>
          <w:p w14:paraId="41DED77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1CFCA17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1.9</w:t>
            </w:r>
            <w:r w:rsidRPr="001427AF">
              <w:rPr>
                <w:rStyle w:val="eop"/>
                <w:rFonts w:ascii="Arial" w:hAnsi="Arial" w:cs="Arial"/>
                <w:sz w:val="20"/>
              </w:rPr>
              <w:t> </w:t>
            </w:r>
          </w:p>
        </w:tc>
        <w:tc>
          <w:tcPr>
            <w:tcW w:w="1370" w:type="dxa"/>
            <w:vAlign w:val="bottom"/>
          </w:tcPr>
          <w:p w14:paraId="22CAEC4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2.5</w:t>
            </w:r>
            <w:r w:rsidRPr="001427AF">
              <w:rPr>
                <w:rStyle w:val="eop"/>
                <w:rFonts w:ascii="Arial" w:hAnsi="Arial" w:cs="Arial"/>
                <w:sz w:val="20"/>
              </w:rPr>
              <w:t> </w:t>
            </w:r>
          </w:p>
        </w:tc>
        <w:tc>
          <w:tcPr>
            <w:tcW w:w="1370" w:type="dxa"/>
            <w:vAlign w:val="bottom"/>
          </w:tcPr>
          <w:p w14:paraId="5DD84E4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3.2</w:t>
            </w:r>
            <w:r w:rsidRPr="001427AF">
              <w:rPr>
                <w:rStyle w:val="eop"/>
                <w:rFonts w:ascii="Arial" w:hAnsi="Arial" w:cs="Arial"/>
                <w:sz w:val="20"/>
              </w:rPr>
              <w:t> </w:t>
            </w:r>
          </w:p>
        </w:tc>
        <w:tc>
          <w:tcPr>
            <w:tcW w:w="1371" w:type="dxa"/>
            <w:vAlign w:val="bottom"/>
          </w:tcPr>
          <w:p w14:paraId="4E3F700D"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3.8</w:t>
            </w:r>
            <w:r w:rsidRPr="001427AF">
              <w:rPr>
                <w:rStyle w:val="eop"/>
                <w:rFonts w:ascii="Arial" w:hAnsi="Arial" w:cs="Arial"/>
                <w:sz w:val="20"/>
              </w:rPr>
              <w:t> </w:t>
            </w:r>
          </w:p>
        </w:tc>
        <w:tc>
          <w:tcPr>
            <w:tcW w:w="1371" w:type="dxa"/>
            <w:vAlign w:val="bottom"/>
          </w:tcPr>
          <w:p w14:paraId="72BA8B6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7A678D45" w14:textId="77777777" w:rsidTr="007818DC">
        <w:tc>
          <w:tcPr>
            <w:tcW w:w="1734" w:type="dxa"/>
          </w:tcPr>
          <w:p w14:paraId="221C904A"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1.3</w:t>
            </w:r>
          </w:p>
        </w:tc>
        <w:tc>
          <w:tcPr>
            <w:tcW w:w="1024" w:type="dxa"/>
            <w:vAlign w:val="bottom"/>
          </w:tcPr>
          <w:p w14:paraId="3CD832A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4D1B633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1.9</w:t>
            </w:r>
            <w:r w:rsidRPr="001427AF">
              <w:rPr>
                <w:rStyle w:val="eop"/>
                <w:rFonts w:ascii="Arial" w:hAnsi="Arial" w:cs="Arial"/>
                <w:sz w:val="20"/>
              </w:rPr>
              <w:t> </w:t>
            </w:r>
          </w:p>
        </w:tc>
        <w:tc>
          <w:tcPr>
            <w:tcW w:w="1370" w:type="dxa"/>
            <w:vAlign w:val="bottom"/>
          </w:tcPr>
          <w:p w14:paraId="2EB92FA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2.6</w:t>
            </w:r>
            <w:r w:rsidRPr="001427AF">
              <w:rPr>
                <w:rStyle w:val="eop"/>
                <w:rFonts w:ascii="Arial" w:hAnsi="Arial" w:cs="Arial"/>
                <w:sz w:val="20"/>
              </w:rPr>
              <w:t> </w:t>
            </w:r>
          </w:p>
        </w:tc>
        <w:tc>
          <w:tcPr>
            <w:tcW w:w="1370" w:type="dxa"/>
            <w:vAlign w:val="bottom"/>
          </w:tcPr>
          <w:p w14:paraId="1167211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3.2</w:t>
            </w:r>
            <w:r w:rsidRPr="001427AF">
              <w:rPr>
                <w:rStyle w:val="eop"/>
                <w:rFonts w:ascii="Arial" w:hAnsi="Arial" w:cs="Arial"/>
                <w:sz w:val="20"/>
              </w:rPr>
              <w:t> </w:t>
            </w:r>
          </w:p>
        </w:tc>
        <w:tc>
          <w:tcPr>
            <w:tcW w:w="1371" w:type="dxa"/>
            <w:vAlign w:val="bottom"/>
          </w:tcPr>
          <w:p w14:paraId="3C6D6B5D"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4CBC99DD"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265C9E59" w14:textId="77777777" w:rsidTr="007818DC">
        <w:tc>
          <w:tcPr>
            <w:tcW w:w="1734" w:type="dxa"/>
          </w:tcPr>
          <w:p w14:paraId="71A39609"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1.4</w:t>
            </w:r>
          </w:p>
        </w:tc>
        <w:tc>
          <w:tcPr>
            <w:tcW w:w="1024" w:type="dxa"/>
            <w:vAlign w:val="bottom"/>
          </w:tcPr>
          <w:p w14:paraId="2BBFCEC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786C9DB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2.0</w:t>
            </w:r>
            <w:r w:rsidRPr="001427AF">
              <w:rPr>
                <w:rStyle w:val="eop"/>
                <w:rFonts w:ascii="Arial" w:hAnsi="Arial" w:cs="Arial"/>
                <w:sz w:val="20"/>
              </w:rPr>
              <w:t> </w:t>
            </w:r>
          </w:p>
        </w:tc>
        <w:tc>
          <w:tcPr>
            <w:tcW w:w="1370" w:type="dxa"/>
            <w:vAlign w:val="bottom"/>
          </w:tcPr>
          <w:p w14:paraId="79EAF46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2.6</w:t>
            </w:r>
            <w:r w:rsidRPr="001427AF">
              <w:rPr>
                <w:rStyle w:val="eop"/>
                <w:rFonts w:ascii="Arial" w:hAnsi="Arial" w:cs="Arial"/>
                <w:sz w:val="20"/>
              </w:rPr>
              <w:t> </w:t>
            </w:r>
          </w:p>
        </w:tc>
        <w:tc>
          <w:tcPr>
            <w:tcW w:w="1370" w:type="dxa"/>
            <w:vAlign w:val="bottom"/>
          </w:tcPr>
          <w:p w14:paraId="45B00B7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3.3</w:t>
            </w:r>
            <w:r w:rsidRPr="001427AF">
              <w:rPr>
                <w:rStyle w:val="eop"/>
                <w:rFonts w:ascii="Arial" w:hAnsi="Arial" w:cs="Arial"/>
                <w:sz w:val="20"/>
              </w:rPr>
              <w:t> </w:t>
            </w:r>
          </w:p>
        </w:tc>
        <w:tc>
          <w:tcPr>
            <w:tcW w:w="1371" w:type="dxa"/>
            <w:vAlign w:val="bottom"/>
          </w:tcPr>
          <w:p w14:paraId="0DB560B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024B85E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5DB91447" w14:textId="77777777" w:rsidTr="007818DC">
        <w:tc>
          <w:tcPr>
            <w:tcW w:w="1734" w:type="dxa"/>
          </w:tcPr>
          <w:p w14:paraId="4A339559"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1.5</w:t>
            </w:r>
          </w:p>
        </w:tc>
        <w:tc>
          <w:tcPr>
            <w:tcW w:w="1024" w:type="dxa"/>
            <w:vAlign w:val="bottom"/>
          </w:tcPr>
          <w:p w14:paraId="37F5601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5B73DCE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2.1</w:t>
            </w:r>
            <w:r w:rsidRPr="001427AF">
              <w:rPr>
                <w:rStyle w:val="eop"/>
                <w:rFonts w:ascii="Arial" w:hAnsi="Arial" w:cs="Arial"/>
                <w:sz w:val="20"/>
              </w:rPr>
              <w:t> </w:t>
            </w:r>
          </w:p>
        </w:tc>
        <w:tc>
          <w:tcPr>
            <w:tcW w:w="1370" w:type="dxa"/>
            <w:vAlign w:val="bottom"/>
          </w:tcPr>
          <w:p w14:paraId="06EF14A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2.7</w:t>
            </w:r>
            <w:r w:rsidRPr="001427AF">
              <w:rPr>
                <w:rStyle w:val="eop"/>
                <w:rFonts w:ascii="Arial" w:hAnsi="Arial" w:cs="Arial"/>
                <w:sz w:val="20"/>
              </w:rPr>
              <w:t> </w:t>
            </w:r>
          </w:p>
        </w:tc>
        <w:tc>
          <w:tcPr>
            <w:tcW w:w="1370" w:type="dxa"/>
            <w:vAlign w:val="bottom"/>
          </w:tcPr>
          <w:p w14:paraId="1CF889D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3.3</w:t>
            </w:r>
            <w:r w:rsidRPr="001427AF">
              <w:rPr>
                <w:rStyle w:val="eop"/>
                <w:rFonts w:ascii="Arial" w:hAnsi="Arial" w:cs="Arial"/>
                <w:sz w:val="20"/>
              </w:rPr>
              <w:t> </w:t>
            </w:r>
          </w:p>
        </w:tc>
        <w:tc>
          <w:tcPr>
            <w:tcW w:w="1371" w:type="dxa"/>
            <w:vAlign w:val="bottom"/>
          </w:tcPr>
          <w:p w14:paraId="05CBB20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727A6D1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3851152A" w14:textId="77777777" w:rsidTr="007818DC">
        <w:tc>
          <w:tcPr>
            <w:tcW w:w="1734" w:type="dxa"/>
          </w:tcPr>
          <w:p w14:paraId="204BD5B7"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1.6</w:t>
            </w:r>
          </w:p>
        </w:tc>
        <w:tc>
          <w:tcPr>
            <w:tcW w:w="1024" w:type="dxa"/>
            <w:vAlign w:val="bottom"/>
          </w:tcPr>
          <w:p w14:paraId="185292D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32D909C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2.2</w:t>
            </w:r>
            <w:r w:rsidRPr="001427AF">
              <w:rPr>
                <w:rStyle w:val="eop"/>
                <w:rFonts w:ascii="Arial" w:hAnsi="Arial" w:cs="Arial"/>
                <w:sz w:val="20"/>
              </w:rPr>
              <w:t> </w:t>
            </w:r>
          </w:p>
        </w:tc>
        <w:tc>
          <w:tcPr>
            <w:tcW w:w="1370" w:type="dxa"/>
            <w:vAlign w:val="bottom"/>
          </w:tcPr>
          <w:p w14:paraId="4B588A1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2.8</w:t>
            </w:r>
            <w:r w:rsidRPr="001427AF">
              <w:rPr>
                <w:rStyle w:val="eop"/>
                <w:rFonts w:ascii="Arial" w:hAnsi="Arial" w:cs="Arial"/>
                <w:sz w:val="20"/>
              </w:rPr>
              <w:t> </w:t>
            </w:r>
          </w:p>
        </w:tc>
        <w:tc>
          <w:tcPr>
            <w:tcW w:w="1370" w:type="dxa"/>
            <w:vAlign w:val="bottom"/>
          </w:tcPr>
          <w:p w14:paraId="1EB708D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3.3</w:t>
            </w:r>
            <w:r w:rsidRPr="001427AF">
              <w:rPr>
                <w:rStyle w:val="eop"/>
                <w:rFonts w:ascii="Arial" w:hAnsi="Arial" w:cs="Arial"/>
                <w:sz w:val="20"/>
              </w:rPr>
              <w:t> </w:t>
            </w:r>
          </w:p>
        </w:tc>
        <w:tc>
          <w:tcPr>
            <w:tcW w:w="1371" w:type="dxa"/>
            <w:vAlign w:val="bottom"/>
          </w:tcPr>
          <w:p w14:paraId="6EDB3AE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6B6FBA7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29FDF208" w14:textId="77777777" w:rsidTr="007818DC">
        <w:tc>
          <w:tcPr>
            <w:tcW w:w="1734" w:type="dxa"/>
          </w:tcPr>
          <w:p w14:paraId="19A5AD13"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1.7</w:t>
            </w:r>
          </w:p>
        </w:tc>
        <w:tc>
          <w:tcPr>
            <w:tcW w:w="1024" w:type="dxa"/>
            <w:vAlign w:val="bottom"/>
          </w:tcPr>
          <w:p w14:paraId="03ED69F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4606640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2.3</w:t>
            </w:r>
            <w:r w:rsidRPr="001427AF">
              <w:rPr>
                <w:rStyle w:val="eop"/>
                <w:rFonts w:ascii="Arial" w:hAnsi="Arial" w:cs="Arial"/>
                <w:sz w:val="20"/>
              </w:rPr>
              <w:t> </w:t>
            </w:r>
          </w:p>
        </w:tc>
        <w:tc>
          <w:tcPr>
            <w:tcW w:w="1370" w:type="dxa"/>
            <w:vAlign w:val="bottom"/>
          </w:tcPr>
          <w:p w14:paraId="7E37FE5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2.8</w:t>
            </w:r>
            <w:r w:rsidRPr="001427AF">
              <w:rPr>
                <w:rStyle w:val="eop"/>
                <w:rFonts w:ascii="Arial" w:hAnsi="Arial" w:cs="Arial"/>
                <w:sz w:val="20"/>
              </w:rPr>
              <w:t> </w:t>
            </w:r>
          </w:p>
        </w:tc>
        <w:tc>
          <w:tcPr>
            <w:tcW w:w="1370" w:type="dxa"/>
            <w:vAlign w:val="bottom"/>
          </w:tcPr>
          <w:p w14:paraId="45261ADD"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3.4</w:t>
            </w:r>
            <w:r w:rsidRPr="001427AF">
              <w:rPr>
                <w:rStyle w:val="eop"/>
                <w:rFonts w:ascii="Arial" w:hAnsi="Arial" w:cs="Arial"/>
                <w:sz w:val="20"/>
              </w:rPr>
              <w:t> </w:t>
            </w:r>
          </w:p>
        </w:tc>
        <w:tc>
          <w:tcPr>
            <w:tcW w:w="1371" w:type="dxa"/>
            <w:vAlign w:val="bottom"/>
          </w:tcPr>
          <w:p w14:paraId="61E16B7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1FE4DCF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1E707413" w14:textId="77777777" w:rsidTr="007818DC">
        <w:tc>
          <w:tcPr>
            <w:tcW w:w="1734" w:type="dxa"/>
          </w:tcPr>
          <w:p w14:paraId="0E3AF1E1"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1.8</w:t>
            </w:r>
          </w:p>
        </w:tc>
        <w:tc>
          <w:tcPr>
            <w:tcW w:w="1024" w:type="dxa"/>
            <w:vAlign w:val="bottom"/>
          </w:tcPr>
          <w:p w14:paraId="065DF77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5DEB68F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2.3</w:t>
            </w:r>
            <w:r w:rsidRPr="001427AF">
              <w:rPr>
                <w:rStyle w:val="eop"/>
                <w:rFonts w:ascii="Arial" w:hAnsi="Arial" w:cs="Arial"/>
                <w:sz w:val="20"/>
              </w:rPr>
              <w:t> </w:t>
            </w:r>
          </w:p>
        </w:tc>
        <w:tc>
          <w:tcPr>
            <w:tcW w:w="1370" w:type="dxa"/>
            <w:vAlign w:val="bottom"/>
          </w:tcPr>
          <w:p w14:paraId="2B25E82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2.9</w:t>
            </w:r>
            <w:r w:rsidRPr="001427AF">
              <w:rPr>
                <w:rStyle w:val="eop"/>
                <w:rFonts w:ascii="Arial" w:hAnsi="Arial" w:cs="Arial"/>
                <w:sz w:val="20"/>
              </w:rPr>
              <w:t> </w:t>
            </w:r>
          </w:p>
        </w:tc>
        <w:tc>
          <w:tcPr>
            <w:tcW w:w="1370" w:type="dxa"/>
            <w:vAlign w:val="bottom"/>
          </w:tcPr>
          <w:p w14:paraId="6847EAA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3.4</w:t>
            </w:r>
            <w:r w:rsidRPr="001427AF">
              <w:rPr>
                <w:rStyle w:val="eop"/>
                <w:rFonts w:ascii="Arial" w:hAnsi="Arial" w:cs="Arial"/>
                <w:sz w:val="20"/>
              </w:rPr>
              <w:t> </w:t>
            </w:r>
          </w:p>
        </w:tc>
        <w:tc>
          <w:tcPr>
            <w:tcW w:w="1371" w:type="dxa"/>
            <w:vAlign w:val="bottom"/>
          </w:tcPr>
          <w:p w14:paraId="2A01AAE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1" w:type="dxa"/>
            <w:vAlign w:val="bottom"/>
          </w:tcPr>
          <w:p w14:paraId="1D0686D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2DC69D9A" w14:textId="77777777" w:rsidTr="007818DC">
        <w:tc>
          <w:tcPr>
            <w:tcW w:w="1734" w:type="dxa"/>
          </w:tcPr>
          <w:p w14:paraId="5B21C1AF"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1.9</w:t>
            </w:r>
          </w:p>
        </w:tc>
        <w:tc>
          <w:tcPr>
            <w:tcW w:w="1024" w:type="dxa"/>
            <w:vAlign w:val="bottom"/>
          </w:tcPr>
          <w:p w14:paraId="39104D0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5</w:t>
            </w:r>
            <w:r w:rsidRPr="001427AF">
              <w:rPr>
                <w:rStyle w:val="eop"/>
                <w:rFonts w:ascii="Arial" w:hAnsi="Arial" w:cs="Arial"/>
                <w:sz w:val="20"/>
              </w:rPr>
              <w:t> </w:t>
            </w:r>
          </w:p>
        </w:tc>
        <w:tc>
          <w:tcPr>
            <w:tcW w:w="1110" w:type="dxa"/>
            <w:vAlign w:val="bottom"/>
          </w:tcPr>
          <w:p w14:paraId="416832C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2.4</w:t>
            </w:r>
            <w:r w:rsidRPr="001427AF">
              <w:rPr>
                <w:rStyle w:val="eop"/>
                <w:rFonts w:ascii="Arial" w:hAnsi="Arial" w:cs="Arial"/>
                <w:sz w:val="20"/>
              </w:rPr>
              <w:t> </w:t>
            </w:r>
          </w:p>
        </w:tc>
        <w:tc>
          <w:tcPr>
            <w:tcW w:w="1370" w:type="dxa"/>
            <w:vAlign w:val="bottom"/>
          </w:tcPr>
          <w:p w14:paraId="5570D45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2.9</w:t>
            </w:r>
            <w:r w:rsidRPr="001427AF">
              <w:rPr>
                <w:rStyle w:val="eop"/>
                <w:rFonts w:ascii="Arial" w:hAnsi="Arial" w:cs="Arial"/>
                <w:sz w:val="20"/>
              </w:rPr>
              <w:t> </w:t>
            </w:r>
          </w:p>
        </w:tc>
        <w:tc>
          <w:tcPr>
            <w:tcW w:w="1370" w:type="dxa"/>
            <w:vAlign w:val="bottom"/>
          </w:tcPr>
          <w:p w14:paraId="648EAB2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3.5</w:t>
            </w:r>
            <w:r w:rsidRPr="001427AF">
              <w:rPr>
                <w:rStyle w:val="eop"/>
                <w:rFonts w:ascii="Arial" w:hAnsi="Arial" w:cs="Arial"/>
                <w:sz w:val="20"/>
              </w:rPr>
              <w:t> </w:t>
            </w:r>
          </w:p>
        </w:tc>
        <w:tc>
          <w:tcPr>
            <w:tcW w:w="1371" w:type="dxa"/>
            <w:vAlign w:val="bottom"/>
          </w:tcPr>
          <w:p w14:paraId="5047DA3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1" w:type="dxa"/>
            <w:vAlign w:val="bottom"/>
          </w:tcPr>
          <w:p w14:paraId="6F8A756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r>
      <w:tr w:rsidR="007D78BC" w:rsidRPr="001427AF" w14:paraId="5B160CAA" w14:textId="77777777" w:rsidTr="007818DC">
        <w:tc>
          <w:tcPr>
            <w:tcW w:w="1734" w:type="dxa"/>
          </w:tcPr>
          <w:p w14:paraId="3798E4CD"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2.0</w:t>
            </w:r>
          </w:p>
        </w:tc>
        <w:tc>
          <w:tcPr>
            <w:tcW w:w="1024" w:type="dxa"/>
            <w:vAlign w:val="bottom"/>
          </w:tcPr>
          <w:p w14:paraId="7F8E6DB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16146FE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2.6</w:t>
            </w:r>
            <w:r w:rsidRPr="001427AF">
              <w:rPr>
                <w:rStyle w:val="eop"/>
                <w:rFonts w:ascii="Arial" w:hAnsi="Arial" w:cs="Arial"/>
                <w:sz w:val="20"/>
              </w:rPr>
              <w:t> </w:t>
            </w:r>
          </w:p>
        </w:tc>
        <w:tc>
          <w:tcPr>
            <w:tcW w:w="1370" w:type="dxa"/>
            <w:vAlign w:val="bottom"/>
          </w:tcPr>
          <w:p w14:paraId="2916E4F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3.3</w:t>
            </w:r>
            <w:r w:rsidRPr="001427AF">
              <w:rPr>
                <w:rStyle w:val="eop"/>
                <w:rFonts w:ascii="Arial" w:hAnsi="Arial" w:cs="Arial"/>
                <w:sz w:val="20"/>
              </w:rPr>
              <w:t> </w:t>
            </w:r>
          </w:p>
        </w:tc>
        <w:tc>
          <w:tcPr>
            <w:tcW w:w="1370" w:type="dxa"/>
            <w:vAlign w:val="bottom"/>
          </w:tcPr>
          <w:p w14:paraId="6E599F1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7F39B96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648B9D15" w14:textId="77777777" w:rsidR="007D78BC" w:rsidRPr="001427AF" w:rsidRDefault="007D78BC">
            <w:pPr>
              <w:spacing w:line="240" w:lineRule="auto"/>
              <w:contextualSpacing/>
              <w:rPr>
                <w:rFonts w:ascii="Arial" w:hAnsi="Arial" w:cs="Arial"/>
                <w:bCs/>
                <w:iCs/>
                <w:sz w:val="20"/>
              </w:rPr>
            </w:pPr>
          </w:p>
        </w:tc>
      </w:tr>
      <w:tr w:rsidR="007D78BC" w:rsidRPr="001427AF" w14:paraId="647BDF8D" w14:textId="77777777" w:rsidTr="007818DC">
        <w:tc>
          <w:tcPr>
            <w:tcW w:w="1734" w:type="dxa"/>
          </w:tcPr>
          <w:p w14:paraId="77F0AE05"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2.1</w:t>
            </w:r>
          </w:p>
        </w:tc>
        <w:tc>
          <w:tcPr>
            <w:tcW w:w="1024" w:type="dxa"/>
            <w:vAlign w:val="bottom"/>
          </w:tcPr>
          <w:p w14:paraId="6750F4F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27D2B16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2.7</w:t>
            </w:r>
            <w:r w:rsidRPr="001427AF">
              <w:rPr>
                <w:rStyle w:val="eop"/>
                <w:rFonts w:ascii="Arial" w:hAnsi="Arial" w:cs="Arial"/>
                <w:sz w:val="20"/>
              </w:rPr>
              <w:t> </w:t>
            </w:r>
          </w:p>
        </w:tc>
        <w:tc>
          <w:tcPr>
            <w:tcW w:w="1370" w:type="dxa"/>
            <w:vAlign w:val="bottom"/>
          </w:tcPr>
          <w:p w14:paraId="58EB7D3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3.3</w:t>
            </w:r>
            <w:r w:rsidRPr="001427AF">
              <w:rPr>
                <w:rStyle w:val="eop"/>
                <w:rFonts w:ascii="Arial" w:hAnsi="Arial" w:cs="Arial"/>
                <w:sz w:val="20"/>
              </w:rPr>
              <w:t> </w:t>
            </w:r>
          </w:p>
        </w:tc>
        <w:tc>
          <w:tcPr>
            <w:tcW w:w="1370" w:type="dxa"/>
            <w:vAlign w:val="bottom"/>
          </w:tcPr>
          <w:p w14:paraId="5D2EF8C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6E09B4D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056A9251" w14:textId="77777777" w:rsidR="007D78BC" w:rsidRPr="001427AF" w:rsidRDefault="007D78BC">
            <w:pPr>
              <w:spacing w:line="240" w:lineRule="auto"/>
              <w:contextualSpacing/>
              <w:rPr>
                <w:rFonts w:ascii="Arial" w:hAnsi="Arial" w:cs="Arial"/>
                <w:bCs/>
                <w:iCs/>
                <w:sz w:val="20"/>
              </w:rPr>
            </w:pPr>
          </w:p>
        </w:tc>
      </w:tr>
      <w:tr w:rsidR="007D78BC" w:rsidRPr="001427AF" w14:paraId="60E3383F" w14:textId="77777777" w:rsidTr="007818DC">
        <w:tc>
          <w:tcPr>
            <w:tcW w:w="1734" w:type="dxa"/>
          </w:tcPr>
          <w:p w14:paraId="7F3C11EA"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2.2</w:t>
            </w:r>
          </w:p>
        </w:tc>
        <w:tc>
          <w:tcPr>
            <w:tcW w:w="1024" w:type="dxa"/>
            <w:vAlign w:val="bottom"/>
          </w:tcPr>
          <w:p w14:paraId="3E883B3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0B54748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2.8</w:t>
            </w:r>
            <w:r w:rsidRPr="001427AF">
              <w:rPr>
                <w:rStyle w:val="eop"/>
                <w:rFonts w:ascii="Arial" w:hAnsi="Arial" w:cs="Arial"/>
                <w:sz w:val="20"/>
              </w:rPr>
              <w:t> </w:t>
            </w:r>
          </w:p>
        </w:tc>
        <w:tc>
          <w:tcPr>
            <w:tcW w:w="1370" w:type="dxa"/>
            <w:vAlign w:val="bottom"/>
          </w:tcPr>
          <w:p w14:paraId="4207978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3.4</w:t>
            </w:r>
            <w:r w:rsidRPr="001427AF">
              <w:rPr>
                <w:rStyle w:val="eop"/>
                <w:rFonts w:ascii="Arial" w:hAnsi="Arial" w:cs="Arial"/>
                <w:sz w:val="20"/>
              </w:rPr>
              <w:t> </w:t>
            </w:r>
          </w:p>
        </w:tc>
        <w:tc>
          <w:tcPr>
            <w:tcW w:w="1370" w:type="dxa"/>
            <w:vAlign w:val="bottom"/>
          </w:tcPr>
          <w:p w14:paraId="384C847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1" w:type="dxa"/>
            <w:vAlign w:val="bottom"/>
          </w:tcPr>
          <w:p w14:paraId="6A817C3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0487981D" w14:textId="77777777" w:rsidR="007D78BC" w:rsidRPr="001427AF" w:rsidRDefault="007D78BC">
            <w:pPr>
              <w:spacing w:line="240" w:lineRule="auto"/>
              <w:contextualSpacing/>
              <w:rPr>
                <w:rFonts w:ascii="Arial" w:hAnsi="Arial" w:cs="Arial"/>
                <w:bCs/>
                <w:iCs/>
                <w:sz w:val="20"/>
              </w:rPr>
            </w:pPr>
          </w:p>
        </w:tc>
      </w:tr>
      <w:tr w:rsidR="007D78BC" w:rsidRPr="001427AF" w14:paraId="3605C475" w14:textId="77777777" w:rsidTr="007818DC">
        <w:tc>
          <w:tcPr>
            <w:tcW w:w="1734" w:type="dxa"/>
          </w:tcPr>
          <w:p w14:paraId="07F1AD12"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2.3</w:t>
            </w:r>
          </w:p>
        </w:tc>
        <w:tc>
          <w:tcPr>
            <w:tcW w:w="1024" w:type="dxa"/>
            <w:vAlign w:val="bottom"/>
          </w:tcPr>
          <w:p w14:paraId="5D89396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746BB7D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2.9</w:t>
            </w:r>
            <w:r w:rsidRPr="001427AF">
              <w:rPr>
                <w:rStyle w:val="eop"/>
                <w:rFonts w:ascii="Arial" w:hAnsi="Arial" w:cs="Arial"/>
                <w:sz w:val="20"/>
              </w:rPr>
              <w:t> </w:t>
            </w:r>
          </w:p>
        </w:tc>
        <w:tc>
          <w:tcPr>
            <w:tcW w:w="1370" w:type="dxa"/>
            <w:vAlign w:val="bottom"/>
          </w:tcPr>
          <w:p w14:paraId="6377F53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3.4</w:t>
            </w:r>
            <w:r w:rsidRPr="001427AF">
              <w:rPr>
                <w:rStyle w:val="eop"/>
                <w:rFonts w:ascii="Arial" w:hAnsi="Arial" w:cs="Arial"/>
                <w:sz w:val="20"/>
              </w:rPr>
              <w:t> </w:t>
            </w:r>
          </w:p>
        </w:tc>
        <w:tc>
          <w:tcPr>
            <w:tcW w:w="1370" w:type="dxa"/>
            <w:vAlign w:val="bottom"/>
          </w:tcPr>
          <w:p w14:paraId="0C0717A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1" w:type="dxa"/>
            <w:vAlign w:val="bottom"/>
          </w:tcPr>
          <w:p w14:paraId="0722040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3F017582" w14:textId="77777777" w:rsidR="007D78BC" w:rsidRPr="001427AF" w:rsidRDefault="007D78BC">
            <w:pPr>
              <w:spacing w:line="240" w:lineRule="auto"/>
              <w:contextualSpacing/>
              <w:rPr>
                <w:rFonts w:ascii="Arial" w:hAnsi="Arial" w:cs="Arial"/>
                <w:bCs/>
                <w:iCs/>
                <w:sz w:val="20"/>
              </w:rPr>
            </w:pPr>
          </w:p>
        </w:tc>
      </w:tr>
      <w:tr w:rsidR="007D78BC" w:rsidRPr="001427AF" w14:paraId="71F6CAB3" w14:textId="77777777" w:rsidTr="007818DC">
        <w:tc>
          <w:tcPr>
            <w:tcW w:w="1734" w:type="dxa"/>
          </w:tcPr>
          <w:p w14:paraId="164E9A3E"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2.4</w:t>
            </w:r>
          </w:p>
        </w:tc>
        <w:tc>
          <w:tcPr>
            <w:tcW w:w="1024" w:type="dxa"/>
            <w:vAlign w:val="bottom"/>
          </w:tcPr>
          <w:p w14:paraId="607FF8E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287D124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2.9</w:t>
            </w:r>
            <w:r w:rsidRPr="001427AF">
              <w:rPr>
                <w:rStyle w:val="eop"/>
                <w:rFonts w:ascii="Arial" w:hAnsi="Arial" w:cs="Arial"/>
                <w:sz w:val="20"/>
              </w:rPr>
              <w:t> </w:t>
            </w:r>
          </w:p>
        </w:tc>
        <w:tc>
          <w:tcPr>
            <w:tcW w:w="1370" w:type="dxa"/>
            <w:vAlign w:val="bottom"/>
          </w:tcPr>
          <w:p w14:paraId="613335D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3.5</w:t>
            </w:r>
            <w:r w:rsidRPr="001427AF">
              <w:rPr>
                <w:rStyle w:val="eop"/>
                <w:rFonts w:ascii="Arial" w:hAnsi="Arial" w:cs="Arial"/>
                <w:sz w:val="20"/>
              </w:rPr>
              <w:t> </w:t>
            </w:r>
          </w:p>
        </w:tc>
        <w:tc>
          <w:tcPr>
            <w:tcW w:w="1370" w:type="dxa"/>
            <w:vAlign w:val="bottom"/>
          </w:tcPr>
          <w:p w14:paraId="04A633B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1" w:type="dxa"/>
            <w:vAlign w:val="bottom"/>
          </w:tcPr>
          <w:p w14:paraId="771B5B9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6F963EDE" w14:textId="77777777" w:rsidR="007D78BC" w:rsidRPr="001427AF" w:rsidRDefault="007D78BC">
            <w:pPr>
              <w:spacing w:line="240" w:lineRule="auto"/>
              <w:contextualSpacing/>
              <w:rPr>
                <w:rFonts w:ascii="Arial" w:hAnsi="Arial" w:cs="Arial"/>
                <w:bCs/>
                <w:iCs/>
                <w:sz w:val="20"/>
              </w:rPr>
            </w:pPr>
          </w:p>
        </w:tc>
      </w:tr>
      <w:tr w:rsidR="007D78BC" w:rsidRPr="001427AF" w14:paraId="569CE902" w14:textId="77777777" w:rsidTr="007818DC">
        <w:tc>
          <w:tcPr>
            <w:tcW w:w="1734" w:type="dxa"/>
          </w:tcPr>
          <w:p w14:paraId="23CB1F34"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2.5</w:t>
            </w:r>
          </w:p>
        </w:tc>
        <w:tc>
          <w:tcPr>
            <w:tcW w:w="1024" w:type="dxa"/>
            <w:vAlign w:val="bottom"/>
          </w:tcPr>
          <w:p w14:paraId="4278D03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2FD82B3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3.0</w:t>
            </w:r>
            <w:r w:rsidRPr="001427AF">
              <w:rPr>
                <w:rStyle w:val="eop"/>
                <w:rFonts w:ascii="Arial" w:hAnsi="Arial" w:cs="Arial"/>
                <w:sz w:val="20"/>
              </w:rPr>
              <w:t> </w:t>
            </w:r>
          </w:p>
        </w:tc>
        <w:tc>
          <w:tcPr>
            <w:tcW w:w="1370" w:type="dxa"/>
            <w:vAlign w:val="bottom"/>
          </w:tcPr>
          <w:p w14:paraId="12FEAC0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3.5</w:t>
            </w:r>
            <w:r w:rsidRPr="001427AF">
              <w:rPr>
                <w:rStyle w:val="eop"/>
                <w:rFonts w:ascii="Arial" w:hAnsi="Arial" w:cs="Arial"/>
                <w:sz w:val="20"/>
              </w:rPr>
              <w:t> </w:t>
            </w:r>
          </w:p>
        </w:tc>
        <w:tc>
          <w:tcPr>
            <w:tcW w:w="1370" w:type="dxa"/>
            <w:vAlign w:val="bottom"/>
          </w:tcPr>
          <w:p w14:paraId="4F1A7A9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1" w:type="dxa"/>
            <w:vAlign w:val="bottom"/>
          </w:tcPr>
          <w:p w14:paraId="45DD918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6023C080" w14:textId="77777777" w:rsidR="007D78BC" w:rsidRPr="001427AF" w:rsidRDefault="007D78BC">
            <w:pPr>
              <w:spacing w:line="240" w:lineRule="auto"/>
              <w:contextualSpacing/>
              <w:rPr>
                <w:rFonts w:ascii="Arial" w:hAnsi="Arial" w:cs="Arial"/>
                <w:bCs/>
                <w:iCs/>
                <w:sz w:val="20"/>
              </w:rPr>
            </w:pPr>
          </w:p>
        </w:tc>
      </w:tr>
      <w:tr w:rsidR="007D78BC" w:rsidRPr="001427AF" w14:paraId="5D248AFE" w14:textId="77777777" w:rsidTr="007818DC">
        <w:tc>
          <w:tcPr>
            <w:tcW w:w="1734" w:type="dxa"/>
          </w:tcPr>
          <w:p w14:paraId="5CA3CAE4"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2.6</w:t>
            </w:r>
          </w:p>
        </w:tc>
        <w:tc>
          <w:tcPr>
            <w:tcW w:w="1024" w:type="dxa"/>
            <w:vAlign w:val="bottom"/>
          </w:tcPr>
          <w:p w14:paraId="12AB6C8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556EB5B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3.1</w:t>
            </w:r>
            <w:r w:rsidRPr="001427AF">
              <w:rPr>
                <w:rStyle w:val="eop"/>
                <w:rFonts w:ascii="Arial" w:hAnsi="Arial" w:cs="Arial"/>
                <w:sz w:val="20"/>
              </w:rPr>
              <w:t> </w:t>
            </w:r>
          </w:p>
        </w:tc>
        <w:tc>
          <w:tcPr>
            <w:tcW w:w="1370" w:type="dxa"/>
            <w:vAlign w:val="bottom"/>
          </w:tcPr>
          <w:p w14:paraId="133DAB9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3.6</w:t>
            </w:r>
            <w:r w:rsidRPr="001427AF">
              <w:rPr>
                <w:rStyle w:val="eop"/>
                <w:rFonts w:ascii="Arial" w:hAnsi="Arial" w:cs="Arial"/>
                <w:sz w:val="20"/>
              </w:rPr>
              <w:t> </w:t>
            </w:r>
          </w:p>
        </w:tc>
        <w:tc>
          <w:tcPr>
            <w:tcW w:w="1370" w:type="dxa"/>
            <w:vAlign w:val="bottom"/>
          </w:tcPr>
          <w:p w14:paraId="3FED44C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1" w:type="dxa"/>
            <w:vAlign w:val="bottom"/>
          </w:tcPr>
          <w:p w14:paraId="0C738C1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47D1F804" w14:textId="77777777" w:rsidR="007D78BC" w:rsidRPr="001427AF" w:rsidRDefault="007D78BC">
            <w:pPr>
              <w:spacing w:line="240" w:lineRule="auto"/>
              <w:contextualSpacing/>
              <w:rPr>
                <w:rFonts w:ascii="Arial" w:hAnsi="Arial" w:cs="Arial"/>
                <w:bCs/>
                <w:iCs/>
                <w:sz w:val="20"/>
              </w:rPr>
            </w:pPr>
          </w:p>
        </w:tc>
      </w:tr>
      <w:tr w:rsidR="007D78BC" w:rsidRPr="001427AF" w14:paraId="7B795F9A" w14:textId="77777777" w:rsidTr="007818DC">
        <w:tc>
          <w:tcPr>
            <w:tcW w:w="1734" w:type="dxa"/>
          </w:tcPr>
          <w:p w14:paraId="5DF50E6F"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2.7</w:t>
            </w:r>
          </w:p>
        </w:tc>
        <w:tc>
          <w:tcPr>
            <w:tcW w:w="1024" w:type="dxa"/>
            <w:vAlign w:val="bottom"/>
          </w:tcPr>
          <w:p w14:paraId="1D37A23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7A564B4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3.2</w:t>
            </w:r>
            <w:r w:rsidRPr="001427AF">
              <w:rPr>
                <w:rStyle w:val="eop"/>
                <w:rFonts w:ascii="Arial" w:hAnsi="Arial" w:cs="Arial"/>
                <w:sz w:val="20"/>
              </w:rPr>
              <w:t> </w:t>
            </w:r>
          </w:p>
        </w:tc>
        <w:tc>
          <w:tcPr>
            <w:tcW w:w="1370" w:type="dxa"/>
            <w:vAlign w:val="bottom"/>
          </w:tcPr>
          <w:p w14:paraId="5B91D67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3.6</w:t>
            </w:r>
            <w:r w:rsidRPr="001427AF">
              <w:rPr>
                <w:rStyle w:val="eop"/>
                <w:rFonts w:ascii="Arial" w:hAnsi="Arial" w:cs="Arial"/>
                <w:sz w:val="20"/>
              </w:rPr>
              <w:t> </w:t>
            </w:r>
          </w:p>
        </w:tc>
        <w:tc>
          <w:tcPr>
            <w:tcW w:w="1370" w:type="dxa"/>
            <w:vAlign w:val="bottom"/>
          </w:tcPr>
          <w:p w14:paraId="04DCF1E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4.1</w:t>
            </w:r>
            <w:r w:rsidRPr="001427AF">
              <w:rPr>
                <w:rStyle w:val="eop"/>
                <w:rFonts w:ascii="Arial" w:hAnsi="Arial" w:cs="Arial"/>
                <w:sz w:val="20"/>
              </w:rPr>
              <w:t> </w:t>
            </w:r>
          </w:p>
        </w:tc>
        <w:tc>
          <w:tcPr>
            <w:tcW w:w="1371" w:type="dxa"/>
            <w:vAlign w:val="bottom"/>
          </w:tcPr>
          <w:p w14:paraId="2B3871D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2F7375C2" w14:textId="77777777" w:rsidR="007D78BC" w:rsidRPr="001427AF" w:rsidRDefault="007D78BC">
            <w:pPr>
              <w:spacing w:line="240" w:lineRule="auto"/>
              <w:contextualSpacing/>
              <w:rPr>
                <w:rFonts w:ascii="Arial" w:hAnsi="Arial" w:cs="Arial"/>
                <w:bCs/>
                <w:iCs/>
                <w:sz w:val="20"/>
              </w:rPr>
            </w:pPr>
          </w:p>
        </w:tc>
      </w:tr>
      <w:tr w:rsidR="007D78BC" w:rsidRPr="001427AF" w14:paraId="32E09A6D" w14:textId="77777777" w:rsidTr="007818DC">
        <w:tc>
          <w:tcPr>
            <w:tcW w:w="1734" w:type="dxa"/>
          </w:tcPr>
          <w:p w14:paraId="7A5585C3"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2.8</w:t>
            </w:r>
          </w:p>
        </w:tc>
        <w:tc>
          <w:tcPr>
            <w:tcW w:w="1024" w:type="dxa"/>
            <w:vAlign w:val="bottom"/>
          </w:tcPr>
          <w:p w14:paraId="3DF97C8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272C310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3.2</w:t>
            </w:r>
            <w:r w:rsidRPr="001427AF">
              <w:rPr>
                <w:rStyle w:val="eop"/>
                <w:rFonts w:ascii="Arial" w:hAnsi="Arial" w:cs="Arial"/>
                <w:sz w:val="20"/>
              </w:rPr>
              <w:t> </w:t>
            </w:r>
          </w:p>
        </w:tc>
        <w:tc>
          <w:tcPr>
            <w:tcW w:w="1370" w:type="dxa"/>
            <w:vAlign w:val="bottom"/>
          </w:tcPr>
          <w:p w14:paraId="65617A0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3.7</w:t>
            </w:r>
            <w:r w:rsidRPr="001427AF">
              <w:rPr>
                <w:rStyle w:val="eop"/>
                <w:rFonts w:ascii="Arial" w:hAnsi="Arial" w:cs="Arial"/>
                <w:sz w:val="20"/>
              </w:rPr>
              <w:t> </w:t>
            </w:r>
          </w:p>
        </w:tc>
        <w:tc>
          <w:tcPr>
            <w:tcW w:w="1370" w:type="dxa"/>
            <w:vAlign w:val="bottom"/>
          </w:tcPr>
          <w:p w14:paraId="67948B3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4.1</w:t>
            </w:r>
            <w:r w:rsidRPr="001427AF">
              <w:rPr>
                <w:rStyle w:val="eop"/>
                <w:rFonts w:ascii="Arial" w:hAnsi="Arial" w:cs="Arial"/>
                <w:sz w:val="20"/>
              </w:rPr>
              <w:t> </w:t>
            </w:r>
          </w:p>
        </w:tc>
        <w:tc>
          <w:tcPr>
            <w:tcW w:w="1371" w:type="dxa"/>
            <w:vAlign w:val="bottom"/>
          </w:tcPr>
          <w:p w14:paraId="48AD507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3BF4A166" w14:textId="77777777" w:rsidR="007D78BC" w:rsidRPr="001427AF" w:rsidRDefault="007D78BC">
            <w:pPr>
              <w:spacing w:line="240" w:lineRule="auto"/>
              <w:contextualSpacing/>
              <w:rPr>
                <w:rFonts w:ascii="Arial" w:hAnsi="Arial" w:cs="Arial"/>
                <w:bCs/>
                <w:iCs/>
                <w:sz w:val="20"/>
              </w:rPr>
            </w:pPr>
          </w:p>
        </w:tc>
      </w:tr>
      <w:tr w:rsidR="007D78BC" w:rsidRPr="001427AF" w14:paraId="59F8DB92" w14:textId="77777777" w:rsidTr="007818DC">
        <w:tc>
          <w:tcPr>
            <w:tcW w:w="1734" w:type="dxa"/>
          </w:tcPr>
          <w:p w14:paraId="6D910F4D"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2.9</w:t>
            </w:r>
          </w:p>
        </w:tc>
        <w:tc>
          <w:tcPr>
            <w:tcW w:w="1024" w:type="dxa"/>
            <w:vAlign w:val="bottom"/>
          </w:tcPr>
          <w:p w14:paraId="7104F6A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w:t>
            </w:r>
            <w:r w:rsidRPr="001427AF">
              <w:rPr>
                <w:rStyle w:val="eop"/>
                <w:rFonts w:ascii="Arial" w:hAnsi="Arial" w:cs="Arial"/>
                <w:sz w:val="20"/>
              </w:rPr>
              <w:t> </w:t>
            </w:r>
          </w:p>
        </w:tc>
        <w:tc>
          <w:tcPr>
            <w:tcW w:w="1110" w:type="dxa"/>
            <w:vAlign w:val="bottom"/>
          </w:tcPr>
          <w:p w14:paraId="6677644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3.3</w:t>
            </w:r>
            <w:r w:rsidRPr="001427AF">
              <w:rPr>
                <w:rStyle w:val="eop"/>
                <w:rFonts w:ascii="Arial" w:hAnsi="Arial" w:cs="Arial"/>
                <w:sz w:val="20"/>
              </w:rPr>
              <w:t> </w:t>
            </w:r>
          </w:p>
        </w:tc>
        <w:tc>
          <w:tcPr>
            <w:tcW w:w="1370" w:type="dxa"/>
            <w:vAlign w:val="bottom"/>
          </w:tcPr>
          <w:p w14:paraId="0D4E91C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3.7</w:t>
            </w:r>
            <w:r w:rsidRPr="001427AF">
              <w:rPr>
                <w:rStyle w:val="eop"/>
                <w:rFonts w:ascii="Arial" w:hAnsi="Arial" w:cs="Arial"/>
                <w:sz w:val="20"/>
              </w:rPr>
              <w:t> </w:t>
            </w:r>
          </w:p>
        </w:tc>
        <w:tc>
          <w:tcPr>
            <w:tcW w:w="1370" w:type="dxa"/>
            <w:vAlign w:val="bottom"/>
          </w:tcPr>
          <w:p w14:paraId="1A3BF3B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4.1</w:t>
            </w:r>
            <w:r w:rsidRPr="001427AF">
              <w:rPr>
                <w:rStyle w:val="eop"/>
                <w:rFonts w:ascii="Arial" w:hAnsi="Arial" w:cs="Arial"/>
                <w:sz w:val="20"/>
              </w:rPr>
              <w:t> </w:t>
            </w:r>
          </w:p>
        </w:tc>
        <w:tc>
          <w:tcPr>
            <w:tcW w:w="1371" w:type="dxa"/>
            <w:vAlign w:val="bottom"/>
          </w:tcPr>
          <w:p w14:paraId="0901543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tcPr>
          <w:p w14:paraId="1308F703" w14:textId="77777777" w:rsidR="007D78BC" w:rsidRPr="001427AF" w:rsidRDefault="007D78BC">
            <w:pPr>
              <w:spacing w:line="240" w:lineRule="auto"/>
              <w:contextualSpacing/>
              <w:rPr>
                <w:rFonts w:ascii="Arial" w:hAnsi="Arial" w:cs="Arial"/>
                <w:bCs/>
                <w:iCs/>
                <w:sz w:val="20"/>
              </w:rPr>
            </w:pPr>
          </w:p>
        </w:tc>
      </w:tr>
      <w:tr w:rsidR="007D78BC" w:rsidRPr="001427AF" w14:paraId="5F4708BC" w14:textId="77777777" w:rsidTr="007818DC">
        <w:tc>
          <w:tcPr>
            <w:tcW w:w="1734" w:type="dxa"/>
          </w:tcPr>
          <w:p w14:paraId="3B0C53B2"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3.0</w:t>
            </w:r>
          </w:p>
        </w:tc>
        <w:tc>
          <w:tcPr>
            <w:tcW w:w="1024" w:type="dxa"/>
            <w:vAlign w:val="bottom"/>
          </w:tcPr>
          <w:p w14:paraId="62F39D7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36ECDB3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3.5</w:t>
            </w:r>
            <w:r w:rsidRPr="001427AF">
              <w:rPr>
                <w:rStyle w:val="eop"/>
                <w:rFonts w:ascii="Arial" w:hAnsi="Arial" w:cs="Arial"/>
                <w:sz w:val="20"/>
              </w:rPr>
              <w:t> </w:t>
            </w:r>
          </w:p>
        </w:tc>
        <w:tc>
          <w:tcPr>
            <w:tcW w:w="1370" w:type="dxa"/>
            <w:vAlign w:val="bottom"/>
          </w:tcPr>
          <w:p w14:paraId="37A27F8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0" w:type="dxa"/>
            <w:vAlign w:val="bottom"/>
          </w:tcPr>
          <w:p w14:paraId="70045BB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723FD30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tcPr>
          <w:p w14:paraId="15906388" w14:textId="77777777" w:rsidR="007D78BC" w:rsidRPr="001427AF" w:rsidRDefault="007D78BC">
            <w:pPr>
              <w:spacing w:line="240" w:lineRule="auto"/>
              <w:contextualSpacing/>
              <w:rPr>
                <w:rFonts w:ascii="Arial" w:hAnsi="Arial" w:cs="Arial"/>
                <w:bCs/>
                <w:iCs/>
                <w:sz w:val="20"/>
              </w:rPr>
            </w:pPr>
          </w:p>
        </w:tc>
      </w:tr>
      <w:tr w:rsidR="007D78BC" w:rsidRPr="001427AF" w14:paraId="4C143A0C" w14:textId="77777777" w:rsidTr="007818DC">
        <w:tc>
          <w:tcPr>
            <w:tcW w:w="1734" w:type="dxa"/>
          </w:tcPr>
          <w:p w14:paraId="4326F435"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3.1</w:t>
            </w:r>
          </w:p>
        </w:tc>
        <w:tc>
          <w:tcPr>
            <w:tcW w:w="1024" w:type="dxa"/>
            <w:vAlign w:val="bottom"/>
          </w:tcPr>
          <w:p w14:paraId="48735BE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0C99DE8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3.6</w:t>
            </w:r>
            <w:r w:rsidRPr="001427AF">
              <w:rPr>
                <w:rStyle w:val="eop"/>
                <w:rFonts w:ascii="Arial" w:hAnsi="Arial" w:cs="Arial"/>
                <w:sz w:val="20"/>
              </w:rPr>
              <w:t> </w:t>
            </w:r>
          </w:p>
        </w:tc>
        <w:tc>
          <w:tcPr>
            <w:tcW w:w="1370" w:type="dxa"/>
            <w:vAlign w:val="bottom"/>
          </w:tcPr>
          <w:p w14:paraId="05F99AB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0" w:type="dxa"/>
            <w:vAlign w:val="bottom"/>
          </w:tcPr>
          <w:p w14:paraId="53B0F32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466D4AD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tcPr>
          <w:p w14:paraId="69DC862C" w14:textId="77777777" w:rsidR="007D78BC" w:rsidRPr="001427AF" w:rsidRDefault="007D78BC">
            <w:pPr>
              <w:spacing w:line="240" w:lineRule="auto"/>
              <w:contextualSpacing/>
              <w:rPr>
                <w:rFonts w:ascii="Arial" w:hAnsi="Arial" w:cs="Arial"/>
                <w:bCs/>
                <w:iCs/>
                <w:sz w:val="20"/>
              </w:rPr>
            </w:pPr>
          </w:p>
        </w:tc>
      </w:tr>
      <w:tr w:rsidR="007D78BC" w:rsidRPr="001427AF" w14:paraId="2DE9FD5D" w14:textId="77777777" w:rsidTr="007818DC">
        <w:tc>
          <w:tcPr>
            <w:tcW w:w="1734" w:type="dxa"/>
          </w:tcPr>
          <w:p w14:paraId="3F03C60F"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3.2</w:t>
            </w:r>
          </w:p>
        </w:tc>
        <w:tc>
          <w:tcPr>
            <w:tcW w:w="1024" w:type="dxa"/>
            <w:vAlign w:val="bottom"/>
          </w:tcPr>
          <w:p w14:paraId="0ED2164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2CAD59B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3.6</w:t>
            </w:r>
            <w:r w:rsidRPr="001427AF">
              <w:rPr>
                <w:rStyle w:val="eop"/>
                <w:rFonts w:ascii="Arial" w:hAnsi="Arial" w:cs="Arial"/>
                <w:sz w:val="20"/>
              </w:rPr>
              <w:t> </w:t>
            </w:r>
          </w:p>
        </w:tc>
        <w:tc>
          <w:tcPr>
            <w:tcW w:w="1370" w:type="dxa"/>
            <w:vAlign w:val="bottom"/>
          </w:tcPr>
          <w:p w14:paraId="1156A21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4.1</w:t>
            </w:r>
            <w:r w:rsidRPr="001427AF">
              <w:rPr>
                <w:rStyle w:val="eop"/>
                <w:rFonts w:ascii="Arial" w:hAnsi="Arial" w:cs="Arial"/>
                <w:sz w:val="20"/>
              </w:rPr>
              <w:t> </w:t>
            </w:r>
          </w:p>
        </w:tc>
        <w:tc>
          <w:tcPr>
            <w:tcW w:w="1370" w:type="dxa"/>
            <w:vAlign w:val="bottom"/>
          </w:tcPr>
          <w:p w14:paraId="4395D89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66A349E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tcPr>
          <w:p w14:paraId="215751CE" w14:textId="77777777" w:rsidR="007D78BC" w:rsidRPr="001427AF" w:rsidRDefault="007D78BC">
            <w:pPr>
              <w:spacing w:line="240" w:lineRule="auto"/>
              <w:contextualSpacing/>
              <w:rPr>
                <w:rFonts w:ascii="Arial" w:hAnsi="Arial" w:cs="Arial"/>
                <w:bCs/>
                <w:iCs/>
                <w:sz w:val="20"/>
              </w:rPr>
            </w:pPr>
          </w:p>
        </w:tc>
      </w:tr>
      <w:tr w:rsidR="007D78BC" w:rsidRPr="001427AF" w14:paraId="44422DBB" w14:textId="77777777" w:rsidTr="007818DC">
        <w:tc>
          <w:tcPr>
            <w:tcW w:w="1734" w:type="dxa"/>
          </w:tcPr>
          <w:p w14:paraId="04A9B51A"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3.3</w:t>
            </w:r>
          </w:p>
        </w:tc>
        <w:tc>
          <w:tcPr>
            <w:tcW w:w="1024" w:type="dxa"/>
            <w:vAlign w:val="bottom"/>
          </w:tcPr>
          <w:p w14:paraId="7D95518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646592E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3.7</w:t>
            </w:r>
            <w:r w:rsidRPr="001427AF">
              <w:rPr>
                <w:rStyle w:val="eop"/>
                <w:rFonts w:ascii="Arial" w:hAnsi="Arial" w:cs="Arial"/>
                <w:sz w:val="20"/>
              </w:rPr>
              <w:t> </w:t>
            </w:r>
          </w:p>
        </w:tc>
        <w:tc>
          <w:tcPr>
            <w:tcW w:w="1370" w:type="dxa"/>
            <w:vAlign w:val="bottom"/>
          </w:tcPr>
          <w:p w14:paraId="27C10F9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4.1</w:t>
            </w:r>
            <w:r w:rsidRPr="001427AF">
              <w:rPr>
                <w:rStyle w:val="eop"/>
                <w:rFonts w:ascii="Arial" w:hAnsi="Arial" w:cs="Arial"/>
                <w:sz w:val="20"/>
              </w:rPr>
              <w:t> </w:t>
            </w:r>
          </w:p>
        </w:tc>
        <w:tc>
          <w:tcPr>
            <w:tcW w:w="1370" w:type="dxa"/>
            <w:vAlign w:val="bottom"/>
          </w:tcPr>
          <w:p w14:paraId="347F063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081F46D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tcPr>
          <w:p w14:paraId="32ECDF60" w14:textId="77777777" w:rsidR="007D78BC" w:rsidRPr="001427AF" w:rsidRDefault="007D78BC">
            <w:pPr>
              <w:spacing w:line="240" w:lineRule="auto"/>
              <w:contextualSpacing/>
              <w:rPr>
                <w:rFonts w:ascii="Arial" w:hAnsi="Arial" w:cs="Arial"/>
                <w:bCs/>
                <w:iCs/>
                <w:sz w:val="20"/>
              </w:rPr>
            </w:pPr>
          </w:p>
        </w:tc>
      </w:tr>
      <w:tr w:rsidR="007D78BC" w:rsidRPr="001427AF" w14:paraId="3D4B1F3D" w14:textId="77777777" w:rsidTr="007818DC">
        <w:tc>
          <w:tcPr>
            <w:tcW w:w="1734" w:type="dxa"/>
          </w:tcPr>
          <w:p w14:paraId="39E14031"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3.4</w:t>
            </w:r>
          </w:p>
        </w:tc>
        <w:tc>
          <w:tcPr>
            <w:tcW w:w="1024" w:type="dxa"/>
            <w:vAlign w:val="bottom"/>
          </w:tcPr>
          <w:p w14:paraId="116868CD"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6D89418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3.8</w:t>
            </w:r>
            <w:r w:rsidRPr="001427AF">
              <w:rPr>
                <w:rStyle w:val="eop"/>
                <w:rFonts w:ascii="Arial" w:hAnsi="Arial" w:cs="Arial"/>
                <w:sz w:val="20"/>
              </w:rPr>
              <w:t> </w:t>
            </w:r>
          </w:p>
        </w:tc>
        <w:tc>
          <w:tcPr>
            <w:tcW w:w="1370" w:type="dxa"/>
            <w:vAlign w:val="bottom"/>
          </w:tcPr>
          <w:p w14:paraId="45A30B8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4.1</w:t>
            </w:r>
            <w:r w:rsidRPr="001427AF">
              <w:rPr>
                <w:rStyle w:val="eop"/>
                <w:rFonts w:ascii="Arial" w:hAnsi="Arial" w:cs="Arial"/>
                <w:sz w:val="20"/>
              </w:rPr>
              <w:t> </w:t>
            </w:r>
          </w:p>
        </w:tc>
        <w:tc>
          <w:tcPr>
            <w:tcW w:w="1370" w:type="dxa"/>
            <w:vAlign w:val="bottom"/>
          </w:tcPr>
          <w:p w14:paraId="1AFE9BF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34B1ABE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tcPr>
          <w:p w14:paraId="1F1D2CC4" w14:textId="77777777" w:rsidR="007D78BC" w:rsidRPr="001427AF" w:rsidRDefault="007D78BC">
            <w:pPr>
              <w:spacing w:line="240" w:lineRule="auto"/>
              <w:contextualSpacing/>
              <w:rPr>
                <w:rFonts w:ascii="Arial" w:hAnsi="Arial" w:cs="Arial"/>
                <w:bCs/>
                <w:iCs/>
                <w:sz w:val="20"/>
              </w:rPr>
            </w:pPr>
          </w:p>
        </w:tc>
      </w:tr>
      <w:tr w:rsidR="007D78BC" w:rsidRPr="001427AF" w14:paraId="09F3088C" w14:textId="77777777" w:rsidTr="007818DC">
        <w:tc>
          <w:tcPr>
            <w:tcW w:w="1734" w:type="dxa"/>
          </w:tcPr>
          <w:p w14:paraId="05FA3E4E"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3.5</w:t>
            </w:r>
          </w:p>
        </w:tc>
        <w:tc>
          <w:tcPr>
            <w:tcW w:w="1024" w:type="dxa"/>
            <w:vAlign w:val="bottom"/>
          </w:tcPr>
          <w:p w14:paraId="6C34F35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4667B1C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3.8</w:t>
            </w:r>
            <w:r w:rsidRPr="001427AF">
              <w:rPr>
                <w:rStyle w:val="eop"/>
                <w:rFonts w:ascii="Arial" w:hAnsi="Arial" w:cs="Arial"/>
                <w:sz w:val="20"/>
              </w:rPr>
              <w:t> </w:t>
            </w:r>
          </w:p>
        </w:tc>
        <w:tc>
          <w:tcPr>
            <w:tcW w:w="1370" w:type="dxa"/>
            <w:vAlign w:val="bottom"/>
          </w:tcPr>
          <w:p w14:paraId="131D3961"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4.2</w:t>
            </w:r>
            <w:r w:rsidRPr="001427AF">
              <w:rPr>
                <w:rStyle w:val="eop"/>
                <w:rFonts w:ascii="Arial" w:hAnsi="Arial" w:cs="Arial"/>
                <w:sz w:val="20"/>
              </w:rPr>
              <w:t> </w:t>
            </w:r>
          </w:p>
        </w:tc>
        <w:tc>
          <w:tcPr>
            <w:tcW w:w="1370" w:type="dxa"/>
            <w:vAlign w:val="bottom"/>
          </w:tcPr>
          <w:p w14:paraId="632EF64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1BAB234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tcPr>
          <w:p w14:paraId="0F74ABE4" w14:textId="77777777" w:rsidR="007D78BC" w:rsidRPr="001427AF" w:rsidRDefault="007D78BC">
            <w:pPr>
              <w:spacing w:line="240" w:lineRule="auto"/>
              <w:contextualSpacing/>
              <w:rPr>
                <w:rFonts w:ascii="Arial" w:hAnsi="Arial" w:cs="Arial"/>
                <w:bCs/>
                <w:iCs/>
                <w:sz w:val="20"/>
              </w:rPr>
            </w:pPr>
          </w:p>
        </w:tc>
      </w:tr>
      <w:tr w:rsidR="007D78BC" w:rsidRPr="001427AF" w14:paraId="7E22884D" w14:textId="77777777" w:rsidTr="007818DC">
        <w:tc>
          <w:tcPr>
            <w:tcW w:w="1734" w:type="dxa"/>
          </w:tcPr>
          <w:p w14:paraId="4B9B979C"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3.6</w:t>
            </w:r>
          </w:p>
        </w:tc>
        <w:tc>
          <w:tcPr>
            <w:tcW w:w="1024" w:type="dxa"/>
            <w:vAlign w:val="bottom"/>
          </w:tcPr>
          <w:p w14:paraId="2B1410B8"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3BD21C8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3.9</w:t>
            </w:r>
            <w:r w:rsidRPr="001427AF">
              <w:rPr>
                <w:rStyle w:val="eop"/>
                <w:rFonts w:ascii="Arial" w:hAnsi="Arial" w:cs="Arial"/>
                <w:sz w:val="20"/>
              </w:rPr>
              <w:t> </w:t>
            </w:r>
          </w:p>
        </w:tc>
        <w:tc>
          <w:tcPr>
            <w:tcW w:w="1370" w:type="dxa"/>
            <w:vAlign w:val="bottom"/>
          </w:tcPr>
          <w:p w14:paraId="069DAEB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4.2</w:t>
            </w:r>
            <w:r w:rsidRPr="001427AF">
              <w:rPr>
                <w:rStyle w:val="eop"/>
                <w:rFonts w:ascii="Arial" w:hAnsi="Arial" w:cs="Arial"/>
                <w:sz w:val="20"/>
              </w:rPr>
              <w:t> </w:t>
            </w:r>
          </w:p>
        </w:tc>
        <w:tc>
          <w:tcPr>
            <w:tcW w:w="1370" w:type="dxa"/>
            <w:vAlign w:val="bottom"/>
          </w:tcPr>
          <w:p w14:paraId="6A44F22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720BBC0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47395945" w14:textId="77777777" w:rsidR="007D78BC" w:rsidRPr="001427AF" w:rsidRDefault="007D78BC">
            <w:pPr>
              <w:spacing w:line="240" w:lineRule="auto"/>
              <w:contextualSpacing/>
              <w:rPr>
                <w:rFonts w:ascii="Arial" w:hAnsi="Arial" w:cs="Arial"/>
                <w:bCs/>
                <w:iCs/>
                <w:sz w:val="20"/>
              </w:rPr>
            </w:pPr>
          </w:p>
        </w:tc>
      </w:tr>
      <w:tr w:rsidR="007D78BC" w:rsidRPr="001427AF" w14:paraId="0D774573" w14:textId="77777777" w:rsidTr="007818DC">
        <w:tc>
          <w:tcPr>
            <w:tcW w:w="1734" w:type="dxa"/>
          </w:tcPr>
          <w:p w14:paraId="0DD3E2D1"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3.7</w:t>
            </w:r>
          </w:p>
        </w:tc>
        <w:tc>
          <w:tcPr>
            <w:tcW w:w="1024" w:type="dxa"/>
            <w:vAlign w:val="bottom"/>
          </w:tcPr>
          <w:p w14:paraId="14B134A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6D3EDF5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0" w:type="dxa"/>
            <w:vAlign w:val="bottom"/>
          </w:tcPr>
          <w:p w14:paraId="200BB8B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4.2</w:t>
            </w:r>
            <w:r w:rsidRPr="001427AF">
              <w:rPr>
                <w:rStyle w:val="eop"/>
                <w:rFonts w:ascii="Arial" w:hAnsi="Arial" w:cs="Arial"/>
                <w:sz w:val="20"/>
              </w:rPr>
              <w:t> </w:t>
            </w:r>
          </w:p>
        </w:tc>
        <w:tc>
          <w:tcPr>
            <w:tcW w:w="1370" w:type="dxa"/>
            <w:vAlign w:val="bottom"/>
          </w:tcPr>
          <w:p w14:paraId="7CB94A4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6B632F7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57204EAE" w14:textId="77777777" w:rsidR="007D78BC" w:rsidRPr="001427AF" w:rsidRDefault="007D78BC">
            <w:pPr>
              <w:spacing w:line="240" w:lineRule="auto"/>
              <w:contextualSpacing/>
              <w:rPr>
                <w:rFonts w:ascii="Arial" w:hAnsi="Arial" w:cs="Arial"/>
                <w:bCs/>
                <w:iCs/>
                <w:sz w:val="20"/>
              </w:rPr>
            </w:pPr>
          </w:p>
        </w:tc>
      </w:tr>
      <w:tr w:rsidR="007D78BC" w:rsidRPr="001427AF" w14:paraId="74C0A121" w14:textId="77777777" w:rsidTr="007818DC">
        <w:tc>
          <w:tcPr>
            <w:tcW w:w="1734" w:type="dxa"/>
          </w:tcPr>
          <w:p w14:paraId="33B01742"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3.8</w:t>
            </w:r>
          </w:p>
        </w:tc>
        <w:tc>
          <w:tcPr>
            <w:tcW w:w="1024" w:type="dxa"/>
            <w:vAlign w:val="bottom"/>
          </w:tcPr>
          <w:p w14:paraId="0579079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0F24B959"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4.0</w:t>
            </w:r>
            <w:r w:rsidRPr="001427AF">
              <w:rPr>
                <w:rStyle w:val="eop"/>
                <w:rFonts w:ascii="Arial" w:hAnsi="Arial" w:cs="Arial"/>
                <w:sz w:val="20"/>
              </w:rPr>
              <w:t> </w:t>
            </w:r>
          </w:p>
        </w:tc>
        <w:tc>
          <w:tcPr>
            <w:tcW w:w="1370" w:type="dxa"/>
            <w:vAlign w:val="bottom"/>
          </w:tcPr>
          <w:p w14:paraId="0EE7331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4.3</w:t>
            </w:r>
            <w:r w:rsidRPr="001427AF">
              <w:rPr>
                <w:rStyle w:val="eop"/>
                <w:rFonts w:ascii="Arial" w:hAnsi="Arial" w:cs="Arial"/>
                <w:sz w:val="20"/>
              </w:rPr>
              <w:t> </w:t>
            </w:r>
          </w:p>
        </w:tc>
        <w:tc>
          <w:tcPr>
            <w:tcW w:w="1370" w:type="dxa"/>
            <w:vAlign w:val="bottom"/>
          </w:tcPr>
          <w:p w14:paraId="56A0F10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774C297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3FDF4E03" w14:textId="77777777" w:rsidR="007D78BC" w:rsidRPr="001427AF" w:rsidRDefault="007D78BC">
            <w:pPr>
              <w:spacing w:line="240" w:lineRule="auto"/>
              <w:contextualSpacing/>
              <w:rPr>
                <w:rFonts w:ascii="Arial" w:hAnsi="Arial" w:cs="Arial"/>
                <w:bCs/>
                <w:iCs/>
                <w:sz w:val="20"/>
              </w:rPr>
            </w:pPr>
          </w:p>
        </w:tc>
      </w:tr>
      <w:tr w:rsidR="007D78BC" w:rsidRPr="001427AF" w14:paraId="08DC0145" w14:textId="77777777" w:rsidTr="007818DC">
        <w:tc>
          <w:tcPr>
            <w:tcW w:w="1734" w:type="dxa"/>
          </w:tcPr>
          <w:p w14:paraId="1CF2593D"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3.9</w:t>
            </w:r>
          </w:p>
        </w:tc>
        <w:tc>
          <w:tcPr>
            <w:tcW w:w="1024" w:type="dxa"/>
            <w:vAlign w:val="bottom"/>
          </w:tcPr>
          <w:p w14:paraId="1856428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3</w:t>
            </w:r>
            <w:r w:rsidRPr="001427AF">
              <w:rPr>
                <w:rStyle w:val="eop"/>
                <w:rFonts w:ascii="Arial" w:hAnsi="Arial" w:cs="Arial"/>
                <w:sz w:val="20"/>
              </w:rPr>
              <w:t> </w:t>
            </w:r>
          </w:p>
        </w:tc>
        <w:tc>
          <w:tcPr>
            <w:tcW w:w="1110" w:type="dxa"/>
            <w:vAlign w:val="bottom"/>
          </w:tcPr>
          <w:p w14:paraId="4042952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4.1</w:t>
            </w:r>
            <w:r w:rsidRPr="001427AF">
              <w:rPr>
                <w:rStyle w:val="eop"/>
                <w:rFonts w:ascii="Arial" w:hAnsi="Arial" w:cs="Arial"/>
                <w:sz w:val="20"/>
              </w:rPr>
              <w:t> </w:t>
            </w:r>
          </w:p>
        </w:tc>
        <w:tc>
          <w:tcPr>
            <w:tcW w:w="1370" w:type="dxa"/>
            <w:vAlign w:val="bottom"/>
          </w:tcPr>
          <w:p w14:paraId="555FB7ED"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4.3</w:t>
            </w:r>
            <w:r w:rsidRPr="001427AF">
              <w:rPr>
                <w:rStyle w:val="eop"/>
                <w:rFonts w:ascii="Arial" w:hAnsi="Arial" w:cs="Arial"/>
                <w:sz w:val="20"/>
              </w:rPr>
              <w:t> </w:t>
            </w:r>
          </w:p>
        </w:tc>
        <w:tc>
          <w:tcPr>
            <w:tcW w:w="1370" w:type="dxa"/>
            <w:vAlign w:val="bottom"/>
          </w:tcPr>
          <w:p w14:paraId="541FEDFE"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1" w:type="dxa"/>
            <w:vAlign w:val="bottom"/>
          </w:tcPr>
          <w:p w14:paraId="67F9FC8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7C594C96" w14:textId="77777777" w:rsidR="007D78BC" w:rsidRPr="001427AF" w:rsidRDefault="007D78BC">
            <w:pPr>
              <w:spacing w:line="240" w:lineRule="auto"/>
              <w:contextualSpacing/>
              <w:rPr>
                <w:rFonts w:ascii="Arial" w:hAnsi="Arial" w:cs="Arial"/>
                <w:bCs/>
                <w:iCs/>
                <w:sz w:val="20"/>
              </w:rPr>
            </w:pPr>
          </w:p>
        </w:tc>
      </w:tr>
      <w:tr w:rsidR="007D78BC" w:rsidRPr="001427AF" w14:paraId="3F67E45B" w14:textId="77777777" w:rsidTr="007818DC">
        <w:tc>
          <w:tcPr>
            <w:tcW w:w="1734" w:type="dxa"/>
          </w:tcPr>
          <w:p w14:paraId="7B296165"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4.0</w:t>
            </w:r>
          </w:p>
        </w:tc>
        <w:tc>
          <w:tcPr>
            <w:tcW w:w="1024" w:type="dxa"/>
            <w:vAlign w:val="bottom"/>
          </w:tcPr>
          <w:p w14:paraId="7D8A5BC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w:t>
            </w:r>
            <w:r w:rsidRPr="001427AF">
              <w:rPr>
                <w:rStyle w:val="eop"/>
                <w:rFonts w:ascii="Arial" w:hAnsi="Arial" w:cs="Arial"/>
                <w:sz w:val="20"/>
              </w:rPr>
              <w:t> </w:t>
            </w:r>
          </w:p>
        </w:tc>
        <w:tc>
          <w:tcPr>
            <w:tcW w:w="1110" w:type="dxa"/>
            <w:vAlign w:val="bottom"/>
          </w:tcPr>
          <w:p w14:paraId="3FEF8CF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4.3</w:t>
            </w:r>
            <w:r w:rsidRPr="001427AF">
              <w:rPr>
                <w:rStyle w:val="eop"/>
                <w:rFonts w:ascii="Arial" w:hAnsi="Arial" w:cs="Arial"/>
                <w:sz w:val="20"/>
              </w:rPr>
              <w:t> </w:t>
            </w:r>
          </w:p>
        </w:tc>
        <w:tc>
          <w:tcPr>
            <w:tcW w:w="1370" w:type="dxa"/>
            <w:vAlign w:val="bottom"/>
          </w:tcPr>
          <w:p w14:paraId="640028C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0" w:type="dxa"/>
            <w:vAlign w:val="bottom"/>
          </w:tcPr>
          <w:p w14:paraId="7528A7C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vAlign w:val="bottom"/>
          </w:tcPr>
          <w:p w14:paraId="33B9E04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7CDCD86E" w14:textId="77777777" w:rsidR="007D78BC" w:rsidRPr="001427AF" w:rsidRDefault="007D78BC">
            <w:pPr>
              <w:spacing w:line="240" w:lineRule="auto"/>
              <w:contextualSpacing/>
              <w:rPr>
                <w:rFonts w:ascii="Arial" w:hAnsi="Arial" w:cs="Arial"/>
                <w:bCs/>
                <w:iCs/>
                <w:sz w:val="20"/>
              </w:rPr>
            </w:pPr>
          </w:p>
        </w:tc>
      </w:tr>
      <w:tr w:rsidR="007D78BC" w:rsidRPr="001427AF" w14:paraId="6F1832DD" w14:textId="77777777" w:rsidTr="007818DC">
        <w:tc>
          <w:tcPr>
            <w:tcW w:w="1734" w:type="dxa"/>
          </w:tcPr>
          <w:p w14:paraId="0FB03C38"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4.1</w:t>
            </w:r>
          </w:p>
        </w:tc>
        <w:tc>
          <w:tcPr>
            <w:tcW w:w="1024" w:type="dxa"/>
            <w:vAlign w:val="bottom"/>
          </w:tcPr>
          <w:p w14:paraId="7702FCE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w:t>
            </w:r>
            <w:r w:rsidRPr="001427AF">
              <w:rPr>
                <w:rStyle w:val="eop"/>
                <w:rFonts w:ascii="Arial" w:hAnsi="Arial" w:cs="Arial"/>
                <w:sz w:val="20"/>
              </w:rPr>
              <w:t> </w:t>
            </w:r>
          </w:p>
        </w:tc>
        <w:tc>
          <w:tcPr>
            <w:tcW w:w="1110" w:type="dxa"/>
            <w:vAlign w:val="bottom"/>
          </w:tcPr>
          <w:p w14:paraId="48ADB5A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4.3</w:t>
            </w:r>
            <w:r w:rsidRPr="001427AF">
              <w:rPr>
                <w:rStyle w:val="eop"/>
                <w:rFonts w:ascii="Arial" w:hAnsi="Arial" w:cs="Arial"/>
                <w:sz w:val="20"/>
              </w:rPr>
              <w:t> </w:t>
            </w:r>
          </w:p>
        </w:tc>
        <w:tc>
          <w:tcPr>
            <w:tcW w:w="1370" w:type="dxa"/>
            <w:vAlign w:val="bottom"/>
          </w:tcPr>
          <w:p w14:paraId="4B1E0834"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0" w:type="dxa"/>
            <w:vAlign w:val="bottom"/>
          </w:tcPr>
          <w:p w14:paraId="5A2D927F"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vAlign w:val="bottom"/>
          </w:tcPr>
          <w:p w14:paraId="215A09A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1630F448" w14:textId="77777777" w:rsidR="007D78BC" w:rsidRPr="001427AF" w:rsidRDefault="007D78BC">
            <w:pPr>
              <w:spacing w:line="240" w:lineRule="auto"/>
              <w:contextualSpacing/>
              <w:rPr>
                <w:rFonts w:ascii="Arial" w:hAnsi="Arial" w:cs="Arial"/>
                <w:bCs/>
                <w:iCs/>
                <w:sz w:val="20"/>
              </w:rPr>
            </w:pPr>
          </w:p>
        </w:tc>
      </w:tr>
      <w:tr w:rsidR="007D78BC" w:rsidRPr="001427AF" w14:paraId="5B63F0AD" w14:textId="77777777" w:rsidTr="007818DC">
        <w:tc>
          <w:tcPr>
            <w:tcW w:w="1734" w:type="dxa"/>
          </w:tcPr>
          <w:p w14:paraId="0E6437C8"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4.2</w:t>
            </w:r>
          </w:p>
        </w:tc>
        <w:tc>
          <w:tcPr>
            <w:tcW w:w="1024" w:type="dxa"/>
            <w:vAlign w:val="bottom"/>
          </w:tcPr>
          <w:p w14:paraId="35BCB1EC"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w:t>
            </w:r>
            <w:r w:rsidRPr="001427AF">
              <w:rPr>
                <w:rStyle w:val="eop"/>
                <w:rFonts w:ascii="Arial" w:hAnsi="Arial" w:cs="Arial"/>
                <w:sz w:val="20"/>
              </w:rPr>
              <w:t> </w:t>
            </w:r>
          </w:p>
        </w:tc>
        <w:tc>
          <w:tcPr>
            <w:tcW w:w="1110" w:type="dxa"/>
            <w:vAlign w:val="bottom"/>
          </w:tcPr>
          <w:p w14:paraId="2302826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4.4</w:t>
            </w:r>
            <w:r w:rsidRPr="001427AF">
              <w:rPr>
                <w:rStyle w:val="eop"/>
                <w:rFonts w:ascii="Arial" w:hAnsi="Arial" w:cs="Arial"/>
                <w:sz w:val="20"/>
              </w:rPr>
              <w:t> </w:t>
            </w:r>
          </w:p>
        </w:tc>
        <w:tc>
          <w:tcPr>
            <w:tcW w:w="1370" w:type="dxa"/>
            <w:vAlign w:val="bottom"/>
          </w:tcPr>
          <w:p w14:paraId="325170D3"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0" w:type="dxa"/>
            <w:vAlign w:val="bottom"/>
          </w:tcPr>
          <w:p w14:paraId="79622C76"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vAlign w:val="bottom"/>
          </w:tcPr>
          <w:p w14:paraId="4650949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1C614A16" w14:textId="77777777" w:rsidR="007D78BC" w:rsidRPr="001427AF" w:rsidRDefault="007D78BC">
            <w:pPr>
              <w:spacing w:line="240" w:lineRule="auto"/>
              <w:contextualSpacing/>
              <w:rPr>
                <w:rFonts w:ascii="Arial" w:hAnsi="Arial" w:cs="Arial"/>
                <w:bCs/>
                <w:iCs/>
                <w:sz w:val="20"/>
              </w:rPr>
            </w:pPr>
          </w:p>
        </w:tc>
      </w:tr>
      <w:tr w:rsidR="007D78BC" w:rsidRPr="001427AF" w14:paraId="6A7B09DA" w14:textId="77777777" w:rsidTr="007818DC">
        <w:tc>
          <w:tcPr>
            <w:tcW w:w="1734" w:type="dxa"/>
          </w:tcPr>
          <w:p w14:paraId="24151004"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4.3</w:t>
            </w:r>
          </w:p>
        </w:tc>
        <w:tc>
          <w:tcPr>
            <w:tcW w:w="1024" w:type="dxa"/>
            <w:vAlign w:val="bottom"/>
          </w:tcPr>
          <w:p w14:paraId="571423E5"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2</w:t>
            </w:r>
            <w:r w:rsidRPr="001427AF">
              <w:rPr>
                <w:rStyle w:val="eop"/>
                <w:rFonts w:ascii="Arial" w:hAnsi="Arial" w:cs="Arial"/>
                <w:sz w:val="20"/>
              </w:rPr>
              <w:t> </w:t>
            </w:r>
          </w:p>
        </w:tc>
        <w:tc>
          <w:tcPr>
            <w:tcW w:w="1110" w:type="dxa"/>
            <w:vAlign w:val="bottom"/>
          </w:tcPr>
          <w:p w14:paraId="3AB1FC1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4.4</w:t>
            </w:r>
            <w:r w:rsidRPr="001427AF">
              <w:rPr>
                <w:rStyle w:val="eop"/>
                <w:rFonts w:ascii="Arial" w:hAnsi="Arial" w:cs="Arial"/>
                <w:sz w:val="20"/>
              </w:rPr>
              <w:t> </w:t>
            </w:r>
          </w:p>
        </w:tc>
        <w:tc>
          <w:tcPr>
            <w:tcW w:w="1370" w:type="dxa"/>
            <w:vAlign w:val="bottom"/>
          </w:tcPr>
          <w:p w14:paraId="5921719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0" w:type="dxa"/>
            <w:vAlign w:val="bottom"/>
          </w:tcPr>
          <w:p w14:paraId="730EDF1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vAlign w:val="bottom"/>
          </w:tcPr>
          <w:p w14:paraId="1C91EC52"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2523D3A4" w14:textId="77777777" w:rsidR="007D78BC" w:rsidRPr="001427AF" w:rsidRDefault="007D78BC">
            <w:pPr>
              <w:spacing w:line="240" w:lineRule="auto"/>
              <w:contextualSpacing/>
              <w:rPr>
                <w:rFonts w:ascii="Arial" w:hAnsi="Arial" w:cs="Arial"/>
                <w:bCs/>
                <w:iCs/>
                <w:sz w:val="20"/>
              </w:rPr>
            </w:pPr>
          </w:p>
        </w:tc>
      </w:tr>
      <w:tr w:rsidR="007D78BC" w:rsidRPr="001427AF" w14:paraId="61B55239" w14:textId="77777777" w:rsidTr="007818DC">
        <w:tc>
          <w:tcPr>
            <w:tcW w:w="1734" w:type="dxa"/>
          </w:tcPr>
          <w:p w14:paraId="0D35D0C8" w14:textId="77777777" w:rsidR="007D78BC" w:rsidRPr="001427AF" w:rsidRDefault="007D78BC">
            <w:pPr>
              <w:spacing w:line="240" w:lineRule="auto"/>
              <w:contextualSpacing/>
              <w:rPr>
                <w:rFonts w:ascii="Arial" w:hAnsi="Arial" w:cs="Arial"/>
                <w:b/>
                <w:iCs/>
                <w:sz w:val="20"/>
              </w:rPr>
            </w:pPr>
            <w:r w:rsidRPr="001427AF">
              <w:rPr>
                <w:rFonts w:ascii="Arial" w:hAnsi="Arial" w:cs="Arial"/>
                <w:b/>
                <w:iCs/>
                <w:sz w:val="20"/>
              </w:rPr>
              <w:t>4.4</w:t>
            </w:r>
          </w:p>
        </w:tc>
        <w:tc>
          <w:tcPr>
            <w:tcW w:w="1024" w:type="dxa"/>
            <w:vAlign w:val="bottom"/>
          </w:tcPr>
          <w:p w14:paraId="6497414D"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1</w:t>
            </w:r>
            <w:r w:rsidRPr="001427AF">
              <w:rPr>
                <w:rStyle w:val="eop"/>
                <w:rFonts w:ascii="Arial" w:hAnsi="Arial" w:cs="Arial"/>
                <w:sz w:val="20"/>
              </w:rPr>
              <w:t> </w:t>
            </w:r>
          </w:p>
        </w:tc>
        <w:tc>
          <w:tcPr>
            <w:tcW w:w="1110" w:type="dxa"/>
            <w:vAlign w:val="bottom"/>
          </w:tcPr>
          <w:p w14:paraId="19B10D1A"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Exit</w:t>
            </w:r>
            <w:r w:rsidRPr="001427AF">
              <w:rPr>
                <w:rStyle w:val="eop"/>
                <w:rFonts w:ascii="Arial" w:hAnsi="Arial" w:cs="Arial"/>
                <w:sz w:val="20"/>
              </w:rPr>
              <w:t> </w:t>
            </w:r>
          </w:p>
        </w:tc>
        <w:tc>
          <w:tcPr>
            <w:tcW w:w="1370" w:type="dxa"/>
            <w:vAlign w:val="bottom"/>
          </w:tcPr>
          <w:p w14:paraId="38506807"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0" w:type="dxa"/>
            <w:vAlign w:val="bottom"/>
          </w:tcPr>
          <w:p w14:paraId="7FB39640"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0"/>
              </w:rPr>
              <w:t> </w:t>
            </w:r>
            <w:r w:rsidRPr="001427AF">
              <w:rPr>
                <w:rStyle w:val="eop"/>
                <w:rFonts w:ascii="Arial" w:hAnsi="Arial" w:cs="Arial"/>
                <w:sz w:val="20"/>
              </w:rPr>
              <w:t> </w:t>
            </w:r>
          </w:p>
        </w:tc>
        <w:tc>
          <w:tcPr>
            <w:tcW w:w="1371" w:type="dxa"/>
            <w:vAlign w:val="bottom"/>
          </w:tcPr>
          <w:p w14:paraId="279820EB" w14:textId="77777777" w:rsidR="007D78BC" w:rsidRPr="001427AF" w:rsidRDefault="007D78BC">
            <w:pPr>
              <w:spacing w:line="240" w:lineRule="auto"/>
              <w:contextualSpacing/>
              <w:rPr>
                <w:rFonts w:ascii="Arial" w:hAnsi="Arial" w:cs="Arial"/>
                <w:bCs/>
                <w:iCs/>
                <w:sz w:val="20"/>
              </w:rPr>
            </w:pPr>
            <w:r w:rsidRPr="001427AF">
              <w:rPr>
                <w:rStyle w:val="normaltextrun"/>
                <w:rFonts w:ascii="Arial" w:hAnsi="Arial" w:cs="Arial"/>
                <w:sz w:val="22"/>
                <w:szCs w:val="22"/>
              </w:rPr>
              <w:t> </w:t>
            </w:r>
            <w:r w:rsidRPr="001427AF">
              <w:rPr>
                <w:rStyle w:val="eop"/>
                <w:rFonts w:ascii="Arial" w:hAnsi="Arial" w:cs="Arial"/>
                <w:sz w:val="22"/>
                <w:szCs w:val="22"/>
              </w:rPr>
              <w:t> </w:t>
            </w:r>
          </w:p>
        </w:tc>
        <w:tc>
          <w:tcPr>
            <w:tcW w:w="1371" w:type="dxa"/>
          </w:tcPr>
          <w:p w14:paraId="1233A107" w14:textId="77777777" w:rsidR="007D78BC" w:rsidRPr="001427AF" w:rsidRDefault="007D78BC">
            <w:pPr>
              <w:spacing w:line="240" w:lineRule="auto"/>
              <w:contextualSpacing/>
              <w:rPr>
                <w:rFonts w:ascii="Arial" w:hAnsi="Arial" w:cs="Arial"/>
                <w:bCs/>
                <w:iCs/>
                <w:sz w:val="20"/>
              </w:rPr>
            </w:pPr>
          </w:p>
        </w:tc>
      </w:tr>
    </w:tbl>
    <w:p w14:paraId="374188A3" w14:textId="786DD3B3" w:rsidR="00390260" w:rsidRPr="001427AF" w:rsidRDefault="00390260" w:rsidP="004532E9">
      <w:pPr>
        <w:autoSpaceDE w:val="0"/>
        <w:autoSpaceDN w:val="0"/>
        <w:adjustRightInd w:val="0"/>
        <w:spacing w:line="240" w:lineRule="auto"/>
        <w:contextualSpacing/>
        <w:rPr>
          <w:rFonts w:ascii="Arial" w:hAnsi="Arial" w:cs="Arial"/>
          <w:sz w:val="20"/>
        </w:rPr>
      </w:pPr>
    </w:p>
    <w:p w14:paraId="7665CE45" w14:textId="77777777" w:rsidR="001E06E7" w:rsidRPr="0085272A" w:rsidRDefault="001E06E7" w:rsidP="001E06E7">
      <w:pPr>
        <w:autoSpaceDE w:val="0"/>
        <w:autoSpaceDN w:val="0"/>
        <w:adjustRightInd w:val="0"/>
        <w:spacing w:line="240" w:lineRule="auto"/>
        <w:contextualSpacing/>
        <w:rPr>
          <w:rFonts w:ascii="Arial" w:hAnsi="Arial" w:cs="Arial"/>
          <w:szCs w:val="24"/>
        </w:rPr>
      </w:pPr>
      <w:r w:rsidRPr="0085272A">
        <w:rPr>
          <w:rFonts w:ascii="Arial" w:hAnsi="Arial" w:cs="Arial"/>
          <w:szCs w:val="24"/>
        </w:rPr>
        <w:t>Note: The formula used to develop the English Learner Progress Value table (i.e., table 6.3.5.1) is in the ESSA State Plan.</w:t>
      </w:r>
    </w:p>
    <w:p w14:paraId="3AA72B65" w14:textId="77777777" w:rsidR="001E06E7" w:rsidRPr="0085272A" w:rsidRDefault="001E06E7" w:rsidP="001E06E7">
      <w:pPr>
        <w:autoSpaceDE w:val="0"/>
        <w:autoSpaceDN w:val="0"/>
        <w:adjustRightInd w:val="0"/>
        <w:spacing w:line="240" w:lineRule="auto"/>
        <w:contextualSpacing/>
        <w:rPr>
          <w:rFonts w:ascii="Arial" w:hAnsi="Arial" w:cs="Arial"/>
          <w:szCs w:val="24"/>
        </w:rPr>
      </w:pPr>
    </w:p>
    <w:p w14:paraId="3A38A51F" w14:textId="63484F93" w:rsidR="001E06E7" w:rsidRPr="0085272A" w:rsidRDefault="001E06E7" w:rsidP="001E06E7">
      <w:pPr>
        <w:autoSpaceDE w:val="0"/>
        <w:autoSpaceDN w:val="0"/>
        <w:adjustRightInd w:val="0"/>
        <w:spacing w:line="240" w:lineRule="auto"/>
        <w:contextualSpacing/>
        <w:rPr>
          <w:rFonts w:ascii="Arial" w:hAnsi="Arial" w:cs="Arial"/>
        </w:rPr>
      </w:pPr>
      <w:r w:rsidRPr="46433D16">
        <w:rPr>
          <w:rFonts w:ascii="Arial" w:hAnsi="Arial" w:cs="Arial"/>
        </w:rPr>
        <w:t xml:space="preserve">Table 6.3.5.2 identifies the yearly progress expectations for students taking the </w:t>
      </w:r>
      <w:r w:rsidR="6D24A6FB" w:rsidRPr="46433D16">
        <w:rPr>
          <w:rFonts w:ascii="Arial" w:hAnsi="Arial" w:cs="Arial"/>
        </w:rPr>
        <w:t xml:space="preserve">WIDA </w:t>
      </w:r>
      <w:r w:rsidRPr="46433D16">
        <w:rPr>
          <w:rFonts w:ascii="Arial" w:hAnsi="Arial" w:cs="Arial"/>
        </w:rPr>
        <w:t xml:space="preserve">Alternate ACCESS assessment. Students have up to five years to exit after the initial assessment. Progress is measured using the </w:t>
      </w:r>
      <w:r w:rsidR="58218BFD" w:rsidRPr="46433D16">
        <w:rPr>
          <w:rFonts w:ascii="Arial" w:hAnsi="Arial" w:cs="Arial"/>
        </w:rPr>
        <w:t xml:space="preserve">WIDA </w:t>
      </w:r>
      <w:r w:rsidRPr="46433D16">
        <w:rPr>
          <w:rFonts w:ascii="Arial" w:hAnsi="Arial" w:cs="Arial"/>
        </w:rPr>
        <w:t xml:space="preserve">Alternate ACCESS overall scale </w:t>
      </w:r>
      <w:r w:rsidRPr="46433D16">
        <w:rPr>
          <w:rFonts w:ascii="Arial" w:hAnsi="Arial" w:cs="Arial"/>
        </w:rPr>
        <w:lastRenderedPageBreak/>
        <w:t xml:space="preserve">score. Depending on the grade band of the assessment, the scale score needed to attain a performance level 2 varies. </w:t>
      </w:r>
    </w:p>
    <w:p w14:paraId="2A237187" w14:textId="77777777" w:rsidR="001E06E7" w:rsidRPr="0085272A" w:rsidRDefault="001E06E7" w:rsidP="001E06E7">
      <w:pPr>
        <w:autoSpaceDE w:val="0"/>
        <w:autoSpaceDN w:val="0"/>
        <w:adjustRightInd w:val="0"/>
        <w:spacing w:line="240" w:lineRule="auto"/>
        <w:contextualSpacing/>
        <w:rPr>
          <w:rFonts w:ascii="Arial" w:hAnsi="Arial" w:cs="Arial"/>
          <w:szCs w:val="24"/>
        </w:rPr>
      </w:pPr>
    </w:p>
    <w:p w14:paraId="2CC704A9" w14:textId="19407B3E" w:rsidR="001E06E7" w:rsidRPr="0085272A" w:rsidRDefault="001E06E7" w:rsidP="001E06E7">
      <w:pPr>
        <w:autoSpaceDE w:val="0"/>
        <w:autoSpaceDN w:val="0"/>
        <w:adjustRightInd w:val="0"/>
        <w:spacing w:line="240" w:lineRule="auto"/>
        <w:contextualSpacing/>
        <w:rPr>
          <w:rFonts w:ascii="Arial" w:hAnsi="Arial" w:cs="Arial"/>
        </w:rPr>
      </w:pPr>
      <w:r w:rsidRPr="46433D16">
        <w:rPr>
          <w:rFonts w:ascii="Arial" w:hAnsi="Arial" w:cs="Arial"/>
        </w:rPr>
        <w:t xml:space="preserve">Some of the scores in the </w:t>
      </w:r>
      <w:r w:rsidR="491827E3" w:rsidRPr="46433D16">
        <w:rPr>
          <w:rFonts w:ascii="Arial" w:hAnsi="Arial" w:cs="Arial"/>
        </w:rPr>
        <w:t xml:space="preserve">WIDA </w:t>
      </w:r>
      <w:r w:rsidRPr="46433D16">
        <w:rPr>
          <w:rFonts w:ascii="Arial" w:hAnsi="Arial" w:cs="Arial"/>
        </w:rPr>
        <w:t xml:space="preserve">Alternate ACCESS progress table provided below are highlighted. The highlighted scores indicate, depending on the grade level, that a student may need to exit rather than achieve the scale score in the table. As students change grade bands for the </w:t>
      </w:r>
      <w:r w:rsidR="449F959A" w:rsidRPr="46433D16">
        <w:rPr>
          <w:rFonts w:ascii="Arial" w:hAnsi="Arial" w:cs="Arial"/>
        </w:rPr>
        <w:t xml:space="preserve">WIDA </w:t>
      </w:r>
      <w:r w:rsidRPr="46433D16">
        <w:rPr>
          <w:rFonts w:ascii="Arial" w:hAnsi="Arial" w:cs="Arial"/>
        </w:rPr>
        <w:t xml:space="preserve">Alternate ACCESS assessment, the scale score to exit changes. Students must meet the scale score or exit depending on the grade band and year in the table below. </w:t>
      </w:r>
    </w:p>
    <w:p w14:paraId="6A0A9F35" w14:textId="77777777" w:rsidR="001E06E7" w:rsidRPr="0085272A" w:rsidRDefault="001E06E7" w:rsidP="001E06E7">
      <w:pPr>
        <w:autoSpaceDE w:val="0"/>
        <w:autoSpaceDN w:val="0"/>
        <w:adjustRightInd w:val="0"/>
        <w:spacing w:line="240" w:lineRule="auto"/>
        <w:contextualSpacing/>
        <w:rPr>
          <w:rFonts w:ascii="Arial" w:hAnsi="Arial" w:cs="Arial"/>
          <w:szCs w:val="24"/>
        </w:rPr>
      </w:pPr>
    </w:p>
    <w:p w14:paraId="348AAFF6" w14:textId="74D4C334" w:rsidR="001E06E7" w:rsidRDefault="001E06E7" w:rsidP="001E06E7">
      <w:pPr>
        <w:autoSpaceDE w:val="0"/>
        <w:autoSpaceDN w:val="0"/>
        <w:adjustRightInd w:val="0"/>
        <w:spacing w:line="240" w:lineRule="auto"/>
        <w:contextualSpacing/>
        <w:rPr>
          <w:rFonts w:ascii="Arial" w:hAnsi="Arial" w:cs="Arial"/>
        </w:rPr>
      </w:pPr>
      <w:r w:rsidRPr="46433D16">
        <w:rPr>
          <w:rFonts w:ascii="Arial" w:hAnsi="Arial" w:cs="Arial"/>
        </w:rPr>
        <w:t xml:space="preserve">For example, if a Kindergarten student has an initial </w:t>
      </w:r>
      <w:r w:rsidR="651E6987" w:rsidRPr="46433D16">
        <w:rPr>
          <w:rFonts w:ascii="Arial" w:hAnsi="Arial" w:cs="Arial"/>
        </w:rPr>
        <w:t xml:space="preserve">WIDA </w:t>
      </w:r>
      <w:r w:rsidRPr="46433D16">
        <w:rPr>
          <w:rFonts w:ascii="Arial" w:hAnsi="Arial" w:cs="Arial"/>
        </w:rPr>
        <w:t xml:space="preserve">Alternate ACCESS score of 939 and is now in second grade (Year 3 </w:t>
      </w:r>
      <w:proofErr w:type="gramStart"/>
      <w:r w:rsidRPr="46433D16">
        <w:rPr>
          <w:rFonts w:ascii="Arial" w:hAnsi="Arial" w:cs="Arial"/>
        </w:rPr>
        <w:t>in</w:t>
      </w:r>
      <w:proofErr w:type="gramEnd"/>
      <w:r w:rsidRPr="46433D16">
        <w:rPr>
          <w:rFonts w:ascii="Arial" w:hAnsi="Arial" w:cs="Arial"/>
        </w:rPr>
        <w:t xml:space="preserve"> the table), the student is expected to exit, not score a </w:t>
      </w:r>
      <w:proofErr w:type="gramStart"/>
      <w:r w:rsidRPr="46433D16">
        <w:rPr>
          <w:rFonts w:ascii="Arial" w:hAnsi="Arial" w:cs="Arial"/>
        </w:rPr>
        <w:t>942 scale</w:t>
      </w:r>
      <w:proofErr w:type="gramEnd"/>
      <w:r w:rsidRPr="46433D16">
        <w:rPr>
          <w:rFonts w:ascii="Arial" w:hAnsi="Arial" w:cs="Arial"/>
        </w:rPr>
        <w:t xml:space="preserve"> score or higher. In this example, the </w:t>
      </w:r>
      <w:proofErr w:type="gramStart"/>
      <w:r w:rsidRPr="46433D16">
        <w:rPr>
          <w:rFonts w:ascii="Arial" w:hAnsi="Arial" w:cs="Arial"/>
        </w:rPr>
        <w:t>Kindergarten</w:t>
      </w:r>
      <w:proofErr w:type="gramEnd"/>
      <w:r w:rsidRPr="46433D16">
        <w:rPr>
          <w:rFonts w:ascii="Arial" w:hAnsi="Arial" w:cs="Arial"/>
        </w:rPr>
        <w:t xml:space="preserve"> student only requires a 941 to exit (not the 942 indicated in the table). </w:t>
      </w:r>
    </w:p>
    <w:p w14:paraId="138998D3" w14:textId="3327EE4F" w:rsidR="0072212F" w:rsidRPr="00BF1F0E" w:rsidRDefault="0072212F">
      <w:pPr>
        <w:spacing w:line="240" w:lineRule="auto"/>
        <w:rPr>
          <w:rFonts w:ascii="Arial" w:hAnsi="Arial" w:cs="Arial"/>
          <w:sz w:val="20"/>
        </w:rPr>
      </w:pPr>
      <w:r w:rsidRPr="00BF1F0E">
        <w:rPr>
          <w:rFonts w:ascii="Arial" w:hAnsi="Arial" w:cs="Arial"/>
          <w:sz w:val="20"/>
        </w:rPr>
        <w:br w:type="page"/>
      </w:r>
    </w:p>
    <w:p w14:paraId="1DABFC9D" w14:textId="1B39CD67" w:rsidR="0085272A" w:rsidRDefault="0085272A" w:rsidP="0085272A">
      <w:pPr>
        <w:spacing w:line="240" w:lineRule="auto"/>
        <w:contextualSpacing/>
        <w:rPr>
          <w:rFonts w:ascii="Arial" w:hAnsi="Arial" w:cs="Arial"/>
          <w:sz w:val="20"/>
          <w:vertAlign w:val="superscript"/>
        </w:rPr>
      </w:pPr>
      <w:r w:rsidRPr="0085272A">
        <w:rPr>
          <w:rFonts w:ascii="Arial" w:hAnsi="Arial" w:cs="Arial"/>
          <w:sz w:val="20"/>
        </w:rPr>
        <w:lastRenderedPageBreak/>
        <w:t xml:space="preserve">TABLE 6.3.5.2. English Learner Progress value for </w:t>
      </w:r>
      <w:r w:rsidR="048A9234" w:rsidRPr="46433D16">
        <w:rPr>
          <w:rFonts w:ascii="Arial" w:hAnsi="Arial" w:cs="Arial"/>
          <w:sz w:val="20"/>
        </w:rPr>
        <w:t xml:space="preserve">WIDA </w:t>
      </w:r>
      <w:r w:rsidRPr="0085272A">
        <w:rPr>
          <w:rFonts w:ascii="Arial" w:hAnsi="Arial" w:cs="Arial"/>
          <w:sz w:val="20"/>
        </w:rPr>
        <w:t>Alternate ACCESS</w:t>
      </w:r>
      <w:r w:rsidR="00DB67EF">
        <w:rPr>
          <w:rFonts w:ascii="ZWAdobeF" w:hAnsi="ZWAdobeF" w:cs="ZWAdobeF"/>
          <w:color w:val="auto"/>
          <w:sz w:val="2"/>
          <w:szCs w:val="2"/>
        </w:rPr>
        <w:t>9F</w:t>
      </w:r>
      <w:r w:rsidR="004532E9">
        <w:rPr>
          <w:rStyle w:val="FootnoteReference"/>
          <w:rFonts w:ascii="Arial" w:hAnsi="Arial" w:cs="Arial"/>
          <w:sz w:val="20"/>
        </w:rPr>
        <w:footnoteReference w:customMarkFollows="1" w:id="11"/>
        <w:t>3</w:t>
      </w:r>
    </w:p>
    <w:tbl>
      <w:tblPr>
        <w:tblW w:w="78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162"/>
        <w:gridCol w:w="1162"/>
        <w:gridCol w:w="1162"/>
        <w:gridCol w:w="1162"/>
        <w:gridCol w:w="928"/>
      </w:tblGrid>
      <w:tr w:rsidR="00672F8C" w:rsidRPr="00672F8C" w14:paraId="0EDBC78E" w14:textId="77777777" w:rsidTr="00525008">
        <w:trPr>
          <w:trHeight w:val="302"/>
          <w:tblHeader/>
        </w:trPr>
        <w:tc>
          <w:tcPr>
            <w:tcW w:w="2269" w:type="dxa"/>
            <w:shd w:val="clear" w:color="auto" w:fill="ACB9CA" w:themeFill="text2" w:themeFillTint="66"/>
            <w:noWrap/>
            <w:vAlign w:val="bottom"/>
            <w:hideMark/>
          </w:tcPr>
          <w:p w14:paraId="01111871" w14:textId="47611755" w:rsidR="00672F8C" w:rsidRPr="00672F8C" w:rsidRDefault="00672F8C" w:rsidP="003074A4">
            <w:pPr>
              <w:spacing w:line="240" w:lineRule="auto"/>
              <w:jc w:val="center"/>
              <w:rPr>
                <w:rFonts w:ascii="Arial" w:eastAsia="NSimSun" w:hAnsi="Arial" w:cs="Arial"/>
                <w:b/>
                <w:bCs/>
                <w:sz w:val="20"/>
              </w:rPr>
            </w:pPr>
            <w:r w:rsidRPr="00672F8C">
              <w:rPr>
                <w:rFonts w:ascii="Arial" w:eastAsia="NSimSun" w:hAnsi="Arial" w:cs="Arial"/>
                <w:b/>
                <w:bCs/>
                <w:sz w:val="20"/>
              </w:rPr>
              <w:t xml:space="preserve">Initial </w:t>
            </w:r>
            <w:r w:rsidR="7FB00F19" w:rsidRPr="46433D16">
              <w:rPr>
                <w:rFonts w:ascii="Arial" w:eastAsia="NSimSun" w:hAnsi="Arial" w:cs="Arial"/>
                <w:b/>
                <w:bCs/>
                <w:sz w:val="20"/>
              </w:rPr>
              <w:t xml:space="preserve">WIDA </w:t>
            </w:r>
            <w:r w:rsidRPr="00672F8C">
              <w:rPr>
                <w:rFonts w:ascii="Arial" w:eastAsia="NSimSun" w:hAnsi="Arial" w:cs="Arial"/>
                <w:b/>
                <w:bCs/>
                <w:sz w:val="20"/>
              </w:rPr>
              <w:t>Alternate ACCESS assessment score taken in Year 1</w:t>
            </w:r>
          </w:p>
        </w:tc>
        <w:tc>
          <w:tcPr>
            <w:tcW w:w="1162" w:type="dxa"/>
            <w:shd w:val="clear" w:color="auto" w:fill="ACB9CA" w:themeFill="text2" w:themeFillTint="66"/>
            <w:noWrap/>
            <w:hideMark/>
          </w:tcPr>
          <w:p w14:paraId="07E35237"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Year 2</w:t>
            </w:r>
          </w:p>
        </w:tc>
        <w:tc>
          <w:tcPr>
            <w:tcW w:w="1162" w:type="dxa"/>
            <w:shd w:val="clear" w:color="auto" w:fill="ACB9CA" w:themeFill="text2" w:themeFillTint="66"/>
            <w:noWrap/>
            <w:hideMark/>
          </w:tcPr>
          <w:p w14:paraId="36D5AD12"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Year 3</w:t>
            </w:r>
          </w:p>
        </w:tc>
        <w:tc>
          <w:tcPr>
            <w:tcW w:w="1162" w:type="dxa"/>
            <w:shd w:val="clear" w:color="auto" w:fill="ACB9CA" w:themeFill="text2" w:themeFillTint="66"/>
            <w:noWrap/>
            <w:hideMark/>
          </w:tcPr>
          <w:p w14:paraId="3E5D6D82"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Year 4</w:t>
            </w:r>
          </w:p>
        </w:tc>
        <w:tc>
          <w:tcPr>
            <w:tcW w:w="1162" w:type="dxa"/>
            <w:shd w:val="clear" w:color="auto" w:fill="ACB9CA" w:themeFill="text2" w:themeFillTint="66"/>
            <w:noWrap/>
            <w:hideMark/>
          </w:tcPr>
          <w:p w14:paraId="213EEDD8"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Year 5</w:t>
            </w:r>
          </w:p>
        </w:tc>
        <w:tc>
          <w:tcPr>
            <w:tcW w:w="928" w:type="dxa"/>
            <w:shd w:val="clear" w:color="auto" w:fill="ACB9CA" w:themeFill="text2" w:themeFillTint="66"/>
            <w:noWrap/>
            <w:hideMark/>
          </w:tcPr>
          <w:p w14:paraId="0637343D"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Year 6</w:t>
            </w:r>
          </w:p>
        </w:tc>
      </w:tr>
      <w:tr w:rsidR="00672F8C" w:rsidRPr="00672F8C" w14:paraId="6C1A458C" w14:textId="77777777" w:rsidTr="00525008">
        <w:trPr>
          <w:trHeight w:val="60"/>
        </w:trPr>
        <w:tc>
          <w:tcPr>
            <w:tcW w:w="2269" w:type="dxa"/>
            <w:noWrap/>
            <w:vAlign w:val="center"/>
            <w:hideMark/>
          </w:tcPr>
          <w:p w14:paraId="20833953"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900</w:t>
            </w:r>
          </w:p>
        </w:tc>
        <w:tc>
          <w:tcPr>
            <w:tcW w:w="1162" w:type="dxa"/>
            <w:noWrap/>
            <w:vAlign w:val="center"/>
            <w:hideMark/>
          </w:tcPr>
          <w:p w14:paraId="653AFB7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909</w:t>
            </w:r>
          </w:p>
        </w:tc>
        <w:tc>
          <w:tcPr>
            <w:tcW w:w="1162" w:type="dxa"/>
            <w:noWrap/>
            <w:vAlign w:val="center"/>
            <w:hideMark/>
          </w:tcPr>
          <w:p w14:paraId="22CE0E0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918</w:t>
            </w:r>
          </w:p>
        </w:tc>
        <w:tc>
          <w:tcPr>
            <w:tcW w:w="1162" w:type="dxa"/>
            <w:noWrap/>
            <w:vAlign w:val="center"/>
            <w:hideMark/>
          </w:tcPr>
          <w:p w14:paraId="55FCD77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928</w:t>
            </w:r>
          </w:p>
        </w:tc>
        <w:tc>
          <w:tcPr>
            <w:tcW w:w="1162" w:type="dxa"/>
            <w:noWrap/>
            <w:vAlign w:val="center"/>
            <w:hideMark/>
          </w:tcPr>
          <w:p w14:paraId="5FE1ED0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928" w:type="dxa"/>
            <w:noWrap/>
            <w:vAlign w:val="center"/>
            <w:hideMark/>
          </w:tcPr>
          <w:p w14:paraId="794F23B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72C07010" w14:textId="77777777" w:rsidTr="00525008">
        <w:trPr>
          <w:trHeight w:val="60"/>
        </w:trPr>
        <w:tc>
          <w:tcPr>
            <w:tcW w:w="2269" w:type="dxa"/>
            <w:noWrap/>
            <w:vAlign w:val="center"/>
            <w:hideMark/>
          </w:tcPr>
          <w:p w14:paraId="46EB07DE"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901</w:t>
            </w:r>
          </w:p>
        </w:tc>
        <w:tc>
          <w:tcPr>
            <w:tcW w:w="1162" w:type="dxa"/>
            <w:noWrap/>
            <w:vAlign w:val="center"/>
            <w:hideMark/>
          </w:tcPr>
          <w:p w14:paraId="41999AC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910</w:t>
            </w:r>
          </w:p>
        </w:tc>
        <w:tc>
          <w:tcPr>
            <w:tcW w:w="1162" w:type="dxa"/>
            <w:noWrap/>
            <w:vAlign w:val="center"/>
            <w:hideMark/>
          </w:tcPr>
          <w:p w14:paraId="3CD48B6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919</w:t>
            </w:r>
          </w:p>
        </w:tc>
        <w:tc>
          <w:tcPr>
            <w:tcW w:w="1162" w:type="dxa"/>
            <w:noWrap/>
            <w:vAlign w:val="center"/>
            <w:hideMark/>
          </w:tcPr>
          <w:p w14:paraId="40F5D67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928</w:t>
            </w:r>
          </w:p>
        </w:tc>
        <w:tc>
          <w:tcPr>
            <w:tcW w:w="1162" w:type="dxa"/>
            <w:noWrap/>
            <w:vAlign w:val="center"/>
            <w:hideMark/>
          </w:tcPr>
          <w:p w14:paraId="3230CB4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928" w:type="dxa"/>
            <w:noWrap/>
            <w:vAlign w:val="center"/>
            <w:hideMark/>
          </w:tcPr>
          <w:p w14:paraId="14F4146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65FE12F5" w14:textId="77777777" w:rsidTr="00525008">
        <w:trPr>
          <w:trHeight w:val="60"/>
        </w:trPr>
        <w:tc>
          <w:tcPr>
            <w:tcW w:w="2269" w:type="dxa"/>
            <w:noWrap/>
            <w:vAlign w:val="center"/>
            <w:hideMark/>
          </w:tcPr>
          <w:p w14:paraId="5B98072D"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902</w:t>
            </w:r>
          </w:p>
        </w:tc>
        <w:tc>
          <w:tcPr>
            <w:tcW w:w="1162" w:type="dxa"/>
            <w:noWrap/>
            <w:vAlign w:val="center"/>
            <w:hideMark/>
          </w:tcPr>
          <w:p w14:paraId="725842C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911</w:t>
            </w:r>
          </w:p>
        </w:tc>
        <w:tc>
          <w:tcPr>
            <w:tcW w:w="1162" w:type="dxa"/>
            <w:noWrap/>
            <w:vAlign w:val="center"/>
            <w:hideMark/>
          </w:tcPr>
          <w:p w14:paraId="3F07C38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920</w:t>
            </w:r>
          </w:p>
        </w:tc>
        <w:tc>
          <w:tcPr>
            <w:tcW w:w="1162" w:type="dxa"/>
            <w:noWrap/>
            <w:vAlign w:val="center"/>
            <w:hideMark/>
          </w:tcPr>
          <w:p w14:paraId="27E52B6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928</w:t>
            </w:r>
          </w:p>
        </w:tc>
        <w:tc>
          <w:tcPr>
            <w:tcW w:w="1162" w:type="dxa"/>
            <w:noWrap/>
            <w:vAlign w:val="center"/>
            <w:hideMark/>
          </w:tcPr>
          <w:p w14:paraId="1DBFA11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928" w:type="dxa"/>
            <w:noWrap/>
            <w:vAlign w:val="center"/>
            <w:hideMark/>
          </w:tcPr>
          <w:p w14:paraId="5B945E9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7F02B5F0" w14:textId="77777777" w:rsidTr="00525008">
        <w:trPr>
          <w:trHeight w:val="60"/>
        </w:trPr>
        <w:tc>
          <w:tcPr>
            <w:tcW w:w="2269" w:type="dxa"/>
            <w:noWrap/>
            <w:vAlign w:val="center"/>
            <w:hideMark/>
          </w:tcPr>
          <w:p w14:paraId="5F2A391D"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903</w:t>
            </w:r>
          </w:p>
        </w:tc>
        <w:tc>
          <w:tcPr>
            <w:tcW w:w="1162" w:type="dxa"/>
            <w:noWrap/>
            <w:vAlign w:val="center"/>
            <w:hideMark/>
          </w:tcPr>
          <w:p w14:paraId="71DDEDE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912</w:t>
            </w:r>
          </w:p>
        </w:tc>
        <w:tc>
          <w:tcPr>
            <w:tcW w:w="1162" w:type="dxa"/>
            <w:noWrap/>
            <w:vAlign w:val="center"/>
            <w:hideMark/>
          </w:tcPr>
          <w:p w14:paraId="69FC344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920</w:t>
            </w:r>
          </w:p>
        </w:tc>
        <w:tc>
          <w:tcPr>
            <w:tcW w:w="1162" w:type="dxa"/>
            <w:noWrap/>
            <w:vAlign w:val="center"/>
            <w:hideMark/>
          </w:tcPr>
          <w:p w14:paraId="0B6F13D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929</w:t>
            </w:r>
          </w:p>
        </w:tc>
        <w:tc>
          <w:tcPr>
            <w:tcW w:w="1162" w:type="dxa"/>
            <w:noWrap/>
            <w:vAlign w:val="center"/>
            <w:hideMark/>
          </w:tcPr>
          <w:p w14:paraId="3F57E1F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928" w:type="dxa"/>
            <w:noWrap/>
            <w:vAlign w:val="center"/>
            <w:hideMark/>
          </w:tcPr>
          <w:p w14:paraId="29856F1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52527CC" w14:textId="77777777" w:rsidTr="00525008">
        <w:trPr>
          <w:trHeight w:val="60"/>
        </w:trPr>
        <w:tc>
          <w:tcPr>
            <w:tcW w:w="2269" w:type="dxa"/>
            <w:noWrap/>
            <w:vAlign w:val="center"/>
            <w:hideMark/>
          </w:tcPr>
          <w:p w14:paraId="260AC56E"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904</w:t>
            </w:r>
          </w:p>
        </w:tc>
        <w:tc>
          <w:tcPr>
            <w:tcW w:w="1162" w:type="dxa"/>
            <w:noWrap/>
            <w:vAlign w:val="center"/>
            <w:hideMark/>
          </w:tcPr>
          <w:p w14:paraId="0644CF9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912</w:t>
            </w:r>
          </w:p>
        </w:tc>
        <w:tc>
          <w:tcPr>
            <w:tcW w:w="1162" w:type="dxa"/>
            <w:noWrap/>
            <w:vAlign w:val="center"/>
            <w:hideMark/>
          </w:tcPr>
          <w:p w14:paraId="18DC003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921</w:t>
            </w:r>
          </w:p>
        </w:tc>
        <w:tc>
          <w:tcPr>
            <w:tcW w:w="1162" w:type="dxa"/>
            <w:noWrap/>
            <w:vAlign w:val="center"/>
            <w:hideMark/>
          </w:tcPr>
          <w:p w14:paraId="4B01E2B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929</w:t>
            </w:r>
          </w:p>
        </w:tc>
        <w:tc>
          <w:tcPr>
            <w:tcW w:w="1162" w:type="dxa"/>
            <w:noWrap/>
            <w:vAlign w:val="center"/>
            <w:hideMark/>
          </w:tcPr>
          <w:p w14:paraId="2263C6C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928" w:type="dxa"/>
            <w:noWrap/>
            <w:vAlign w:val="center"/>
            <w:hideMark/>
          </w:tcPr>
          <w:p w14:paraId="68CC6AA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819E98B" w14:textId="77777777" w:rsidTr="00525008">
        <w:trPr>
          <w:trHeight w:val="60"/>
        </w:trPr>
        <w:tc>
          <w:tcPr>
            <w:tcW w:w="2269" w:type="dxa"/>
            <w:noWrap/>
            <w:vAlign w:val="center"/>
            <w:hideMark/>
          </w:tcPr>
          <w:p w14:paraId="7D747261"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905</w:t>
            </w:r>
          </w:p>
        </w:tc>
        <w:tc>
          <w:tcPr>
            <w:tcW w:w="1162" w:type="dxa"/>
            <w:noWrap/>
            <w:vAlign w:val="center"/>
            <w:hideMark/>
          </w:tcPr>
          <w:p w14:paraId="7754F90F"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913</w:t>
            </w:r>
          </w:p>
        </w:tc>
        <w:tc>
          <w:tcPr>
            <w:tcW w:w="1162" w:type="dxa"/>
            <w:noWrap/>
            <w:vAlign w:val="center"/>
            <w:hideMark/>
          </w:tcPr>
          <w:p w14:paraId="11E39E2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921</w:t>
            </w:r>
          </w:p>
        </w:tc>
        <w:tc>
          <w:tcPr>
            <w:tcW w:w="1162" w:type="dxa"/>
            <w:noWrap/>
            <w:vAlign w:val="center"/>
            <w:hideMark/>
          </w:tcPr>
          <w:p w14:paraId="6437E33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930</w:t>
            </w:r>
          </w:p>
        </w:tc>
        <w:tc>
          <w:tcPr>
            <w:tcW w:w="1162" w:type="dxa"/>
            <w:noWrap/>
            <w:vAlign w:val="center"/>
            <w:hideMark/>
          </w:tcPr>
          <w:p w14:paraId="4F1477A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928" w:type="dxa"/>
            <w:noWrap/>
            <w:vAlign w:val="center"/>
            <w:hideMark/>
          </w:tcPr>
          <w:p w14:paraId="5F3FA7E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3A2CF250" w14:textId="77777777" w:rsidTr="00525008">
        <w:trPr>
          <w:trHeight w:val="60"/>
        </w:trPr>
        <w:tc>
          <w:tcPr>
            <w:tcW w:w="2269" w:type="dxa"/>
            <w:noWrap/>
            <w:vAlign w:val="center"/>
            <w:hideMark/>
          </w:tcPr>
          <w:p w14:paraId="0521470D"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906</w:t>
            </w:r>
          </w:p>
        </w:tc>
        <w:tc>
          <w:tcPr>
            <w:tcW w:w="1162" w:type="dxa"/>
            <w:noWrap/>
            <w:vAlign w:val="center"/>
            <w:hideMark/>
          </w:tcPr>
          <w:p w14:paraId="68AF711F"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914</w:t>
            </w:r>
          </w:p>
        </w:tc>
        <w:tc>
          <w:tcPr>
            <w:tcW w:w="1162" w:type="dxa"/>
            <w:noWrap/>
            <w:vAlign w:val="center"/>
            <w:hideMark/>
          </w:tcPr>
          <w:p w14:paraId="2D93A35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922</w:t>
            </w:r>
          </w:p>
        </w:tc>
        <w:tc>
          <w:tcPr>
            <w:tcW w:w="1162" w:type="dxa"/>
            <w:noWrap/>
            <w:vAlign w:val="center"/>
            <w:hideMark/>
          </w:tcPr>
          <w:p w14:paraId="13EDAB0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930</w:t>
            </w:r>
          </w:p>
        </w:tc>
        <w:tc>
          <w:tcPr>
            <w:tcW w:w="1162" w:type="dxa"/>
            <w:noWrap/>
            <w:vAlign w:val="center"/>
            <w:hideMark/>
          </w:tcPr>
          <w:p w14:paraId="1FC6F965"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928" w:type="dxa"/>
            <w:noWrap/>
            <w:vAlign w:val="center"/>
            <w:hideMark/>
          </w:tcPr>
          <w:p w14:paraId="2F5A66F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AD45977" w14:textId="77777777" w:rsidTr="00525008">
        <w:trPr>
          <w:trHeight w:val="60"/>
        </w:trPr>
        <w:tc>
          <w:tcPr>
            <w:tcW w:w="2269" w:type="dxa"/>
            <w:noWrap/>
            <w:vAlign w:val="center"/>
            <w:hideMark/>
          </w:tcPr>
          <w:p w14:paraId="6958C612"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907</w:t>
            </w:r>
          </w:p>
        </w:tc>
        <w:tc>
          <w:tcPr>
            <w:tcW w:w="1162" w:type="dxa"/>
            <w:noWrap/>
            <w:vAlign w:val="center"/>
            <w:hideMark/>
          </w:tcPr>
          <w:p w14:paraId="0DB386A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915</w:t>
            </w:r>
          </w:p>
        </w:tc>
        <w:tc>
          <w:tcPr>
            <w:tcW w:w="1162" w:type="dxa"/>
            <w:noWrap/>
            <w:vAlign w:val="center"/>
            <w:hideMark/>
          </w:tcPr>
          <w:p w14:paraId="3B4217B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923</w:t>
            </w:r>
          </w:p>
        </w:tc>
        <w:tc>
          <w:tcPr>
            <w:tcW w:w="1162" w:type="dxa"/>
            <w:noWrap/>
            <w:vAlign w:val="center"/>
            <w:hideMark/>
          </w:tcPr>
          <w:p w14:paraId="7194161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930</w:t>
            </w:r>
          </w:p>
        </w:tc>
        <w:tc>
          <w:tcPr>
            <w:tcW w:w="1162" w:type="dxa"/>
            <w:noWrap/>
            <w:vAlign w:val="center"/>
            <w:hideMark/>
          </w:tcPr>
          <w:p w14:paraId="5920C8BF"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928" w:type="dxa"/>
            <w:noWrap/>
            <w:vAlign w:val="center"/>
            <w:hideMark/>
          </w:tcPr>
          <w:p w14:paraId="59C2376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6BBE4E0E" w14:textId="77777777" w:rsidTr="00525008">
        <w:trPr>
          <w:trHeight w:val="60"/>
        </w:trPr>
        <w:tc>
          <w:tcPr>
            <w:tcW w:w="2269" w:type="dxa"/>
            <w:noWrap/>
            <w:vAlign w:val="center"/>
            <w:hideMark/>
          </w:tcPr>
          <w:p w14:paraId="0F78E50D"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908</w:t>
            </w:r>
          </w:p>
        </w:tc>
        <w:tc>
          <w:tcPr>
            <w:tcW w:w="1162" w:type="dxa"/>
            <w:noWrap/>
            <w:vAlign w:val="center"/>
            <w:hideMark/>
          </w:tcPr>
          <w:p w14:paraId="2BF7EDC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916</w:t>
            </w:r>
          </w:p>
        </w:tc>
        <w:tc>
          <w:tcPr>
            <w:tcW w:w="1162" w:type="dxa"/>
            <w:noWrap/>
            <w:vAlign w:val="center"/>
            <w:hideMark/>
          </w:tcPr>
          <w:p w14:paraId="6168CA45"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923</w:t>
            </w:r>
          </w:p>
        </w:tc>
        <w:tc>
          <w:tcPr>
            <w:tcW w:w="1162" w:type="dxa"/>
            <w:noWrap/>
            <w:vAlign w:val="center"/>
            <w:hideMark/>
          </w:tcPr>
          <w:p w14:paraId="0C24AC0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931</w:t>
            </w:r>
          </w:p>
        </w:tc>
        <w:tc>
          <w:tcPr>
            <w:tcW w:w="1162" w:type="dxa"/>
            <w:noWrap/>
            <w:vAlign w:val="center"/>
            <w:hideMark/>
          </w:tcPr>
          <w:p w14:paraId="75E794A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928" w:type="dxa"/>
            <w:noWrap/>
            <w:vAlign w:val="center"/>
            <w:hideMark/>
          </w:tcPr>
          <w:p w14:paraId="503DBE6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7C0EA83" w14:textId="77777777" w:rsidTr="00525008">
        <w:trPr>
          <w:trHeight w:val="60"/>
        </w:trPr>
        <w:tc>
          <w:tcPr>
            <w:tcW w:w="2269" w:type="dxa"/>
            <w:noWrap/>
            <w:vAlign w:val="center"/>
            <w:hideMark/>
          </w:tcPr>
          <w:p w14:paraId="7EC56AB7"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909</w:t>
            </w:r>
          </w:p>
        </w:tc>
        <w:tc>
          <w:tcPr>
            <w:tcW w:w="1162" w:type="dxa"/>
            <w:noWrap/>
            <w:vAlign w:val="center"/>
            <w:hideMark/>
          </w:tcPr>
          <w:p w14:paraId="769BE39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916</w:t>
            </w:r>
          </w:p>
        </w:tc>
        <w:tc>
          <w:tcPr>
            <w:tcW w:w="1162" w:type="dxa"/>
            <w:noWrap/>
            <w:vAlign w:val="center"/>
            <w:hideMark/>
          </w:tcPr>
          <w:p w14:paraId="5577147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924</w:t>
            </w:r>
          </w:p>
        </w:tc>
        <w:tc>
          <w:tcPr>
            <w:tcW w:w="1162" w:type="dxa"/>
            <w:noWrap/>
            <w:vAlign w:val="center"/>
            <w:hideMark/>
          </w:tcPr>
          <w:p w14:paraId="5458CF6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931</w:t>
            </w:r>
          </w:p>
        </w:tc>
        <w:tc>
          <w:tcPr>
            <w:tcW w:w="1162" w:type="dxa"/>
            <w:noWrap/>
            <w:vAlign w:val="center"/>
            <w:hideMark/>
          </w:tcPr>
          <w:p w14:paraId="6E1988C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928" w:type="dxa"/>
            <w:noWrap/>
            <w:vAlign w:val="center"/>
            <w:hideMark/>
          </w:tcPr>
          <w:p w14:paraId="64A0CC0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6A65AB1B" w14:textId="77777777" w:rsidTr="00525008">
        <w:trPr>
          <w:trHeight w:val="60"/>
        </w:trPr>
        <w:tc>
          <w:tcPr>
            <w:tcW w:w="2269" w:type="dxa"/>
            <w:noWrap/>
            <w:vAlign w:val="center"/>
            <w:hideMark/>
          </w:tcPr>
          <w:p w14:paraId="0EF16AA0"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910</w:t>
            </w:r>
          </w:p>
        </w:tc>
        <w:tc>
          <w:tcPr>
            <w:tcW w:w="1162" w:type="dxa"/>
            <w:noWrap/>
            <w:vAlign w:val="center"/>
            <w:hideMark/>
          </w:tcPr>
          <w:p w14:paraId="5E94371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917</w:t>
            </w:r>
          </w:p>
        </w:tc>
        <w:tc>
          <w:tcPr>
            <w:tcW w:w="1162" w:type="dxa"/>
            <w:noWrap/>
            <w:vAlign w:val="center"/>
            <w:hideMark/>
          </w:tcPr>
          <w:p w14:paraId="77126BA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924</w:t>
            </w:r>
          </w:p>
        </w:tc>
        <w:tc>
          <w:tcPr>
            <w:tcW w:w="1162" w:type="dxa"/>
            <w:noWrap/>
            <w:vAlign w:val="center"/>
            <w:hideMark/>
          </w:tcPr>
          <w:p w14:paraId="18B9FBD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31FFCDF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928" w:type="dxa"/>
            <w:noWrap/>
            <w:vAlign w:val="center"/>
            <w:hideMark/>
          </w:tcPr>
          <w:p w14:paraId="3D8D223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145A5B75" w14:textId="77777777" w:rsidTr="00525008">
        <w:trPr>
          <w:trHeight w:val="60"/>
        </w:trPr>
        <w:tc>
          <w:tcPr>
            <w:tcW w:w="2269" w:type="dxa"/>
            <w:noWrap/>
            <w:vAlign w:val="center"/>
            <w:hideMark/>
          </w:tcPr>
          <w:p w14:paraId="59622DEF"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911</w:t>
            </w:r>
          </w:p>
        </w:tc>
        <w:tc>
          <w:tcPr>
            <w:tcW w:w="1162" w:type="dxa"/>
            <w:noWrap/>
            <w:vAlign w:val="center"/>
            <w:hideMark/>
          </w:tcPr>
          <w:p w14:paraId="2688FEB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918</w:t>
            </w:r>
          </w:p>
        </w:tc>
        <w:tc>
          <w:tcPr>
            <w:tcW w:w="1162" w:type="dxa"/>
            <w:noWrap/>
            <w:vAlign w:val="center"/>
            <w:hideMark/>
          </w:tcPr>
          <w:p w14:paraId="70A0AAF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925</w:t>
            </w:r>
          </w:p>
        </w:tc>
        <w:tc>
          <w:tcPr>
            <w:tcW w:w="1162" w:type="dxa"/>
            <w:noWrap/>
            <w:vAlign w:val="center"/>
            <w:hideMark/>
          </w:tcPr>
          <w:p w14:paraId="5ECBA29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4528709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928" w:type="dxa"/>
            <w:noWrap/>
            <w:vAlign w:val="center"/>
            <w:hideMark/>
          </w:tcPr>
          <w:p w14:paraId="3B750C0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67310870" w14:textId="77777777" w:rsidTr="00525008">
        <w:trPr>
          <w:trHeight w:val="60"/>
        </w:trPr>
        <w:tc>
          <w:tcPr>
            <w:tcW w:w="2269" w:type="dxa"/>
            <w:noWrap/>
            <w:vAlign w:val="center"/>
            <w:hideMark/>
          </w:tcPr>
          <w:p w14:paraId="697349DB"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912</w:t>
            </w:r>
          </w:p>
        </w:tc>
        <w:tc>
          <w:tcPr>
            <w:tcW w:w="1162" w:type="dxa"/>
            <w:noWrap/>
            <w:vAlign w:val="center"/>
            <w:hideMark/>
          </w:tcPr>
          <w:p w14:paraId="06E532C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919</w:t>
            </w:r>
          </w:p>
        </w:tc>
        <w:tc>
          <w:tcPr>
            <w:tcW w:w="1162" w:type="dxa"/>
            <w:noWrap/>
            <w:vAlign w:val="center"/>
            <w:hideMark/>
          </w:tcPr>
          <w:p w14:paraId="21DA869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926</w:t>
            </w:r>
          </w:p>
        </w:tc>
        <w:tc>
          <w:tcPr>
            <w:tcW w:w="1162" w:type="dxa"/>
            <w:noWrap/>
            <w:vAlign w:val="center"/>
            <w:hideMark/>
          </w:tcPr>
          <w:p w14:paraId="576A177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1C12E415"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928" w:type="dxa"/>
            <w:noWrap/>
            <w:vAlign w:val="center"/>
            <w:hideMark/>
          </w:tcPr>
          <w:p w14:paraId="1BC4C7C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B5CFA6F" w14:textId="77777777" w:rsidTr="00525008">
        <w:trPr>
          <w:trHeight w:val="60"/>
        </w:trPr>
        <w:tc>
          <w:tcPr>
            <w:tcW w:w="2269" w:type="dxa"/>
            <w:noWrap/>
            <w:vAlign w:val="center"/>
            <w:hideMark/>
          </w:tcPr>
          <w:p w14:paraId="5F1DA726"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913</w:t>
            </w:r>
          </w:p>
        </w:tc>
        <w:tc>
          <w:tcPr>
            <w:tcW w:w="1162" w:type="dxa"/>
            <w:noWrap/>
            <w:vAlign w:val="center"/>
            <w:hideMark/>
          </w:tcPr>
          <w:p w14:paraId="0FA23D5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920</w:t>
            </w:r>
          </w:p>
        </w:tc>
        <w:tc>
          <w:tcPr>
            <w:tcW w:w="1162" w:type="dxa"/>
            <w:noWrap/>
            <w:vAlign w:val="center"/>
            <w:hideMark/>
          </w:tcPr>
          <w:p w14:paraId="5E16FE1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926</w:t>
            </w:r>
          </w:p>
        </w:tc>
        <w:tc>
          <w:tcPr>
            <w:tcW w:w="1162" w:type="dxa"/>
            <w:noWrap/>
            <w:vAlign w:val="center"/>
            <w:hideMark/>
          </w:tcPr>
          <w:p w14:paraId="331F15B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933</w:t>
            </w:r>
          </w:p>
        </w:tc>
        <w:tc>
          <w:tcPr>
            <w:tcW w:w="1162" w:type="dxa"/>
            <w:noWrap/>
            <w:vAlign w:val="center"/>
            <w:hideMark/>
          </w:tcPr>
          <w:p w14:paraId="4A9016D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928" w:type="dxa"/>
            <w:noWrap/>
            <w:vAlign w:val="center"/>
            <w:hideMark/>
          </w:tcPr>
          <w:p w14:paraId="14CA2E4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1A5E520" w14:textId="77777777" w:rsidTr="00525008">
        <w:trPr>
          <w:trHeight w:val="60"/>
        </w:trPr>
        <w:tc>
          <w:tcPr>
            <w:tcW w:w="2269" w:type="dxa"/>
            <w:noWrap/>
            <w:vAlign w:val="center"/>
            <w:hideMark/>
          </w:tcPr>
          <w:p w14:paraId="29003C1B"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914</w:t>
            </w:r>
          </w:p>
        </w:tc>
        <w:tc>
          <w:tcPr>
            <w:tcW w:w="1162" w:type="dxa"/>
            <w:noWrap/>
            <w:vAlign w:val="center"/>
            <w:hideMark/>
          </w:tcPr>
          <w:p w14:paraId="090EB21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920</w:t>
            </w:r>
          </w:p>
        </w:tc>
        <w:tc>
          <w:tcPr>
            <w:tcW w:w="1162" w:type="dxa"/>
            <w:noWrap/>
            <w:vAlign w:val="center"/>
            <w:hideMark/>
          </w:tcPr>
          <w:p w14:paraId="13D33E3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927</w:t>
            </w:r>
          </w:p>
        </w:tc>
        <w:tc>
          <w:tcPr>
            <w:tcW w:w="1162" w:type="dxa"/>
            <w:noWrap/>
            <w:vAlign w:val="center"/>
            <w:hideMark/>
          </w:tcPr>
          <w:p w14:paraId="2A06118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933</w:t>
            </w:r>
          </w:p>
        </w:tc>
        <w:tc>
          <w:tcPr>
            <w:tcW w:w="1162" w:type="dxa"/>
            <w:noWrap/>
            <w:vAlign w:val="center"/>
            <w:hideMark/>
          </w:tcPr>
          <w:p w14:paraId="45DC450F"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928" w:type="dxa"/>
            <w:noWrap/>
            <w:vAlign w:val="center"/>
            <w:hideMark/>
          </w:tcPr>
          <w:p w14:paraId="2E522D7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762EE2EF" w14:textId="77777777" w:rsidTr="00525008">
        <w:trPr>
          <w:trHeight w:val="60"/>
        </w:trPr>
        <w:tc>
          <w:tcPr>
            <w:tcW w:w="2269" w:type="dxa"/>
            <w:noWrap/>
            <w:vAlign w:val="center"/>
            <w:hideMark/>
          </w:tcPr>
          <w:p w14:paraId="7453C261"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915</w:t>
            </w:r>
          </w:p>
        </w:tc>
        <w:tc>
          <w:tcPr>
            <w:tcW w:w="1162" w:type="dxa"/>
            <w:noWrap/>
            <w:vAlign w:val="center"/>
            <w:hideMark/>
          </w:tcPr>
          <w:p w14:paraId="4C55079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921</w:t>
            </w:r>
          </w:p>
        </w:tc>
        <w:tc>
          <w:tcPr>
            <w:tcW w:w="1162" w:type="dxa"/>
            <w:noWrap/>
            <w:vAlign w:val="center"/>
            <w:hideMark/>
          </w:tcPr>
          <w:p w14:paraId="750FF0C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927</w:t>
            </w:r>
          </w:p>
        </w:tc>
        <w:tc>
          <w:tcPr>
            <w:tcW w:w="1162" w:type="dxa"/>
            <w:noWrap/>
            <w:vAlign w:val="center"/>
            <w:hideMark/>
          </w:tcPr>
          <w:p w14:paraId="7F942D5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934</w:t>
            </w:r>
          </w:p>
        </w:tc>
        <w:tc>
          <w:tcPr>
            <w:tcW w:w="1162" w:type="dxa"/>
            <w:noWrap/>
            <w:vAlign w:val="center"/>
            <w:hideMark/>
          </w:tcPr>
          <w:p w14:paraId="729BA3E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928" w:type="dxa"/>
            <w:noWrap/>
            <w:vAlign w:val="center"/>
            <w:hideMark/>
          </w:tcPr>
          <w:p w14:paraId="57EB3A7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60021416" w14:textId="77777777" w:rsidTr="00525008">
        <w:trPr>
          <w:trHeight w:val="60"/>
        </w:trPr>
        <w:tc>
          <w:tcPr>
            <w:tcW w:w="2269" w:type="dxa"/>
            <w:noWrap/>
            <w:vAlign w:val="center"/>
            <w:hideMark/>
          </w:tcPr>
          <w:p w14:paraId="7FC4E6C1"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916</w:t>
            </w:r>
          </w:p>
        </w:tc>
        <w:tc>
          <w:tcPr>
            <w:tcW w:w="1162" w:type="dxa"/>
            <w:noWrap/>
            <w:vAlign w:val="center"/>
            <w:hideMark/>
          </w:tcPr>
          <w:p w14:paraId="3FD564B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922</w:t>
            </w:r>
          </w:p>
        </w:tc>
        <w:tc>
          <w:tcPr>
            <w:tcW w:w="1162" w:type="dxa"/>
            <w:noWrap/>
            <w:vAlign w:val="center"/>
            <w:hideMark/>
          </w:tcPr>
          <w:p w14:paraId="78866C6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928</w:t>
            </w:r>
          </w:p>
        </w:tc>
        <w:tc>
          <w:tcPr>
            <w:tcW w:w="1162" w:type="dxa"/>
            <w:noWrap/>
            <w:vAlign w:val="center"/>
            <w:hideMark/>
          </w:tcPr>
          <w:p w14:paraId="57FA22D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934</w:t>
            </w:r>
          </w:p>
        </w:tc>
        <w:tc>
          <w:tcPr>
            <w:tcW w:w="1162" w:type="dxa"/>
            <w:noWrap/>
            <w:vAlign w:val="center"/>
            <w:hideMark/>
          </w:tcPr>
          <w:p w14:paraId="321716D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928" w:type="dxa"/>
            <w:noWrap/>
            <w:vAlign w:val="center"/>
            <w:hideMark/>
          </w:tcPr>
          <w:p w14:paraId="3AD3878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5576C7AA" w14:textId="77777777" w:rsidTr="00525008">
        <w:trPr>
          <w:trHeight w:val="60"/>
        </w:trPr>
        <w:tc>
          <w:tcPr>
            <w:tcW w:w="2269" w:type="dxa"/>
            <w:noWrap/>
            <w:vAlign w:val="center"/>
            <w:hideMark/>
          </w:tcPr>
          <w:p w14:paraId="4AC980FC"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917</w:t>
            </w:r>
          </w:p>
        </w:tc>
        <w:tc>
          <w:tcPr>
            <w:tcW w:w="1162" w:type="dxa"/>
            <w:noWrap/>
            <w:vAlign w:val="center"/>
            <w:hideMark/>
          </w:tcPr>
          <w:p w14:paraId="2F661A1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923</w:t>
            </w:r>
          </w:p>
        </w:tc>
        <w:tc>
          <w:tcPr>
            <w:tcW w:w="1162" w:type="dxa"/>
            <w:noWrap/>
            <w:vAlign w:val="center"/>
            <w:hideMark/>
          </w:tcPr>
          <w:p w14:paraId="7B03B65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929</w:t>
            </w:r>
          </w:p>
        </w:tc>
        <w:tc>
          <w:tcPr>
            <w:tcW w:w="1162" w:type="dxa"/>
            <w:noWrap/>
            <w:vAlign w:val="center"/>
            <w:hideMark/>
          </w:tcPr>
          <w:p w14:paraId="5876836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934</w:t>
            </w:r>
          </w:p>
        </w:tc>
        <w:tc>
          <w:tcPr>
            <w:tcW w:w="1162" w:type="dxa"/>
            <w:noWrap/>
            <w:vAlign w:val="center"/>
            <w:hideMark/>
          </w:tcPr>
          <w:p w14:paraId="559C5DB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928" w:type="dxa"/>
            <w:noWrap/>
            <w:vAlign w:val="center"/>
            <w:hideMark/>
          </w:tcPr>
          <w:p w14:paraId="6AC2FD2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9FF18BF" w14:textId="77777777" w:rsidTr="00525008">
        <w:trPr>
          <w:trHeight w:val="60"/>
        </w:trPr>
        <w:tc>
          <w:tcPr>
            <w:tcW w:w="2269" w:type="dxa"/>
            <w:noWrap/>
            <w:vAlign w:val="center"/>
            <w:hideMark/>
          </w:tcPr>
          <w:p w14:paraId="48D6A052"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918</w:t>
            </w:r>
          </w:p>
        </w:tc>
        <w:tc>
          <w:tcPr>
            <w:tcW w:w="1162" w:type="dxa"/>
            <w:noWrap/>
            <w:vAlign w:val="center"/>
            <w:hideMark/>
          </w:tcPr>
          <w:p w14:paraId="6CD1424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924</w:t>
            </w:r>
          </w:p>
        </w:tc>
        <w:tc>
          <w:tcPr>
            <w:tcW w:w="1162" w:type="dxa"/>
            <w:noWrap/>
            <w:vAlign w:val="center"/>
            <w:hideMark/>
          </w:tcPr>
          <w:p w14:paraId="32E88B7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929</w:t>
            </w:r>
          </w:p>
        </w:tc>
        <w:tc>
          <w:tcPr>
            <w:tcW w:w="1162" w:type="dxa"/>
            <w:noWrap/>
            <w:vAlign w:val="center"/>
            <w:hideMark/>
          </w:tcPr>
          <w:p w14:paraId="1E3C114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935</w:t>
            </w:r>
          </w:p>
        </w:tc>
        <w:tc>
          <w:tcPr>
            <w:tcW w:w="1162" w:type="dxa"/>
            <w:noWrap/>
            <w:vAlign w:val="center"/>
            <w:hideMark/>
          </w:tcPr>
          <w:p w14:paraId="016EB21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928" w:type="dxa"/>
            <w:noWrap/>
            <w:vAlign w:val="center"/>
            <w:hideMark/>
          </w:tcPr>
          <w:p w14:paraId="0EB3278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648739C" w14:textId="77777777" w:rsidTr="00525008">
        <w:trPr>
          <w:trHeight w:val="60"/>
        </w:trPr>
        <w:tc>
          <w:tcPr>
            <w:tcW w:w="2269" w:type="dxa"/>
            <w:noWrap/>
            <w:vAlign w:val="center"/>
            <w:hideMark/>
          </w:tcPr>
          <w:p w14:paraId="1A64FBB1"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919</w:t>
            </w:r>
          </w:p>
        </w:tc>
        <w:tc>
          <w:tcPr>
            <w:tcW w:w="1162" w:type="dxa"/>
            <w:noWrap/>
            <w:vAlign w:val="center"/>
            <w:hideMark/>
          </w:tcPr>
          <w:p w14:paraId="2F187C2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924</w:t>
            </w:r>
          </w:p>
        </w:tc>
        <w:tc>
          <w:tcPr>
            <w:tcW w:w="1162" w:type="dxa"/>
            <w:noWrap/>
            <w:vAlign w:val="center"/>
            <w:hideMark/>
          </w:tcPr>
          <w:p w14:paraId="595F7A8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930</w:t>
            </w:r>
          </w:p>
        </w:tc>
        <w:tc>
          <w:tcPr>
            <w:tcW w:w="1162" w:type="dxa"/>
            <w:noWrap/>
            <w:vAlign w:val="center"/>
            <w:hideMark/>
          </w:tcPr>
          <w:p w14:paraId="3EECA8D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935</w:t>
            </w:r>
          </w:p>
        </w:tc>
        <w:tc>
          <w:tcPr>
            <w:tcW w:w="1162" w:type="dxa"/>
            <w:noWrap/>
            <w:vAlign w:val="center"/>
            <w:hideMark/>
          </w:tcPr>
          <w:p w14:paraId="1816BBD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941</w:t>
            </w:r>
          </w:p>
        </w:tc>
        <w:tc>
          <w:tcPr>
            <w:tcW w:w="928" w:type="dxa"/>
            <w:noWrap/>
            <w:vAlign w:val="center"/>
            <w:hideMark/>
          </w:tcPr>
          <w:p w14:paraId="3B31F31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379FBF34" w14:textId="77777777" w:rsidTr="00525008">
        <w:trPr>
          <w:trHeight w:val="60"/>
        </w:trPr>
        <w:tc>
          <w:tcPr>
            <w:tcW w:w="2269" w:type="dxa"/>
            <w:noWrap/>
            <w:vAlign w:val="center"/>
            <w:hideMark/>
          </w:tcPr>
          <w:p w14:paraId="2487D382"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920</w:t>
            </w:r>
          </w:p>
        </w:tc>
        <w:tc>
          <w:tcPr>
            <w:tcW w:w="1162" w:type="dxa"/>
            <w:noWrap/>
            <w:vAlign w:val="center"/>
            <w:hideMark/>
          </w:tcPr>
          <w:p w14:paraId="09C9DFA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925</w:t>
            </w:r>
          </w:p>
        </w:tc>
        <w:tc>
          <w:tcPr>
            <w:tcW w:w="1162" w:type="dxa"/>
            <w:noWrap/>
            <w:vAlign w:val="center"/>
            <w:hideMark/>
          </w:tcPr>
          <w:p w14:paraId="20967AD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930</w:t>
            </w:r>
          </w:p>
        </w:tc>
        <w:tc>
          <w:tcPr>
            <w:tcW w:w="1162" w:type="dxa"/>
            <w:noWrap/>
            <w:vAlign w:val="center"/>
            <w:hideMark/>
          </w:tcPr>
          <w:p w14:paraId="47F43EA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0014B31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941</w:t>
            </w:r>
          </w:p>
        </w:tc>
        <w:tc>
          <w:tcPr>
            <w:tcW w:w="928" w:type="dxa"/>
            <w:noWrap/>
            <w:vAlign w:val="center"/>
            <w:hideMark/>
          </w:tcPr>
          <w:p w14:paraId="352716B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38427C22" w14:textId="77777777" w:rsidTr="00525008">
        <w:trPr>
          <w:trHeight w:val="60"/>
        </w:trPr>
        <w:tc>
          <w:tcPr>
            <w:tcW w:w="2269" w:type="dxa"/>
            <w:noWrap/>
            <w:vAlign w:val="center"/>
            <w:hideMark/>
          </w:tcPr>
          <w:p w14:paraId="06770902"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921</w:t>
            </w:r>
          </w:p>
        </w:tc>
        <w:tc>
          <w:tcPr>
            <w:tcW w:w="1162" w:type="dxa"/>
            <w:noWrap/>
            <w:vAlign w:val="center"/>
            <w:hideMark/>
          </w:tcPr>
          <w:p w14:paraId="1FA1406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926</w:t>
            </w:r>
          </w:p>
        </w:tc>
        <w:tc>
          <w:tcPr>
            <w:tcW w:w="1162" w:type="dxa"/>
            <w:noWrap/>
            <w:vAlign w:val="center"/>
            <w:hideMark/>
          </w:tcPr>
          <w:p w14:paraId="0830B5D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931</w:t>
            </w:r>
          </w:p>
        </w:tc>
        <w:tc>
          <w:tcPr>
            <w:tcW w:w="1162" w:type="dxa"/>
            <w:noWrap/>
            <w:vAlign w:val="center"/>
            <w:hideMark/>
          </w:tcPr>
          <w:p w14:paraId="4FBCCDB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192C28A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941</w:t>
            </w:r>
          </w:p>
        </w:tc>
        <w:tc>
          <w:tcPr>
            <w:tcW w:w="928" w:type="dxa"/>
            <w:noWrap/>
            <w:vAlign w:val="center"/>
            <w:hideMark/>
          </w:tcPr>
          <w:p w14:paraId="4E1FE28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52F72FAA" w14:textId="77777777" w:rsidTr="00525008">
        <w:trPr>
          <w:trHeight w:val="60"/>
        </w:trPr>
        <w:tc>
          <w:tcPr>
            <w:tcW w:w="2269" w:type="dxa"/>
            <w:noWrap/>
            <w:vAlign w:val="center"/>
            <w:hideMark/>
          </w:tcPr>
          <w:p w14:paraId="69A10070"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922</w:t>
            </w:r>
          </w:p>
        </w:tc>
        <w:tc>
          <w:tcPr>
            <w:tcW w:w="1162" w:type="dxa"/>
            <w:noWrap/>
            <w:vAlign w:val="center"/>
            <w:hideMark/>
          </w:tcPr>
          <w:p w14:paraId="609AAB9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927</w:t>
            </w:r>
          </w:p>
        </w:tc>
        <w:tc>
          <w:tcPr>
            <w:tcW w:w="1162" w:type="dxa"/>
            <w:noWrap/>
            <w:vAlign w:val="center"/>
            <w:hideMark/>
          </w:tcPr>
          <w:p w14:paraId="28B5B71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5E3CE0A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6082C8C5"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941</w:t>
            </w:r>
          </w:p>
        </w:tc>
        <w:tc>
          <w:tcPr>
            <w:tcW w:w="928" w:type="dxa"/>
            <w:noWrap/>
            <w:vAlign w:val="center"/>
            <w:hideMark/>
          </w:tcPr>
          <w:p w14:paraId="145D1B9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6327BD2" w14:textId="77777777" w:rsidTr="00525008">
        <w:trPr>
          <w:trHeight w:val="60"/>
        </w:trPr>
        <w:tc>
          <w:tcPr>
            <w:tcW w:w="2269" w:type="dxa"/>
            <w:noWrap/>
            <w:vAlign w:val="center"/>
            <w:hideMark/>
          </w:tcPr>
          <w:p w14:paraId="6FEC6A1E"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923</w:t>
            </w:r>
          </w:p>
        </w:tc>
        <w:tc>
          <w:tcPr>
            <w:tcW w:w="1162" w:type="dxa"/>
            <w:noWrap/>
            <w:vAlign w:val="center"/>
            <w:hideMark/>
          </w:tcPr>
          <w:p w14:paraId="5BAFE72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928</w:t>
            </w:r>
          </w:p>
        </w:tc>
        <w:tc>
          <w:tcPr>
            <w:tcW w:w="1162" w:type="dxa"/>
            <w:noWrap/>
            <w:vAlign w:val="center"/>
            <w:hideMark/>
          </w:tcPr>
          <w:p w14:paraId="064480F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0D135DF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1162" w:type="dxa"/>
            <w:noWrap/>
            <w:vAlign w:val="center"/>
            <w:hideMark/>
          </w:tcPr>
          <w:p w14:paraId="3B0994D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941</w:t>
            </w:r>
          </w:p>
        </w:tc>
        <w:tc>
          <w:tcPr>
            <w:tcW w:w="928" w:type="dxa"/>
            <w:noWrap/>
            <w:vAlign w:val="center"/>
            <w:hideMark/>
          </w:tcPr>
          <w:p w14:paraId="799FE57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16FBCC2C" w14:textId="77777777" w:rsidTr="00525008">
        <w:trPr>
          <w:trHeight w:val="60"/>
        </w:trPr>
        <w:tc>
          <w:tcPr>
            <w:tcW w:w="2269" w:type="dxa"/>
            <w:noWrap/>
            <w:vAlign w:val="center"/>
            <w:hideMark/>
          </w:tcPr>
          <w:p w14:paraId="59C4D153"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924</w:t>
            </w:r>
          </w:p>
        </w:tc>
        <w:tc>
          <w:tcPr>
            <w:tcW w:w="1162" w:type="dxa"/>
            <w:noWrap/>
            <w:vAlign w:val="center"/>
            <w:hideMark/>
          </w:tcPr>
          <w:p w14:paraId="6E9F332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928</w:t>
            </w:r>
          </w:p>
        </w:tc>
        <w:tc>
          <w:tcPr>
            <w:tcW w:w="1162" w:type="dxa"/>
            <w:noWrap/>
            <w:vAlign w:val="center"/>
            <w:hideMark/>
          </w:tcPr>
          <w:p w14:paraId="6C7AE68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933</w:t>
            </w:r>
          </w:p>
        </w:tc>
        <w:tc>
          <w:tcPr>
            <w:tcW w:w="1162" w:type="dxa"/>
            <w:noWrap/>
            <w:vAlign w:val="center"/>
            <w:hideMark/>
          </w:tcPr>
          <w:p w14:paraId="41EB27F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1162" w:type="dxa"/>
            <w:noWrap/>
            <w:vAlign w:val="center"/>
            <w:hideMark/>
          </w:tcPr>
          <w:p w14:paraId="7568A42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928" w:type="dxa"/>
            <w:noWrap/>
            <w:vAlign w:val="center"/>
            <w:hideMark/>
          </w:tcPr>
          <w:p w14:paraId="4A6EC80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10E140C4" w14:textId="77777777" w:rsidTr="00525008">
        <w:trPr>
          <w:trHeight w:val="60"/>
        </w:trPr>
        <w:tc>
          <w:tcPr>
            <w:tcW w:w="2269" w:type="dxa"/>
            <w:noWrap/>
            <w:vAlign w:val="center"/>
            <w:hideMark/>
          </w:tcPr>
          <w:p w14:paraId="54D4667C"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925</w:t>
            </w:r>
          </w:p>
        </w:tc>
        <w:tc>
          <w:tcPr>
            <w:tcW w:w="1162" w:type="dxa"/>
            <w:noWrap/>
            <w:vAlign w:val="center"/>
            <w:hideMark/>
          </w:tcPr>
          <w:p w14:paraId="736C8D3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929</w:t>
            </w:r>
          </w:p>
        </w:tc>
        <w:tc>
          <w:tcPr>
            <w:tcW w:w="1162" w:type="dxa"/>
            <w:noWrap/>
            <w:vAlign w:val="center"/>
            <w:hideMark/>
          </w:tcPr>
          <w:p w14:paraId="267285F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933</w:t>
            </w:r>
          </w:p>
        </w:tc>
        <w:tc>
          <w:tcPr>
            <w:tcW w:w="1162" w:type="dxa"/>
            <w:noWrap/>
            <w:vAlign w:val="center"/>
            <w:hideMark/>
          </w:tcPr>
          <w:p w14:paraId="12895E4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1162" w:type="dxa"/>
            <w:noWrap/>
            <w:vAlign w:val="center"/>
            <w:hideMark/>
          </w:tcPr>
          <w:p w14:paraId="3AF2503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928" w:type="dxa"/>
            <w:noWrap/>
            <w:vAlign w:val="center"/>
            <w:hideMark/>
          </w:tcPr>
          <w:p w14:paraId="7CFCFF7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749A6DCB" w14:textId="77777777" w:rsidTr="00525008">
        <w:trPr>
          <w:trHeight w:val="60"/>
        </w:trPr>
        <w:tc>
          <w:tcPr>
            <w:tcW w:w="2269" w:type="dxa"/>
            <w:noWrap/>
            <w:vAlign w:val="center"/>
            <w:hideMark/>
          </w:tcPr>
          <w:p w14:paraId="2C7E4C16"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926</w:t>
            </w:r>
          </w:p>
        </w:tc>
        <w:tc>
          <w:tcPr>
            <w:tcW w:w="1162" w:type="dxa"/>
            <w:noWrap/>
            <w:vAlign w:val="center"/>
            <w:hideMark/>
          </w:tcPr>
          <w:p w14:paraId="0439BA4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930</w:t>
            </w:r>
          </w:p>
        </w:tc>
        <w:tc>
          <w:tcPr>
            <w:tcW w:w="1162" w:type="dxa"/>
            <w:noWrap/>
            <w:vAlign w:val="center"/>
            <w:hideMark/>
          </w:tcPr>
          <w:p w14:paraId="35AB871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934</w:t>
            </w:r>
          </w:p>
        </w:tc>
        <w:tc>
          <w:tcPr>
            <w:tcW w:w="1162" w:type="dxa"/>
            <w:noWrap/>
            <w:vAlign w:val="center"/>
            <w:hideMark/>
          </w:tcPr>
          <w:p w14:paraId="106B372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1162" w:type="dxa"/>
            <w:noWrap/>
            <w:vAlign w:val="center"/>
            <w:hideMark/>
          </w:tcPr>
          <w:p w14:paraId="7C2FC84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928" w:type="dxa"/>
            <w:noWrap/>
            <w:vAlign w:val="center"/>
            <w:hideMark/>
          </w:tcPr>
          <w:p w14:paraId="5023485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66279B5C" w14:textId="77777777" w:rsidTr="00525008">
        <w:trPr>
          <w:trHeight w:val="60"/>
        </w:trPr>
        <w:tc>
          <w:tcPr>
            <w:tcW w:w="2269" w:type="dxa"/>
            <w:noWrap/>
            <w:vAlign w:val="center"/>
            <w:hideMark/>
          </w:tcPr>
          <w:p w14:paraId="6372F630"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927</w:t>
            </w:r>
          </w:p>
        </w:tc>
        <w:tc>
          <w:tcPr>
            <w:tcW w:w="1162" w:type="dxa"/>
            <w:noWrap/>
            <w:vAlign w:val="center"/>
            <w:hideMark/>
          </w:tcPr>
          <w:p w14:paraId="4C5B699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931</w:t>
            </w:r>
          </w:p>
        </w:tc>
        <w:tc>
          <w:tcPr>
            <w:tcW w:w="1162" w:type="dxa"/>
            <w:noWrap/>
            <w:vAlign w:val="center"/>
            <w:hideMark/>
          </w:tcPr>
          <w:p w14:paraId="69EE19F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935</w:t>
            </w:r>
          </w:p>
        </w:tc>
        <w:tc>
          <w:tcPr>
            <w:tcW w:w="1162" w:type="dxa"/>
            <w:noWrap/>
            <w:vAlign w:val="center"/>
            <w:hideMark/>
          </w:tcPr>
          <w:p w14:paraId="6E66482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1162" w:type="dxa"/>
            <w:noWrap/>
            <w:vAlign w:val="center"/>
            <w:hideMark/>
          </w:tcPr>
          <w:p w14:paraId="64EC02C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928" w:type="dxa"/>
            <w:noWrap/>
            <w:vAlign w:val="center"/>
            <w:hideMark/>
          </w:tcPr>
          <w:p w14:paraId="4D34302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4A21BB30" w14:textId="77777777" w:rsidTr="00525008">
        <w:trPr>
          <w:trHeight w:val="60"/>
        </w:trPr>
        <w:tc>
          <w:tcPr>
            <w:tcW w:w="2269" w:type="dxa"/>
            <w:noWrap/>
            <w:vAlign w:val="center"/>
            <w:hideMark/>
          </w:tcPr>
          <w:p w14:paraId="188000CD"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928</w:t>
            </w:r>
          </w:p>
        </w:tc>
        <w:tc>
          <w:tcPr>
            <w:tcW w:w="1162" w:type="dxa"/>
            <w:noWrap/>
            <w:vAlign w:val="center"/>
            <w:hideMark/>
          </w:tcPr>
          <w:p w14:paraId="01AB6CE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287E7945"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935</w:t>
            </w:r>
          </w:p>
        </w:tc>
        <w:tc>
          <w:tcPr>
            <w:tcW w:w="1162" w:type="dxa"/>
            <w:noWrap/>
            <w:vAlign w:val="center"/>
            <w:hideMark/>
          </w:tcPr>
          <w:p w14:paraId="16FF164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1162" w:type="dxa"/>
            <w:noWrap/>
            <w:vAlign w:val="center"/>
            <w:hideMark/>
          </w:tcPr>
          <w:p w14:paraId="530558F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928" w:type="dxa"/>
            <w:noWrap/>
            <w:vAlign w:val="center"/>
            <w:hideMark/>
          </w:tcPr>
          <w:p w14:paraId="0F339D2F"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55AF9AA9" w14:textId="77777777" w:rsidTr="00525008">
        <w:trPr>
          <w:trHeight w:val="60"/>
        </w:trPr>
        <w:tc>
          <w:tcPr>
            <w:tcW w:w="2269" w:type="dxa"/>
            <w:noWrap/>
            <w:vAlign w:val="center"/>
            <w:hideMark/>
          </w:tcPr>
          <w:p w14:paraId="0B16F33D"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929</w:t>
            </w:r>
          </w:p>
        </w:tc>
        <w:tc>
          <w:tcPr>
            <w:tcW w:w="1162" w:type="dxa"/>
            <w:noWrap/>
            <w:vAlign w:val="center"/>
            <w:hideMark/>
          </w:tcPr>
          <w:p w14:paraId="0A7E13A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21C397E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67A723E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1162" w:type="dxa"/>
            <w:shd w:val="clear" w:color="auto" w:fill="FFFF00"/>
            <w:noWrap/>
            <w:vAlign w:val="center"/>
            <w:hideMark/>
          </w:tcPr>
          <w:p w14:paraId="121A1EFB"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928" w:type="dxa"/>
            <w:noWrap/>
            <w:vAlign w:val="center"/>
            <w:hideMark/>
          </w:tcPr>
          <w:p w14:paraId="0F233B8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50A61591" w14:textId="77777777" w:rsidTr="00525008">
        <w:trPr>
          <w:trHeight w:val="60"/>
        </w:trPr>
        <w:tc>
          <w:tcPr>
            <w:tcW w:w="2269" w:type="dxa"/>
            <w:noWrap/>
            <w:vAlign w:val="center"/>
            <w:hideMark/>
          </w:tcPr>
          <w:p w14:paraId="4CCD1F75"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930</w:t>
            </w:r>
          </w:p>
        </w:tc>
        <w:tc>
          <w:tcPr>
            <w:tcW w:w="1162" w:type="dxa"/>
            <w:noWrap/>
            <w:vAlign w:val="center"/>
            <w:hideMark/>
          </w:tcPr>
          <w:p w14:paraId="743CB21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933</w:t>
            </w:r>
          </w:p>
        </w:tc>
        <w:tc>
          <w:tcPr>
            <w:tcW w:w="1162" w:type="dxa"/>
            <w:noWrap/>
            <w:vAlign w:val="center"/>
            <w:hideMark/>
          </w:tcPr>
          <w:p w14:paraId="57889CA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2EEEA86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1162" w:type="dxa"/>
            <w:shd w:val="clear" w:color="auto" w:fill="FFFF00"/>
            <w:noWrap/>
            <w:vAlign w:val="center"/>
            <w:hideMark/>
          </w:tcPr>
          <w:p w14:paraId="14BE78CB"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928" w:type="dxa"/>
            <w:noWrap/>
            <w:vAlign w:val="center"/>
            <w:hideMark/>
          </w:tcPr>
          <w:p w14:paraId="6A2CB845"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5DAA8850" w14:textId="77777777" w:rsidTr="00525008">
        <w:trPr>
          <w:trHeight w:val="60"/>
        </w:trPr>
        <w:tc>
          <w:tcPr>
            <w:tcW w:w="2269" w:type="dxa"/>
            <w:noWrap/>
            <w:vAlign w:val="center"/>
            <w:hideMark/>
          </w:tcPr>
          <w:p w14:paraId="0E96481A"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931</w:t>
            </w:r>
          </w:p>
        </w:tc>
        <w:tc>
          <w:tcPr>
            <w:tcW w:w="1162" w:type="dxa"/>
            <w:noWrap/>
            <w:vAlign w:val="center"/>
            <w:hideMark/>
          </w:tcPr>
          <w:p w14:paraId="3658BA8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934</w:t>
            </w:r>
          </w:p>
        </w:tc>
        <w:tc>
          <w:tcPr>
            <w:tcW w:w="1162" w:type="dxa"/>
            <w:noWrap/>
            <w:vAlign w:val="center"/>
            <w:hideMark/>
          </w:tcPr>
          <w:p w14:paraId="04F99A6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1162" w:type="dxa"/>
            <w:noWrap/>
            <w:vAlign w:val="center"/>
            <w:hideMark/>
          </w:tcPr>
          <w:p w14:paraId="76A5197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1162" w:type="dxa"/>
            <w:shd w:val="clear" w:color="auto" w:fill="FFFF00"/>
            <w:noWrap/>
            <w:vAlign w:val="center"/>
            <w:hideMark/>
          </w:tcPr>
          <w:p w14:paraId="36CEBEFA"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928" w:type="dxa"/>
            <w:noWrap/>
            <w:vAlign w:val="center"/>
            <w:hideMark/>
          </w:tcPr>
          <w:p w14:paraId="34814115"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43BF56EF" w14:textId="77777777" w:rsidTr="00525008">
        <w:trPr>
          <w:trHeight w:val="60"/>
        </w:trPr>
        <w:tc>
          <w:tcPr>
            <w:tcW w:w="2269" w:type="dxa"/>
            <w:noWrap/>
            <w:vAlign w:val="center"/>
            <w:hideMark/>
          </w:tcPr>
          <w:p w14:paraId="723C3C0D"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932</w:t>
            </w:r>
          </w:p>
        </w:tc>
        <w:tc>
          <w:tcPr>
            <w:tcW w:w="1162" w:type="dxa"/>
            <w:noWrap/>
            <w:vAlign w:val="center"/>
            <w:hideMark/>
          </w:tcPr>
          <w:p w14:paraId="0BD8BA8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935</w:t>
            </w:r>
          </w:p>
        </w:tc>
        <w:tc>
          <w:tcPr>
            <w:tcW w:w="1162" w:type="dxa"/>
            <w:noWrap/>
            <w:vAlign w:val="center"/>
            <w:hideMark/>
          </w:tcPr>
          <w:p w14:paraId="1477C36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1162" w:type="dxa"/>
            <w:noWrap/>
            <w:vAlign w:val="center"/>
            <w:hideMark/>
          </w:tcPr>
          <w:p w14:paraId="5190066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1162" w:type="dxa"/>
            <w:shd w:val="clear" w:color="auto" w:fill="FFFF00"/>
            <w:noWrap/>
            <w:vAlign w:val="center"/>
            <w:hideMark/>
          </w:tcPr>
          <w:p w14:paraId="1D52A245"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928" w:type="dxa"/>
            <w:noWrap/>
            <w:vAlign w:val="center"/>
            <w:hideMark/>
          </w:tcPr>
          <w:p w14:paraId="0627E66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05C38CA" w14:textId="77777777" w:rsidTr="00525008">
        <w:trPr>
          <w:trHeight w:val="60"/>
        </w:trPr>
        <w:tc>
          <w:tcPr>
            <w:tcW w:w="2269" w:type="dxa"/>
            <w:noWrap/>
            <w:vAlign w:val="center"/>
            <w:hideMark/>
          </w:tcPr>
          <w:p w14:paraId="1E76F448"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933</w:t>
            </w:r>
          </w:p>
        </w:tc>
        <w:tc>
          <w:tcPr>
            <w:tcW w:w="1162" w:type="dxa"/>
            <w:noWrap/>
            <w:vAlign w:val="center"/>
            <w:hideMark/>
          </w:tcPr>
          <w:p w14:paraId="54861F6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386ED96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1162" w:type="dxa"/>
            <w:noWrap/>
            <w:vAlign w:val="center"/>
            <w:hideMark/>
          </w:tcPr>
          <w:p w14:paraId="0F97265A"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941</w:t>
            </w:r>
          </w:p>
        </w:tc>
        <w:tc>
          <w:tcPr>
            <w:tcW w:w="1162" w:type="dxa"/>
            <w:shd w:val="clear" w:color="auto" w:fill="FFFF00"/>
            <w:noWrap/>
            <w:vAlign w:val="center"/>
            <w:hideMark/>
          </w:tcPr>
          <w:p w14:paraId="34A70DAF"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928" w:type="dxa"/>
            <w:noWrap/>
            <w:vAlign w:val="center"/>
            <w:hideMark/>
          </w:tcPr>
          <w:p w14:paraId="07C4B4E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6230E692" w14:textId="77777777" w:rsidTr="00525008">
        <w:trPr>
          <w:trHeight w:val="60"/>
        </w:trPr>
        <w:tc>
          <w:tcPr>
            <w:tcW w:w="2269" w:type="dxa"/>
            <w:noWrap/>
            <w:vAlign w:val="center"/>
            <w:hideMark/>
          </w:tcPr>
          <w:p w14:paraId="0CFB6C70"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934</w:t>
            </w:r>
          </w:p>
        </w:tc>
        <w:tc>
          <w:tcPr>
            <w:tcW w:w="1162" w:type="dxa"/>
            <w:noWrap/>
            <w:vAlign w:val="center"/>
            <w:hideMark/>
          </w:tcPr>
          <w:p w14:paraId="247BAA0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3735AD60"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1162" w:type="dxa"/>
            <w:noWrap/>
            <w:vAlign w:val="center"/>
            <w:hideMark/>
          </w:tcPr>
          <w:p w14:paraId="2148FA8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941</w:t>
            </w:r>
          </w:p>
        </w:tc>
        <w:tc>
          <w:tcPr>
            <w:tcW w:w="1162" w:type="dxa"/>
            <w:shd w:val="clear" w:color="auto" w:fill="FFFF00"/>
            <w:noWrap/>
            <w:vAlign w:val="center"/>
            <w:hideMark/>
          </w:tcPr>
          <w:p w14:paraId="07BF6E1A"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928" w:type="dxa"/>
            <w:noWrap/>
            <w:vAlign w:val="center"/>
            <w:hideMark/>
          </w:tcPr>
          <w:p w14:paraId="55EF8E3F"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312B2AB" w14:textId="77777777" w:rsidTr="00525008">
        <w:trPr>
          <w:trHeight w:val="60"/>
        </w:trPr>
        <w:tc>
          <w:tcPr>
            <w:tcW w:w="2269" w:type="dxa"/>
            <w:noWrap/>
            <w:vAlign w:val="center"/>
            <w:hideMark/>
          </w:tcPr>
          <w:p w14:paraId="090A4729"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935</w:t>
            </w:r>
          </w:p>
        </w:tc>
        <w:tc>
          <w:tcPr>
            <w:tcW w:w="1162" w:type="dxa"/>
            <w:noWrap/>
            <w:vAlign w:val="center"/>
            <w:hideMark/>
          </w:tcPr>
          <w:p w14:paraId="6A589462"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937</w:t>
            </w:r>
          </w:p>
        </w:tc>
        <w:tc>
          <w:tcPr>
            <w:tcW w:w="1162" w:type="dxa"/>
            <w:noWrap/>
            <w:vAlign w:val="center"/>
            <w:hideMark/>
          </w:tcPr>
          <w:p w14:paraId="63415F0C"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1162" w:type="dxa"/>
            <w:noWrap/>
            <w:vAlign w:val="center"/>
            <w:hideMark/>
          </w:tcPr>
          <w:p w14:paraId="5DE83B5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1162" w:type="dxa"/>
            <w:shd w:val="clear" w:color="auto" w:fill="FFFF00"/>
            <w:noWrap/>
            <w:vAlign w:val="center"/>
            <w:hideMark/>
          </w:tcPr>
          <w:p w14:paraId="3138FBE7"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928" w:type="dxa"/>
            <w:noWrap/>
            <w:vAlign w:val="center"/>
            <w:hideMark/>
          </w:tcPr>
          <w:p w14:paraId="7224A67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9793B13" w14:textId="77777777" w:rsidTr="00525008">
        <w:trPr>
          <w:trHeight w:val="60"/>
        </w:trPr>
        <w:tc>
          <w:tcPr>
            <w:tcW w:w="2269" w:type="dxa"/>
            <w:noWrap/>
            <w:vAlign w:val="center"/>
            <w:hideMark/>
          </w:tcPr>
          <w:p w14:paraId="7F5D0DC7"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936</w:t>
            </w:r>
          </w:p>
        </w:tc>
        <w:tc>
          <w:tcPr>
            <w:tcW w:w="1162" w:type="dxa"/>
            <w:noWrap/>
            <w:vAlign w:val="center"/>
            <w:hideMark/>
          </w:tcPr>
          <w:p w14:paraId="2FE68C53"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938</w:t>
            </w:r>
          </w:p>
        </w:tc>
        <w:tc>
          <w:tcPr>
            <w:tcW w:w="1162" w:type="dxa"/>
            <w:noWrap/>
            <w:vAlign w:val="center"/>
            <w:hideMark/>
          </w:tcPr>
          <w:p w14:paraId="3AA20E7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1162" w:type="dxa"/>
            <w:noWrap/>
            <w:vAlign w:val="center"/>
            <w:hideMark/>
          </w:tcPr>
          <w:p w14:paraId="7611BB8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1162" w:type="dxa"/>
            <w:shd w:val="clear" w:color="auto" w:fill="FFFF00"/>
            <w:noWrap/>
            <w:vAlign w:val="center"/>
            <w:hideMark/>
          </w:tcPr>
          <w:p w14:paraId="215505A3"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928" w:type="dxa"/>
            <w:noWrap/>
            <w:vAlign w:val="center"/>
            <w:hideMark/>
          </w:tcPr>
          <w:p w14:paraId="55C609F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E93D31C" w14:textId="77777777" w:rsidTr="00525008">
        <w:trPr>
          <w:trHeight w:val="60"/>
        </w:trPr>
        <w:tc>
          <w:tcPr>
            <w:tcW w:w="2269" w:type="dxa"/>
            <w:noWrap/>
            <w:vAlign w:val="center"/>
            <w:hideMark/>
          </w:tcPr>
          <w:p w14:paraId="2ADC026C"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937</w:t>
            </w:r>
          </w:p>
        </w:tc>
        <w:tc>
          <w:tcPr>
            <w:tcW w:w="1162" w:type="dxa"/>
            <w:noWrap/>
            <w:vAlign w:val="center"/>
            <w:hideMark/>
          </w:tcPr>
          <w:p w14:paraId="5555BDC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939</w:t>
            </w:r>
          </w:p>
        </w:tc>
        <w:tc>
          <w:tcPr>
            <w:tcW w:w="1162" w:type="dxa"/>
            <w:shd w:val="clear" w:color="auto" w:fill="FFFF00"/>
            <w:noWrap/>
            <w:vAlign w:val="center"/>
            <w:hideMark/>
          </w:tcPr>
          <w:p w14:paraId="555D6AC1"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941/EXIT</w:t>
            </w:r>
          </w:p>
        </w:tc>
        <w:tc>
          <w:tcPr>
            <w:tcW w:w="1162" w:type="dxa"/>
            <w:noWrap/>
            <w:vAlign w:val="center"/>
            <w:hideMark/>
          </w:tcPr>
          <w:p w14:paraId="7BD55F8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1162" w:type="dxa"/>
            <w:shd w:val="clear" w:color="auto" w:fill="FFFF00"/>
            <w:noWrap/>
            <w:vAlign w:val="center"/>
            <w:hideMark/>
          </w:tcPr>
          <w:p w14:paraId="43BFA493"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928" w:type="dxa"/>
            <w:noWrap/>
            <w:vAlign w:val="center"/>
            <w:hideMark/>
          </w:tcPr>
          <w:p w14:paraId="2A197B1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1178363" w14:textId="77777777" w:rsidTr="00525008">
        <w:trPr>
          <w:trHeight w:val="60"/>
        </w:trPr>
        <w:tc>
          <w:tcPr>
            <w:tcW w:w="2269" w:type="dxa"/>
            <w:noWrap/>
            <w:vAlign w:val="center"/>
            <w:hideMark/>
          </w:tcPr>
          <w:p w14:paraId="7816A406"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938</w:t>
            </w:r>
          </w:p>
        </w:tc>
        <w:tc>
          <w:tcPr>
            <w:tcW w:w="1162" w:type="dxa"/>
            <w:noWrap/>
            <w:vAlign w:val="center"/>
            <w:hideMark/>
          </w:tcPr>
          <w:p w14:paraId="179F65A1"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1162" w:type="dxa"/>
            <w:shd w:val="clear" w:color="auto" w:fill="FFFF00"/>
            <w:noWrap/>
            <w:vAlign w:val="center"/>
            <w:hideMark/>
          </w:tcPr>
          <w:p w14:paraId="590A973F"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941/EXIT</w:t>
            </w:r>
          </w:p>
        </w:tc>
        <w:tc>
          <w:tcPr>
            <w:tcW w:w="1162" w:type="dxa"/>
            <w:shd w:val="clear" w:color="auto" w:fill="FFFF00"/>
            <w:noWrap/>
            <w:vAlign w:val="center"/>
            <w:hideMark/>
          </w:tcPr>
          <w:p w14:paraId="065929DA"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1162" w:type="dxa"/>
            <w:shd w:val="clear" w:color="auto" w:fill="FFFF00"/>
            <w:noWrap/>
            <w:vAlign w:val="center"/>
            <w:hideMark/>
          </w:tcPr>
          <w:p w14:paraId="25A73B22"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928" w:type="dxa"/>
            <w:noWrap/>
            <w:vAlign w:val="center"/>
            <w:hideMark/>
          </w:tcPr>
          <w:p w14:paraId="1B943DE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4CC1DB5B" w14:textId="77777777" w:rsidTr="00525008">
        <w:trPr>
          <w:trHeight w:val="60"/>
        </w:trPr>
        <w:tc>
          <w:tcPr>
            <w:tcW w:w="2269" w:type="dxa"/>
            <w:noWrap/>
            <w:vAlign w:val="center"/>
            <w:hideMark/>
          </w:tcPr>
          <w:p w14:paraId="1E1836D9" w14:textId="086F344C"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939</w:t>
            </w:r>
          </w:p>
        </w:tc>
        <w:tc>
          <w:tcPr>
            <w:tcW w:w="1162" w:type="dxa"/>
            <w:noWrap/>
            <w:vAlign w:val="center"/>
            <w:hideMark/>
          </w:tcPr>
          <w:p w14:paraId="21FCDA0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940</w:t>
            </w:r>
          </w:p>
        </w:tc>
        <w:tc>
          <w:tcPr>
            <w:tcW w:w="1162" w:type="dxa"/>
            <w:shd w:val="clear" w:color="auto" w:fill="FFFF00"/>
            <w:noWrap/>
            <w:vAlign w:val="center"/>
            <w:hideMark/>
          </w:tcPr>
          <w:p w14:paraId="7C461FE7"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942/EXIT</w:t>
            </w:r>
          </w:p>
        </w:tc>
        <w:tc>
          <w:tcPr>
            <w:tcW w:w="1162" w:type="dxa"/>
            <w:shd w:val="clear" w:color="auto" w:fill="FFFF00"/>
            <w:noWrap/>
            <w:vAlign w:val="center"/>
            <w:hideMark/>
          </w:tcPr>
          <w:p w14:paraId="2942D270"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1162" w:type="dxa"/>
            <w:shd w:val="clear" w:color="auto" w:fill="FFFF00"/>
            <w:noWrap/>
            <w:vAlign w:val="center"/>
            <w:hideMark/>
          </w:tcPr>
          <w:p w14:paraId="038FCD5C"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928" w:type="dxa"/>
            <w:noWrap/>
            <w:vAlign w:val="center"/>
            <w:hideMark/>
          </w:tcPr>
          <w:p w14:paraId="3EC5FE8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38B5B4E6" w14:textId="77777777" w:rsidTr="00525008">
        <w:trPr>
          <w:trHeight w:val="60"/>
        </w:trPr>
        <w:tc>
          <w:tcPr>
            <w:tcW w:w="2269" w:type="dxa"/>
            <w:noWrap/>
            <w:vAlign w:val="center"/>
            <w:hideMark/>
          </w:tcPr>
          <w:p w14:paraId="4408FDE3"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940</w:t>
            </w:r>
          </w:p>
        </w:tc>
        <w:tc>
          <w:tcPr>
            <w:tcW w:w="1162" w:type="dxa"/>
            <w:shd w:val="clear" w:color="auto" w:fill="FFFF00"/>
            <w:noWrap/>
            <w:vAlign w:val="center"/>
            <w:hideMark/>
          </w:tcPr>
          <w:p w14:paraId="2800C06A"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941/EXIT</w:t>
            </w:r>
          </w:p>
        </w:tc>
        <w:tc>
          <w:tcPr>
            <w:tcW w:w="1162" w:type="dxa"/>
            <w:shd w:val="clear" w:color="auto" w:fill="FFFF00"/>
            <w:noWrap/>
            <w:vAlign w:val="center"/>
            <w:hideMark/>
          </w:tcPr>
          <w:p w14:paraId="3FE258E8"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942/EXIT</w:t>
            </w:r>
          </w:p>
        </w:tc>
        <w:tc>
          <w:tcPr>
            <w:tcW w:w="1162" w:type="dxa"/>
            <w:shd w:val="clear" w:color="auto" w:fill="FFFF00"/>
            <w:noWrap/>
            <w:vAlign w:val="center"/>
            <w:hideMark/>
          </w:tcPr>
          <w:p w14:paraId="6979912C"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1162" w:type="dxa"/>
            <w:shd w:val="clear" w:color="auto" w:fill="FFFF00"/>
            <w:noWrap/>
            <w:vAlign w:val="center"/>
            <w:hideMark/>
          </w:tcPr>
          <w:p w14:paraId="77C33D77"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928" w:type="dxa"/>
            <w:noWrap/>
            <w:vAlign w:val="center"/>
            <w:hideMark/>
          </w:tcPr>
          <w:p w14:paraId="181A016F"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43C0513" w14:textId="77777777" w:rsidTr="00525008">
        <w:trPr>
          <w:trHeight w:val="60"/>
        </w:trPr>
        <w:tc>
          <w:tcPr>
            <w:tcW w:w="2269" w:type="dxa"/>
            <w:noWrap/>
            <w:vAlign w:val="center"/>
            <w:hideMark/>
          </w:tcPr>
          <w:p w14:paraId="2DE9B086"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941</w:t>
            </w:r>
          </w:p>
        </w:tc>
        <w:tc>
          <w:tcPr>
            <w:tcW w:w="1162" w:type="dxa"/>
            <w:noWrap/>
            <w:vAlign w:val="center"/>
            <w:hideMark/>
          </w:tcPr>
          <w:p w14:paraId="7925DDC4"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942</w:t>
            </w:r>
          </w:p>
        </w:tc>
        <w:tc>
          <w:tcPr>
            <w:tcW w:w="1162" w:type="dxa"/>
            <w:shd w:val="clear" w:color="auto" w:fill="FFFF00"/>
            <w:noWrap/>
            <w:vAlign w:val="center"/>
            <w:hideMark/>
          </w:tcPr>
          <w:p w14:paraId="3CB9A748"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1162" w:type="dxa"/>
            <w:shd w:val="clear" w:color="auto" w:fill="FFFF00"/>
            <w:noWrap/>
            <w:vAlign w:val="center"/>
            <w:hideMark/>
          </w:tcPr>
          <w:p w14:paraId="39535165"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1162" w:type="dxa"/>
            <w:shd w:val="clear" w:color="auto" w:fill="FFFF00"/>
            <w:noWrap/>
            <w:vAlign w:val="center"/>
            <w:hideMark/>
          </w:tcPr>
          <w:p w14:paraId="4C665A2B"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928" w:type="dxa"/>
            <w:noWrap/>
            <w:vAlign w:val="center"/>
            <w:hideMark/>
          </w:tcPr>
          <w:p w14:paraId="0D9E129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0AA0BE7F" w14:textId="77777777" w:rsidTr="00525008">
        <w:trPr>
          <w:trHeight w:val="60"/>
        </w:trPr>
        <w:tc>
          <w:tcPr>
            <w:tcW w:w="2269" w:type="dxa"/>
            <w:noWrap/>
            <w:vAlign w:val="center"/>
            <w:hideMark/>
          </w:tcPr>
          <w:p w14:paraId="0D9B51B1"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942</w:t>
            </w:r>
          </w:p>
        </w:tc>
        <w:tc>
          <w:tcPr>
            <w:tcW w:w="1162" w:type="dxa"/>
            <w:shd w:val="clear" w:color="auto" w:fill="FFFF00"/>
            <w:noWrap/>
            <w:vAlign w:val="center"/>
            <w:hideMark/>
          </w:tcPr>
          <w:p w14:paraId="1A99B816"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943/EXIT</w:t>
            </w:r>
          </w:p>
        </w:tc>
        <w:tc>
          <w:tcPr>
            <w:tcW w:w="1162" w:type="dxa"/>
            <w:shd w:val="clear" w:color="auto" w:fill="FFFF00"/>
            <w:noWrap/>
            <w:vAlign w:val="center"/>
            <w:hideMark/>
          </w:tcPr>
          <w:p w14:paraId="1637F418"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1162" w:type="dxa"/>
            <w:shd w:val="clear" w:color="auto" w:fill="FFFF00"/>
            <w:noWrap/>
            <w:vAlign w:val="center"/>
            <w:hideMark/>
          </w:tcPr>
          <w:p w14:paraId="7B9BF6DC"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1162" w:type="dxa"/>
            <w:shd w:val="clear" w:color="auto" w:fill="FFFF00"/>
            <w:noWrap/>
            <w:vAlign w:val="center"/>
            <w:hideMark/>
          </w:tcPr>
          <w:p w14:paraId="295A5454"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928" w:type="dxa"/>
            <w:noWrap/>
            <w:vAlign w:val="center"/>
            <w:hideMark/>
          </w:tcPr>
          <w:p w14:paraId="0961DE7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2CCB6CE5" w14:textId="77777777" w:rsidTr="00525008">
        <w:trPr>
          <w:trHeight w:val="60"/>
        </w:trPr>
        <w:tc>
          <w:tcPr>
            <w:tcW w:w="2269" w:type="dxa"/>
            <w:noWrap/>
            <w:vAlign w:val="center"/>
            <w:hideMark/>
          </w:tcPr>
          <w:p w14:paraId="53B8CF40"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943</w:t>
            </w:r>
          </w:p>
        </w:tc>
        <w:tc>
          <w:tcPr>
            <w:tcW w:w="1162" w:type="dxa"/>
            <w:shd w:val="clear" w:color="auto" w:fill="FFFF00"/>
            <w:noWrap/>
            <w:vAlign w:val="center"/>
            <w:hideMark/>
          </w:tcPr>
          <w:p w14:paraId="73F39E2B"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1162" w:type="dxa"/>
            <w:shd w:val="clear" w:color="auto" w:fill="FFFF00"/>
            <w:noWrap/>
            <w:vAlign w:val="center"/>
            <w:hideMark/>
          </w:tcPr>
          <w:p w14:paraId="6407C23E"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1162" w:type="dxa"/>
            <w:shd w:val="clear" w:color="auto" w:fill="FFFF00"/>
            <w:noWrap/>
            <w:vAlign w:val="center"/>
            <w:hideMark/>
          </w:tcPr>
          <w:p w14:paraId="18B3B0A6"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1162" w:type="dxa"/>
            <w:shd w:val="clear" w:color="auto" w:fill="FFFF00"/>
            <w:noWrap/>
            <w:vAlign w:val="center"/>
            <w:hideMark/>
          </w:tcPr>
          <w:p w14:paraId="408C87E7"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928" w:type="dxa"/>
            <w:noWrap/>
            <w:vAlign w:val="center"/>
            <w:hideMark/>
          </w:tcPr>
          <w:p w14:paraId="6A467A37"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5CCD3B59" w14:textId="77777777" w:rsidTr="00525008">
        <w:trPr>
          <w:trHeight w:val="60"/>
        </w:trPr>
        <w:tc>
          <w:tcPr>
            <w:tcW w:w="2269" w:type="dxa"/>
            <w:noWrap/>
            <w:vAlign w:val="center"/>
            <w:hideMark/>
          </w:tcPr>
          <w:p w14:paraId="131D49A9"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944</w:t>
            </w:r>
          </w:p>
        </w:tc>
        <w:tc>
          <w:tcPr>
            <w:tcW w:w="1162" w:type="dxa"/>
            <w:shd w:val="clear" w:color="auto" w:fill="FFFF00"/>
            <w:noWrap/>
            <w:vAlign w:val="center"/>
            <w:hideMark/>
          </w:tcPr>
          <w:p w14:paraId="659FA246"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944/EXIT</w:t>
            </w:r>
          </w:p>
        </w:tc>
        <w:tc>
          <w:tcPr>
            <w:tcW w:w="1162" w:type="dxa"/>
            <w:shd w:val="clear" w:color="auto" w:fill="FFFF00"/>
            <w:noWrap/>
            <w:vAlign w:val="center"/>
            <w:hideMark/>
          </w:tcPr>
          <w:p w14:paraId="38213504"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1162" w:type="dxa"/>
            <w:shd w:val="clear" w:color="auto" w:fill="FFFF00"/>
            <w:noWrap/>
            <w:vAlign w:val="center"/>
            <w:hideMark/>
          </w:tcPr>
          <w:p w14:paraId="6CFBAF45" w14:textId="77777777" w:rsidR="00672F8C" w:rsidRPr="00672F8C" w:rsidRDefault="00672F8C" w:rsidP="00DA4851">
            <w:pPr>
              <w:spacing w:line="240" w:lineRule="auto"/>
              <w:jc w:val="center"/>
              <w:rPr>
                <w:rFonts w:ascii="Arial" w:eastAsia="NSimSun" w:hAnsi="Arial" w:cs="Arial"/>
                <w:b/>
                <w:bCs/>
                <w:sz w:val="20"/>
              </w:rPr>
            </w:pPr>
            <w:r w:rsidRPr="00672F8C">
              <w:rPr>
                <w:rFonts w:ascii="Arial" w:eastAsia="NSimSun" w:hAnsi="Arial" w:cs="Arial"/>
                <w:b/>
                <w:bCs/>
                <w:sz w:val="20"/>
              </w:rPr>
              <w:t>945/EXIT</w:t>
            </w:r>
          </w:p>
        </w:tc>
        <w:tc>
          <w:tcPr>
            <w:tcW w:w="1162" w:type="dxa"/>
            <w:noWrap/>
            <w:vAlign w:val="center"/>
            <w:hideMark/>
          </w:tcPr>
          <w:p w14:paraId="0E7FDB96"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c>
          <w:tcPr>
            <w:tcW w:w="928" w:type="dxa"/>
            <w:noWrap/>
            <w:vAlign w:val="center"/>
            <w:hideMark/>
          </w:tcPr>
          <w:p w14:paraId="5A17C42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r w:rsidR="00672F8C" w:rsidRPr="00672F8C" w14:paraId="7B7808FB" w14:textId="77777777" w:rsidTr="00525008">
        <w:trPr>
          <w:trHeight w:val="60"/>
        </w:trPr>
        <w:tc>
          <w:tcPr>
            <w:tcW w:w="2269" w:type="dxa"/>
            <w:noWrap/>
            <w:vAlign w:val="center"/>
            <w:hideMark/>
          </w:tcPr>
          <w:p w14:paraId="486AB919" w14:textId="77777777" w:rsidR="00672F8C" w:rsidRPr="00672F8C" w:rsidRDefault="00672F8C" w:rsidP="003074A4">
            <w:pPr>
              <w:spacing w:line="240" w:lineRule="auto"/>
              <w:jc w:val="center"/>
              <w:rPr>
                <w:rFonts w:ascii="Arial" w:eastAsia="NSimSun" w:hAnsi="Arial" w:cs="Arial"/>
                <w:sz w:val="20"/>
              </w:rPr>
            </w:pPr>
            <w:r w:rsidRPr="00672F8C">
              <w:rPr>
                <w:rFonts w:ascii="Arial" w:eastAsia="NSimSun" w:hAnsi="Arial" w:cs="Arial"/>
                <w:sz w:val="20"/>
              </w:rPr>
              <w:t>945</w:t>
            </w:r>
          </w:p>
        </w:tc>
        <w:tc>
          <w:tcPr>
            <w:tcW w:w="1162" w:type="dxa"/>
            <w:noWrap/>
            <w:vAlign w:val="center"/>
            <w:hideMark/>
          </w:tcPr>
          <w:p w14:paraId="414BBFE9"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945</w:t>
            </w:r>
          </w:p>
        </w:tc>
        <w:tc>
          <w:tcPr>
            <w:tcW w:w="1162" w:type="dxa"/>
            <w:noWrap/>
            <w:vAlign w:val="center"/>
            <w:hideMark/>
          </w:tcPr>
          <w:p w14:paraId="120E2098"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945</w:t>
            </w:r>
          </w:p>
        </w:tc>
        <w:tc>
          <w:tcPr>
            <w:tcW w:w="1162" w:type="dxa"/>
            <w:noWrap/>
            <w:vAlign w:val="center"/>
            <w:hideMark/>
          </w:tcPr>
          <w:p w14:paraId="43051D9E"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c>
          <w:tcPr>
            <w:tcW w:w="1162" w:type="dxa"/>
            <w:noWrap/>
            <w:vAlign w:val="center"/>
            <w:hideMark/>
          </w:tcPr>
          <w:p w14:paraId="364E0B4B"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c>
          <w:tcPr>
            <w:tcW w:w="928" w:type="dxa"/>
            <w:noWrap/>
            <w:vAlign w:val="center"/>
            <w:hideMark/>
          </w:tcPr>
          <w:p w14:paraId="6B140E5D" w14:textId="77777777" w:rsidR="00672F8C" w:rsidRPr="00672F8C" w:rsidRDefault="00672F8C" w:rsidP="00DA4851">
            <w:pPr>
              <w:spacing w:line="240" w:lineRule="auto"/>
              <w:jc w:val="center"/>
              <w:rPr>
                <w:rFonts w:ascii="Arial" w:eastAsia="NSimSun" w:hAnsi="Arial" w:cs="Arial"/>
                <w:sz w:val="20"/>
              </w:rPr>
            </w:pPr>
            <w:r w:rsidRPr="00672F8C">
              <w:rPr>
                <w:rFonts w:ascii="Arial" w:eastAsia="NSimSun" w:hAnsi="Arial" w:cs="Arial"/>
                <w:sz w:val="20"/>
              </w:rPr>
              <w:t>EXIT</w:t>
            </w:r>
          </w:p>
        </w:tc>
      </w:tr>
    </w:tbl>
    <w:p w14:paraId="59EC65E7" w14:textId="6A67936B" w:rsidR="00B679DD" w:rsidRPr="00B679DD" w:rsidRDefault="00B679DD" w:rsidP="00B679DD">
      <w:pPr>
        <w:autoSpaceDE w:val="0"/>
        <w:autoSpaceDN w:val="0"/>
        <w:adjustRightInd w:val="0"/>
        <w:spacing w:line="240" w:lineRule="auto"/>
        <w:contextualSpacing/>
        <w:rPr>
          <w:rFonts w:ascii="Arial" w:hAnsi="Arial" w:cs="Arial"/>
          <w:szCs w:val="24"/>
        </w:rPr>
      </w:pPr>
      <w:r w:rsidRPr="00B679DD">
        <w:rPr>
          <w:rFonts w:ascii="Arial" w:hAnsi="Arial" w:cs="Arial"/>
          <w:szCs w:val="24"/>
        </w:rPr>
        <w:lastRenderedPageBreak/>
        <w:t xml:space="preserve">Table 6.3.5.3 shows the scale score needed to exit based on grade band. The ELPHIST file assists testing coordinators in verifying the student’s current scale score. </w:t>
      </w:r>
    </w:p>
    <w:p w14:paraId="5D0E453A" w14:textId="77777777" w:rsidR="00B679DD" w:rsidRDefault="00B679DD" w:rsidP="00B679DD">
      <w:pPr>
        <w:autoSpaceDE w:val="0"/>
        <w:autoSpaceDN w:val="0"/>
        <w:adjustRightInd w:val="0"/>
        <w:spacing w:line="240" w:lineRule="auto"/>
        <w:contextualSpacing/>
        <w:rPr>
          <w:sz w:val="20"/>
        </w:rPr>
      </w:pPr>
    </w:p>
    <w:p w14:paraId="4134BC73" w14:textId="1C51EEEE" w:rsidR="009B6854" w:rsidRPr="009B6854" w:rsidRDefault="009B6854" w:rsidP="009B6854">
      <w:pPr>
        <w:spacing w:line="240" w:lineRule="auto"/>
        <w:contextualSpacing/>
        <w:rPr>
          <w:rFonts w:ascii="Arial" w:hAnsi="Arial" w:cs="Arial"/>
          <w:sz w:val="20"/>
        </w:rPr>
      </w:pPr>
      <w:r w:rsidRPr="009B6854">
        <w:rPr>
          <w:rFonts w:ascii="Arial" w:hAnsi="Arial" w:cs="Arial"/>
          <w:sz w:val="20"/>
        </w:rPr>
        <w:t xml:space="preserve">TABLE 6.3.5.3. </w:t>
      </w:r>
      <w:r w:rsidR="5E167E6B" w:rsidRPr="46433D16">
        <w:rPr>
          <w:rFonts w:ascii="Arial" w:hAnsi="Arial" w:cs="Arial"/>
          <w:sz w:val="20"/>
        </w:rPr>
        <w:t xml:space="preserve">WIDA </w:t>
      </w:r>
      <w:r w:rsidRPr="009B6854">
        <w:rPr>
          <w:rFonts w:ascii="Arial" w:hAnsi="Arial" w:cs="Arial"/>
          <w:sz w:val="20"/>
        </w:rPr>
        <w:t>Alternate ACCESS performance level 2 minimum scale scores by grade band</w:t>
      </w:r>
    </w:p>
    <w:tbl>
      <w:tblPr>
        <w:tblW w:w="60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82"/>
        <w:gridCol w:w="1440"/>
      </w:tblGrid>
      <w:tr w:rsidR="0012682B" w:rsidRPr="002A29BC" w14:paraId="4A83814A" w14:textId="77777777" w:rsidTr="00AD47D4">
        <w:trPr>
          <w:trHeight w:val="295"/>
        </w:trPr>
        <w:tc>
          <w:tcPr>
            <w:tcW w:w="4582"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7D76BB03" w14:textId="6FCA4D05" w:rsidR="0012682B" w:rsidRPr="002A29BC" w:rsidRDefault="63CAD1A9" w:rsidP="00370337">
            <w:pPr>
              <w:spacing w:line="240" w:lineRule="auto"/>
              <w:contextualSpacing/>
              <w:rPr>
                <w:rFonts w:ascii="Arial" w:hAnsi="Arial" w:cs="Arial"/>
                <w:b/>
              </w:rPr>
            </w:pPr>
            <w:r w:rsidRPr="46433D16">
              <w:rPr>
                <w:rFonts w:ascii="Arial" w:hAnsi="Arial" w:cs="Arial"/>
                <w:b/>
                <w:bCs/>
              </w:rPr>
              <w:t xml:space="preserve"> </w:t>
            </w:r>
            <w:r w:rsidR="4BD82365" w:rsidRPr="46433D16">
              <w:rPr>
                <w:rFonts w:ascii="Arial" w:hAnsi="Arial" w:cs="Arial"/>
                <w:b/>
                <w:bCs/>
              </w:rPr>
              <w:t>WIDA</w:t>
            </w:r>
            <w:r w:rsidR="002A29BC" w:rsidRPr="46433D16">
              <w:rPr>
                <w:rFonts w:ascii="Arial" w:hAnsi="Arial" w:cs="Arial"/>
                <w:b/>
              </w:rPr>
              <w:t xml:space="preserve"> </w:t>
            </w:r>
            <w:r w:rsidR="0012682B" w:rsidRPr="46433D16">
              <w:rPr>
                <w:rFonts w:ascii="Arial" w:hAnsi="Arial" w:cs="Arial"/>
                <w:b/>
              </w:rPr>
              <w:t>Alternate ACCESS Grade Band </w:t>
            </w:r>
          </w:p>
        </w:tc>
        <w:tc>
          <w:tcPr>
            <w:tcW w:w="1440" w:type="dxa"/>
            <w:tcBorders>
              <w:top w:val="single" w:sz="6" w:space="0" w:color="auto"/>
              <w:left w:val="single" w:sz="6" w:space="0" w:color="auto"/>
              <w:bottom w:val="single" w:sz="6" w:space="0" w:color="auto"/>
              <w:right w:val="single" w:sz="6" w:space="0" w:color="auto"/>
            </w:tcBorders>
            <w:shd w:val="clear" w:color="auto" w:fill="ACB9CA" w:themeFill="text2" w:themeFillTint="66"/>
            <w:vAlign w:val="center"/>
            <w:hideMark/>
          </w:tcPr>
          <w:p w14:paraId="4EF14FEF" w14:textId="77777777" w:rsidR="0012682B" w:rsidRPr="002A29BC" w:rsidRDefault="0012682B" w:rsidP="00370337">
            <w:pPr>
              <w:spacing w:line="240" w:lineRule="auto"/>
              <w:contextualSpacing/>
              <w:jc w:val="center"/>
              <w:rPr>
                <w:rFonts w:ascii="Arial" w:hAnsi="Arial" w:cs="Arial"/>
                <w:b/>
                <w:iCs/>
                <w:szCs w:val="24"/>
              </w:rPr>
            </w:pPr>
            <w:r w:rsidRPr="002A29BC">
              <w:rPr>
                <w:rFonts w:ascii="Arial" w:hAnsi="Arial" w:cs="Arial"/>
                <w:b/>
                <w:bCs/>
                <w:iCs/>
                <w:szCs w:val="24"/>
              </w:rPr>
              <w:t>Scale score</w:t>
            </w:r>
          </w:p>
          <w:p w14:paraId="1A9468C1" w14:textId="77777777" w:rsidR="0012682B" w:rsidRPr="002A29BC" w:rsidRDefault="0012682B" w:rsidP="00370337">
            <w:pPr>
              <w:spacing w:line="240" w:lineRule="auto"/>
              <w:contextualSpacing/>
              <w:jc w:val="center"/>
              <w:rPr>
                <w:rFonts w:ascii="Arial" w:hAnsi="Arial" w:cs="Arial"/>
                <w:b/>
                <w:iCs/>
                <w:szCs w:val="24"/>
              </w:rPr>
            </w:pPr>
          </w:p>
        </w:tc>
      </w:tr>
      <w:tr w:rsidR="0012682B" w:rsidRPr="002A29BC" w14:paraId="5460AF19" w14:textId="77777777" w:rsidTr="00AD47D4">
        <w:trPr>
          <w:trHeight w:val="177"/>
        </w:trPr>
        <w:tc>
          <w:tcPr>
            <w:tcW w:w="4582"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3203D12B" w14:textId="77777777" w:rsidR="0012682B" w:rsidRPr="002A29BC" w:rsidRDefault="0012682B" w:rsidP="00370337">
            <w:pPr>
              <w:spacing w:line="240" w:lineRule="auto"/>
              <w:contextualSpacing/>
              <w:rPr>
                <w:rFonts w:ascii="Arial" w:hAnsi="Arial" w:cs="Arial"/>
                <w:b/>
                <w:iCs/>
                <w:szCs w:val="24"/>
              </w:rPr>
            </w:pPr>
            <w:r w:rsidRPr="002A29BC">
              <w:rPr>
                <w:rFonts w:ascii="Arial" w:hAnsi="Arial" w:cs="Arial"/>
                <w:b/>
                <w:bCs/>
                <w:iCs/>
                <w:szCs w:val="24"/>
              </w:rPr>
              <w:t xml:space="preserve"> K–2</w:t>
            </w:r>
          </w:p>
        </w:tc>
        <w:tc>
          <w:tcPr>
            <w:tcW w:w="1440" w:type="dxa"/>
            <w:tcBorders>
              <w:top w:val="single" w:sz="6" w:space="0" w:color="auto"/>
              <w:left w:val="single" w:sz="6" w:space="0" w:color="auto"/>
              <w:bottom w:val="single" w:sz="6" w:space="0" w:color="auto"/>
              <w:right w:val="single" w:sz="6" w:space="0" w:color="auto"/>
            </w:tcBorders>
            <w:hideMark/>
          </w:tcPr>
          <w:p w14:paraId="577C3DEE" w14:textId="77777777" w:rsidR="0012682B" w:rsidRPr="00571BB9" w:rsidRDefault="0012682B" w:rsidP="00370337">
            <w:pPr>
              <w:spacing w:line="240" w:lineRule="auto"/>
              <w:contextualSpacing/>
              <w:jc w:val="center"/>
              <w:rPr>
                <w:rFonts w:ascii="Arial" w:hAnsi="Arial" w:cs="Arial"/>
                <w:bCs/>
                <w:iCs/>
                <w:szCs w:val="24"/>
              </w:rPr>
            </w:pPr>
            <w:r w:rsidRPr="00571BB9">
              <w:rPr>
                <w:rFonts w:ascii="Arial" w:hAnsi="Arial" w:cs="Arial"/>
                <w:bCs/>
                <w:iCs/>
                <w:szCs w:val="24"/>
              </w:rPr>
              <w:t>941</w:t>
            </w:r>
          </w:p>
        </w:tc>
      </w:tr>
      <w:tr w:rsidR="0012682B" w:rsidRPr="002A29BC" w14:paraId="45134AF8" w14:textId="77777777" w:rsidTr="00AD47D4">
        <w:trPr>
          <w:trHeight w:val="118"/>
        </w:trPr>
        <w:tc>
          <w:tcPr>
            <w:tcW w:w="4582"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1C2A318B" w14:textId="77777777" w:rsidR="0012682B" w:rsidRPr="002A29BC" w:rsidRDefault="0012682B" w:rsidP="00370337">
            <w:pPr>
              <w:spacing w:line="240" w:lineRule="auto"/>
              <w:contextualSpacing/>
              <w:rPr>
                <w:rFonts w:ascii="Arial" w:hAnsi="Arial" w:cs="Arial"/>
                <w:b/>
                <w:iCs/>
                <w:szCs w:val="24"/>
              </w:rPr>
            </w:pPr>
            <w:r w:rsidRPr="002A29BC">
              <w:rPr>
                <w:rFonts w:ascii="Arial" w:hAnsi="Arial" w:cs="Arial"/>
                <w:b/>
                <w:bCs/>
                <w:iCs/>
                <w:szCs w:val="24"/>
              </w:rPr>
              <w:t xml:space="preserve"> 3–5</w:t>
            </w:r>
            <w:r w:rsidRPr="002A29BC">
              <w:rPr>
                <w:rFonts w:ascii="Arial" w:hAnsi="Arial" w:cs="Arial"/>
                <w:b/>
                <w:iCs/>
                <w:szCs w:val="24"/>
              </w:rPr>
              <w:t> </w:t>
            </w:r>
          </w:p>
        </w:tc>
        <w:tc>
          <w:tcPr>
            <w:tcW w:w="1440" w:type="dxa"/>
            <w:tcBorders>
              <w:top w:val="single" w:sz="6" w:space="0" w:color="auto"/>
              <w:left w:val="single" w:sz="6" w:space="0" w:color="auto"/>
              <w:bottom w:val="single" w:sz="6" w:space="0" w:color="auto"/>
              <w:right w:val="single" w:sz="6" w:space="0" w:color="auto"/>
            </w:tcBorders>
            <w:hideMark/>
          </w:tcPr>
          <w:p w14:paraId="19BB64B6" w14:textId="77777777" w:rsidR="0012682B" w:rsidRPr="00571BB9" w:rsidRDefault="0012682B" w:rsidP="00370337">
            <w:pPr>
              <w:spacing w:line="240" w:lineRule="auto"/>
              <w:contextualSpacing/>
              <w:jc w:val="center"/>
              <w:rPr>
                <w:rFonts w:ascii="Arial" w:hAnsi="Arial" w:cs="Arial"/>
                <w:bCs/>
                <w:iCs/>
                <w:szCs w:val="24"/>
              </w:rPr>
            </w:pPr>
            <w:r w:rsidRPr="00571BB9">
              <w:rPr>
                <w:rFonts w:ascii="Arial" w:hAnsi="Arial" w:cs="Arial"/>
                <w:bCs/>
                <w:iCs/>
                <w:szCs w:val="24"/>
              </w:rPr>
              <w:t>943</w:t>
            </w:r>
          </w:p>
        </w:tc>
      </w:tr>
      <w:tr w:rsidR="0012682B" w:rsidRPr="002A29BC" w14:paraId="65058878" w14:textId="77777777" w:rsidTr="00AD47D4">
        <w:trPr>
          <w:trHeight w:val="295"/>
        </w:trPr>
        <w:tc>
          <w:tcPr>
            <w:tcW w:w="4582" w:type="dxa"/>
            <w:tcBorders>
              <w:top w:val="single" w:sz="6" w:space="0" w:color="auto"/>
              <w:left w:val="single" w:sz="6" w:space="0" w:color="auto"/>
              <w:bottom w:val="single" w:sz="6" w:space="0" w:color="auto"/>
              <w:right w:val="single" w:sz="6" w:space="0" w:color="auto"/>
            </w:tcBorders>
            <w:shd w:val="clear" w:color="auto" w:fill="ACB9CA" w:themeFill="text2" w:themeFillTint="66"/>
            <w:hideMark/>
          </w:tcPr>
          <w:p w14:paraId="102FF66C" w14:textId="77777777" w:rsidR="0012682B" w:rsidRPr="002A29BC" w:rsidRDefault="0012682B" w:rsidP="00370337">
            <w:pPr>
              <w:spacing w:line="240" w:lineRule="auto"/>
              <w:contextualSpacing/>
              <w:rPr>
                <w:rFonts w:ascii="Arial" w:hAnsi="Arial" w:cs="Arial"/>
                <w:b/>
                <w:iCs/>
                <w:szCs w:val="24"/>
              </w:rPr>
            </w:pPr>
            <w:r w:rsidRPr="002A29BC">
              <w:rPr>
                <w:rFonts w:ascii="Arial" w:hAnsi="Arial" w:cs="Arial"/>
                <w:b/>
                <w:bCs/>
                <w:iCs/>
                <w:szCs w:val="24"/>
              </w:rPr>
              <w:t xml:space="preserve"> 6–8</w:t>
            </w:r>
          </w:p>
        </w:tc>
        <w:tc>
          <w:tcPr>
            <w:tcW w:w="1440" w:type="dxa"/>
            <w:tcBorders>
              <w:top w:val="single" w:sz="6" w:space="0" w:color="auto"/>
              <w:left w:val="single" w:sz="6" w:space="0" w:color="auto"/>
              <w:bottom w:val="single" w:sz="6" w:space="0" w:color="auto"/>
              <w:right w:val="single" w:sz="6" w:space="0" w:color="auto"/>
            </w:tcBorders>
            <w:hideMark/>
          </w:tcPr>
          <w:p w14:paraId="1B0D370C" w14:textId="77777777" w:rsidR="0012682B" w:rsidRPr="00571BB9" w:rsidRDefault="0012682B" w:rsidP="00370337">
            <w:pPr>
              <w:spacing w:line="240" w:lineRule="auto"/>
              <w:contextualSpacing/>
              <w:jc w:val="center"/>
              <w:rPr>
                <w:rFonts w:ascii="Arial" w:hAnsi="Arial" w:cs="Arial"/>
                <w:bCs/>
                <w:iCs/>
                <w:szCs w:val="24"/>
              </w:rPr>
            </w:pPr>
            <w:r w:rsidRPr="00571BB9">
              <w:rPr>
                <w:rFonts w:ascii="Arial" w:hAnsi="Arial" w:cs="Arial"/>
                <w:bCs/>
                <w:iCs/>
                <w:szCs w:val="24"/>
              </w:rPr>
              <w:t>945</w:t>
            </w:r>
          </w:p>
        </w:tc>
      </w:tr>
      <w:tr w:rsidR="0012682B" w:rsidRPr="002A29BC" w14:paraId="35E2D6AF" w14:textId="77777777" w:rsidTr="00AD47D4">
        <w:trPr>
          <w:trHeight w:val="295"/>
        </w:trPr>
        <w:tc>
          <w:tcPr>
            <w:tcW w:w="4582" w:type="dxa"/>
            <w:tcBorders>
              <w:top w:val="single" w:sz="6" w:space="0" w:color="auto"/>
              <w:left w:val="single" w:sz="6" w:space="0" w:color="auto"/>
              <w:bottom w:val="single" w:sz="6" w:space="0" w:color="auto"/>
              <w:right w:val="single" w:sz="6" w:space="0" w:color="auto"/>
            </w:tcBorders>
            <w:shd w:val="clear" w:color="auto" w:fill="ACB9CA" w:themeFill="text2" w:themeFillTint="66"/>
          </w:tcPr>
          <w:p w14:paraId="20515DE1" w14:textId="5A24048F" w:rsidR="0012682B" w:rsidRPr="002A29BC" w:rsidDel="002768F6" w:rsidRDefault="0012682B" w:rsidP="00370337">
            <w:pPr>
              <w:spacing w:line="240" w:lineRule="auto"/>
              <w:contextualSpacing/>
              <w:rPr>
                <w:rFonts w:ascii="Arial" w:hAnsi="Arial" w:cs="Arial"/>
                <w:b/>
                <w:bCs/>
                <w:iCs/>
                <w:szCs w:val="24"/>
              </w:rPr>
            </w:pPr>
            <w:r w:rsidRPr="002A29BC">
              <w:rPr>
                <w:rFonts w:ascii="Arial" w:hAnsi="Arial" w:cs="Arial"/>
                <w:b/>
                <w:bCs/>
                <w:iCs/>
                <w:szCs w:val="24"/>
              </w:rPr>
              <w:t xml:space="preserve"> 9–12</w:t>
            </w:r>
            <w:r w:rsidR="002A29BC" w:rsidRPr="002A29BC">
              <w:rPr>
                <w:rFonts w:ascii="Arial" w:hAnsi="Arial" w:cs="Arial"/>
                <w:b/>
                <w:bCs/>
                <w:iCs/>
                <w:szCs w:val="24"/>
              </w:rPr>
              <w:t xml:space="preserve"> </w:t>
            </w:r>
            <w:r w:rsidRPr="002A29BC">
              <w:rPr>
                <w:rFonts w:ascii="Arial" w:hAnsi="Arial" w:cs="Arial"/>
                <w:b/>
                <w:bCs/>
                <w:iCs/>
                <w:szCs w:val="24"/>
              </w:rPr>
              <w:t>(XG)</w:t>
            </w:r>
          </w:p>
        </w:tc>
        <w:tc>
          <w:tcPr>
            <w:tcW w:w="1440" w:type="dxa"/>
            <w:tcBorders>
              <w:top w:val="single" w:sz="6" w:space="0" w:color="auto"/>
              <w:left w:val="single" w:sz="6" w:space="0" w:color="auto"/>
              <w:bottom w:val="single" w:sz="6" w:space="0" w:color="auto"/>
              <w:right w:val="single" w:sz="6" w:space="0" w:color="auto"/>
            </w:tcBorders>
          </w:tcPr>
          <w:p w14:paraId="6C8B44FF" w14:textId="77777777" w:rsidR="0012682B" w:rsidRPr="00571BB9" w:rsidDel="007F0333" w:rsidRDefault="0012682B" w:rsidP="00370337">
            <w:pPr>
              <w:spacing w:line="240" w:lineRule="auto"/>
              <w:contextualSpacing/>
              <w:jc w:val="center"/>
              <w:rPr>
                <w:rFonts w:ascii="Arial" w:hAnsi="Arial" w:cs="Arial"/>
                <w:bCs/>
                <w:iCs/>
                <w:szCs w:val="24"/>
              </w:rPr>
            </w:pPr>
            <w:r w:rsidRPr="00571BB9">
              <w:rPr>
                <w:rFonts w:ascii="Arial" w:hAnsi="Arial" w:cs="Arial"/>
                <w:bCs/>
                <w:iCs/>
                <w:szCs w:val="24"/>
              </w:rPr>
              <w:t>946</w:t>
            </w:r>
          </w:p>
        </w:tc>
      </w:tr>
    </w:tbl>
    <w:p w14:paraId="281F808C" w14:textId="4E2FA0C4" w:rsidR="00BB686D" w:rsidRPr="001427AF" w:rsidRDefault="00BB686D" w:rsidP="00BB686D">
      <w:pPr>
        <w:rPr>
          <w:rFonts w:ascii="Arial" w:hAnsi="Arial" w:cs="Arial"/>
        </w:rPr>
        <w:sectPr w:rsidR="00BB686D" w:rsidRPr="001427AF" w:rsidSect="0000038D">
          <w:headerReference w:type="even" r:id="rId32"/>
          <w:headerReference w:type="default" r:id="rId33"/>
          <w:headerReference w:type="first" r:id="rId34"/>
          <w:footerReference w:type="first" r:id="rId35"/>
          <w:pgSz w:w="12240" w:h="15840"/>
          <w:pgMar w:top="1440" w:right="1440" w:bottom="1440" w:left="1440" w:header="720" w:footer="432" w:gutter="0"/>
          <w:cols w:space="720"/>
          <w:noEndnote/>
          <w:docGrid w:linePitch="326"/>
        </w:sectPr>
      </w:pPr>
    </w:p>
    <w:p w14:paraId="02B27A7A" w14:textId="7B6D3BE6" w:rsidR="006403F7" w:rsidRPr="001427AF" w:rsidRDefault="00FD1DBE" w:rsidP="00D32024">
      <w:pPr>
        <w:pStyle w:val="Heading1"/>
      </w:pPr>
      <w:bookmarkStart w:id="711" w:name="_Toc135812546"/>
      <w:bookmarkStart w:id="712" w:name="_Toc136418927"/>
      <w:bookmarkStart w:id="713" w:name="_Toc136419183"/>
      <w:bookmarkStart w:id="714" w:name="_Toc225404996"/>
      <w:r w:rsidRPr="001427AF">
        <w:lastRenderedPageBreak/>
        <w:t>Cohort Graduation Rate</w:t>
      </w:r>
      <w:r w:rsidR="0054650D" w:rsidRPr="001427AF">
        <w:fldChar w:fldCharType="begin"/>
      </w:r>
      <w:r w:rsidR="0054650D" w:rsidRPr="001427AF">
        <w:instrText xml:space="preserve"> XE "Cohort Graduation Rate" </w:instrText>
      </w:r>
      <w:r w:rsidR="0054650D" w:rsidRPr="001427AF">
        <w:fldChar w:fldCharType="end"/>
      </w:r>
      <w:r w:rsidRPr="001427AF">
        <w:t xml:space="preserve"> Manual</w:t>
      </w:r>
      <w:bookmarkEnd w:id="711"/>
      <w:bookmarkEnd w:id="712"/>
      <w:bookmarkEnd w:id="713"/>
      <w:bookmarkEnd w:id="714"/>
    </w:p>
    <w:p w14:paraId="0179A81D" w14:textId="6B1B71BD" w:rsidR="002C221F" w:rsidRPr="001427AF" w:rsidRDefault="002C221F" w:rsidP="00033885">
      <w:pPr>
        <w:pStyle w:val="Default"/>
        <w:rPr>
          <w:rFonts w:ascii="Arial" w:hAnsi="Arial" w:cs="Arial"/>
        </w:rPr>
      </w:pPr>
    </w:p>
    <w:p w14:paraId="4E2250DD" w14:textId="289FD42D" w:rsidR="00206543" w:rsidRPr="001427AF" w:rsidRDefault="00206543" w:rsidP="00206543">
      <w:pPr>
        <w:spacing w:line="240" w:lineRule="auto"/>
        <w:contextualSpacing/>
        <w:rPr>
          <w:rFonts w:ascii="Arial" w:hAnsi="Arial" w:cs="Arial"/>
        </w:rPr>
      </w:pPr>
      <w:r w:rsidRPr="001427AF">
        <w:rPr>
          <w:rFonts w:ascii="Arial" w:hAnsi="Arial" w:cs="Arial"/>
        </w:rPr>
        <w:t>The</w:t>
      </w:r>
      <w:r w:rsidRPr="001427AF" w:rsidDel="00EA2F1D">
        <w:rPr>
          <w:rFonts w:ascii="Arial" w:hAnsi="Arial" w:cs="Arial"/>
        </w:rPr>
        <w:t xml:space="preserve"> </w:t>
      </w:r>
      <w:r w:rsidRPr="001427AF">
        <w:rPr>
          <w:rFonts w:ascii="Arial" w:hAnsi="Arial" w:cs="Arial"/>
        </w:rPr>
        <w:t xml:space="preserve">North Carolina Department of Public Instruction Office of Accountability and Testing produces the Cohort Graduation Rate Manual which contains procedures for computing and auditing the cohort graduation rate at the </w:t>
      </w:r>
      <w:r w:rsidR="004429E8" w:rsidRPr="001427AF">
        <w:rPr>
          <w:rFonts w:ascii="Arial" w:hAnsi="Arial" w:cs="Arial"/>
        </w:rPr>
        <w:t xml:space="preserve">district, </w:t>
      </w:r>
      <w:r w:rsidRPr="001427AF">
        <w:rPr>
          <w:rFonts w:ascii="Arial" w:hAnsi="Arial" w:cs="Arial"/>
        </w:rPr>
        <w:t>school, and state level.</w:t>
      </w:r>
    </w:p>
    <w:p w14:paraId="158508E0" w14:textId="77777777" w:rsidR="00206543" w:rsidRPr="001427AF" w:rsidRDefault="00206543" w:rsidP="00206543">
      <w:pPr>
        <w:spacing w:line="240" w:lineRule="auto"/>
        <w:contextualSpacing/>
        <w:rPr>
          <w:rFonts w:ascii="Arial" w:hAnsi="Arial" w:cs="Arial"/>
          <w:szCs w:val="24"/>
        </w:rPr>
      </w:pPr>
    </w:p>
    <w:p w14:paraId="2BB24401" w14:textId="21736DC6" w:rsidR="00206543" w:rsidRPr="001427AF" w:rsidRDefault="00206543" w:rsidP="00206543">
      <w:pPr>
        <w:spacing w:line="240" w:lineRule="auto"/>
        <w:contextualSpacing/>
        <w:rPr>
          <w:rFonts w:ascii="Arial" w:hAnsi="Arial" w:cs="Arial"/>
        </w:rPr>
      </w:pPr>
      <w:r w:rsidRPr="001427AF">
        <w:rPr>
          <w:rFonts w:ascii="Arial" w:hAnsi="Arial" w:cs="Arial"/>
        </w:rPr>
        <w:t xml:space="preserve">The four-year </w:t>
      </w:r>
      <w:r w:rsidR="00151062" w:rsidRPr="001427AF">
        <w:rPr>
          <w:rFonts w:ascii="Arial" w:hAnsi="Arial" w:cs="Arial"/>
        </w:rPr>
        <w:t xml:space="preserve">and five-year </w:t>
      </w:r>
      <w:r w:rsidRPr="001427AF">
        <w:rPr>
          <w:rFonts w:ascii="Arial" w:hAnsi="Arial" w:cs="Arial"/>
        </w:rPr>
        <w:t>adjusted cohort graduation rate</w:t>
      </w:r>
      <w:r w:rsidR="00151062" w:rsidRPr="001427AF">
        <w:rPr>
          <w:rFonts w:ascii="Arial" w:hAnsi="Arial" w:cs="Arial"/>
        </w:rPr>
        <w:t>s</w:t>
      </w:r>
      <w:r w:rsidRPr="001427AF">
        <w:rPr>
          <w:rFonts w:ascii="Arial" w:hAnsi="Arial" w:cs="Arial"/>
        </w:rPr>
        <w:t xml:space="preserve"> </w:t>
      </w:r>
      <w:r w:rsidR="00151062" w:rsidRPr="001427AF">
        <w:rPr>
          <w:rFonts w:ascii="Arial" w:hAnsi="Arial" w:cs="Arial"/>
        </w:rPr>
        <w:t xml:space="preserve">are </w:t>
      </w:r>
      <w:r w:rsidRPr="001427AF">
        <w:rPr>
          <w:rFonts w:ascii="Arial" w:hAnsi="Arial" w:cs="Arial"/>
        </w:rPr>
        <w:t>the group</w:t>
      </w:r>
      <w:r w:rsidR="00151062" w:rsidRPr="001427AF">
        <w:rPr>
          <w:rFonts w:ascii="Arial" w:hAnsi="Arial" w:cs="Arial"/>
        </w:rPr>
        <w:t>s</w:t>
      </w:r>
      <w:r w:rsidRPr="001427AF">
        <w:rPr>
          <w:rFonts w:ascii="Arial" w:hAnsi="Arial" w:cs="Arial"/>
        </w:rPr>
        <w:t xml:space="preserve"> of students who begin as first-time ninth graders in a defined school year and graduate with a regular high school diploma in four </w:t>
      </w:r>
      <w:r w:rsidR="00151062" w:rsidRPr="001427AF">
        <w:rPr>
          <w:rFonts w:ascii="Arial" w:hAnsi="Arial" w:cs="Arial"/>
        </w:rPr>
        <w:t xml:space="preserve">or five </w:t>
      </w:r>
      <w:r w:rsidRPr="001427AF">
        <w:rPr>
          <w:rFonts w:ascii="Arial" w:hAnsi="Arial" w:cs="Arial"/>
        </w:rPr>
        <w:t>years or less</w:t>
      </w:r>
      <w:r w:rsidR="00151062" w:rsidRPr="001427AF">
        <w:rPr>
          <w:rFonts w:ascii="Arial" w:hAnsi="Arial" w:cs="Arial"/>
        </w:rPr>
        <w:t xml:space="preserve"> accordingly</w:t>
      </w:r>
      <w:r w:rsidR="00CE0F8E" w:rsidRPr="001427AF">
        <w:rPr>
          <w:rFonts w:ascii="Arial" w:hAnsi="Arial" w:cs="Arial"/>
        </w:rPr>
        <w:t xml:space="preserve">. </w:t>
      </w:r>
      <w:r w:rsidRPr="001427AF">
        <w:rPr>
          <w:rFonts w:ascii="Arial" w:hAnsi="Arial" w:cs="Arial"/>
        </w:rPr>
        <w:t>The cohort is “adjusted” by adding any students transferring into the cohort and subtracting any students who transfer out, immigrate to another country, or die during the years covered by the cohort.</w:t>
      </w:r>
      <w:r w:rsidRPr="001427AF" w:rsidDel="003570F1">
        <w:rPr>
          <w:rFonts w:ascii="Arial" w:hAnsi="Arial" w:cs="Arial"/>
        </w:rPr>
        <w:t xml:space="preserve"> </w:t>
      </w:r>
      <w:r w:rsidR="003570F1" w:rsidRPr="001427AF">
        <w:rPr>
          <w:rFonts w:ascii="Arial" w:hAnsi="Arial" w:cs="Arial"/>
        </w:rPr>
        <w:t>S</w:t>
      </w:r>
      <w:r w:rsidRPr="001427AF">
        <w:rPr>
          <w:rFonts w:ascii="Arial" w:hAnsi="Arial" w:cs="Arial"/>
        </w:rPr>
        <w:t xml:space="preserve">tudents transferring in and out of the cohort can </w:t>
      </w:r>
      <w:proofErr w:type="gramStart"/>
      <w:r w:rsidRPr="001427AF">
        <w:rPr>
          <w:rFonts w:ascii="Arial" w:hAnsi="Arial" w:cs="Arial"/>
        </w:rPr>
        <w:t>impact</w:t>
      </w:r>
      <w:proofErr w:type="gramEnd"/>
      <w:r w:rsidRPr="001427AF">
        <w:rPr>
          <w:rFonts w:ascii="Arial" w:hAnsi="Arial" w:cs="Arial"/>
        </w:rPr>
        <w:t xml:space="preserve"> the school’s rate.</w:t>
      </w:r>
    </w:p>
    <w:p w14:paraId="70E7B0E7" w14:textId="77777777" w:rsidR="00206543" w:rsidRPr="001427AF" w:rsidRDefault="00206543" w:rsidP="00206543">
      <w:pPr>
        <w:spacing w:line="240" w:lineRule="auto"/>
        <w:contextualSpacing/>
        <w:rPr>
          <w:rFonts w:ascii="Arial" w:hAnsi="Arial" w:cs="Arial"/>
          <w:szCs w:val="24"/>
        </w:rPr>
      </w:pPr>
    </w:p>
    <w:p w14:paraId="6DF1FDE7" w14:textId="245406E5" w:rsidR="00D64255" w:rsidRPr="001427AF" w:rsidRDefault="00206543" w:rsidP="00D439E6">
      <w:pPr>
        <w:pStyle w:val="Default"/>
        <w:rPr>
          <w:rFonts w:ascii="Arial" w:hAnsi="Arial" w:cs="Arial"/>
        </w:rPr>
      </w:pPr>
      <w:r w:rsidRPr="001427AF">
        <w:rPr>
          <w:rFonts w:ascii="Arial" w:hAnsi="Arial" w:cs="Arial"/>
        </w:rPr>
        <w:t xml:space="preserve">The Office of Accountability and Testing has implemented a formalized state monitoring plan of </w:t>
      </w:r>
      <w:bookmarkStart w:id="715" w:name="_Int_7UDBI3hx"/>
      <w:proofErr w:type="gramStart"/>
      <w:r w:rsidRPr="001427AF">
        <w:rPr>
          <w:rFonts w:ascii="Arial" w:hAnsi="Arial" w:cs="Arial"/>
        </w:rPr>
        <w:t>public school</w:t>
      </w:r>
      <w:bookmarkEnd w:id="715"/>
      <w:proofErr w:type="gramEnd"/>
      <w:r w:rsidRPr="001427AF">
        <w:rPr>
          <w:rFonts w:ascii="Arial" w:hAnsi="Arial" w:cs="Arial"/>
        </w:rPr>
        <w:t xml:space="preserve"> units to verify withdrawal of students reported in the prior school year’s cohort graduation rates. The monitoring is conducted by teams of state-level and regional staff members tasked with conducting monitoring </w:t>
      </w:r>
      <w:r w:rsidR="001241B1" w:rsidRPr="001427AF">
        <w:rPr>
          <w:rFonts w:ascii="Arial" w:hAnsi="Arial" w:cs="Arial"/>
        </w:rPr>
        <w:t>to verify</w:t>
      </w:r>
      <w:r w:rsidRPr="001427AF">
        <w:rPr>
          <w:rFonts w:ascii="Arial" w:hAnsi="Arial" w:cs="Arial"/>
        </w:rPr>
        <w:t xml:space="preserve"> written evidence or documentation </w:t>
      </w:r>
      <w:r w:rsidR="001241B1" w:rsidRPr="001427AF">
        <w:rPr>
          <w:rFonts w:ascii="Arial" w:hAnsi="Arial" w:cs="Arial"/>
        </w:rPr>
        <w:t>affirming the removal</w:t>
      </w:r>
      <w:r w:rsidRPr="001427AF">
        <w:rPr>
          <w:rFonts w:ascii="Arial" w:hAnsi="Arial" w:cs="Arial"/>
        </w:rPr>
        <w:t xml:space="preserve"> of students from the cohort.</w:t>
      </w:r>
      <w:r w:rsidR="001241B1" w:rsidRPr="001427AF">
        <w:rPr>
          <w:rFonts w:ascii="Arial" w:hAnsi="Arial" w:cs="Arial"/>
        </w:rPr>
        <w:t xml:space="preserve"> T</w:t>
      </w:r>
      <w:r w:rsidRPr="001427AF">
        <w:rPr>
          <w:rFonts w:ascii="Arial" w:hAnsi="Arial" w:cs="Arial"/>
        </w:rPr>
        <w:t>he monitoring process and additional details</w:t>
      </w:r>
      <w:r w:rsidR="001241B1" w:rsidRPr="001427AF">
        <w:rPr>
          <w:rFonts w:ascii="Arial" w:hAnsi="Arial" w:cs="Arial"/>
        </w:rPr>
        <w:t xml:space="preserve"> are found in the</w:t>
      </w:r>
      <w:r w:rsidRPr="001427AF">
        <w:rPr>
          <w:rFonts w:ascii="Arial" w:hAnsi="Arial" w:cs="Arial"/>
        </w:rPr>
        <w:t xml:space="preserve"> </w:t>
      </w:r>
      <w:hyperlink r:id="rId36" w:history="1">
        <w:r w:rsidRPr="00D23927">
          <w:rPr>
            <w:rStyle w:val="Hyperlink"/>
            <w:rFonts w:ascii="Arial" w:hAnsi="Arial" w:cs="Arial"/>
          </w:rPr>
          <w:t xml:space="preserve">Cohort Graduation Rate </w:t>
        </w:r>
        <w:r w:rsidR="003570F1" w:rsidRPr="00D23927">
          <w:rPr>
            <w:rStyle w:val="Hyperlink"/>
            <w:rFonts w:ascii="Arial" w:hAnsi="Arial" w:cs="Arial"/>
          </w:rPr>
          <w:t>M</w:t>
        </w:r>
        <w:r w:rsidRPr="00D23927">
          <w:rPr>
            <w:rStyle w:val="Hyperlink"/>
            <w:rFonts w:ascii="Arial" w:hAnsi="Arial" w:cs="Arial"/>
          </w:rPr>
          <w:t>anual</w:t>
        </w:r>
      </w:hyperlink>
      <w:r w:rsidR="00E11C42" w:rsidRPr="001427AF">
        <w:rPr>
          <w:rFonts w:ascii="Arial" w:hAnsi="Arial" w:cs="Arial"/>
        </w:rPr>
        <w:t xml:space="preserve">. </w:t>
      </w:r>
      <w:r w:rsidR="00D91D4C" w:rsidRPr="001427AF">
        <w:rPr>
          <w:rFonts w:ascii="Arial" w:hAnsi="Arial" w:cs="Arial"/>
        </w:rPr>
        <w:br w:type="page"/>
      </w:r>
    </w:p>
    <w:p w14:paraId="2FD28EE7" w14:textId="0E919493" w:rsidR="002A0170" w:rsidRPr="001427AF" w:rsidRDefault="002F355E" w:rsidP="00D32024">
      <w:pPr>
        <w:pStyle w:val="Heading1"/>
      </w:pPr>
      <w:bookmarkStart w:id="716" w:name="_Section_8:_NC"/>
      <w:bookmarkStart w:id="717" w:name="_Toc135812547"/>
      <w:bookmarkStart w:id="718" w:name="_Toc136418928"/>
      <w:bookmarkStart w:id="719" w:name="_Toc136419184"/>
      <w:bookmarkStart w:id="720" w:name="_Toc225404997"/>
      <w:bookmarkEnd w:id="716"/>
      <w:r w:rsidRPr="001427AF">
        <w:lastRenderedPageBreak/>
        <w:t>Mathematic Pathways (</w:t>
      </w:r>
      <w:r w:rsidR="00D0737C" w:rsidRPr="001427AF">
        <w:t>NC Math 1 and NC Math 3</w:t>
      </w:r>
      <w:bookmarkEnd w:id="717"/>
      <w:bookmarkEnd w:id="718"/>
      <w:bookmarkEnd w:id="719"/>
      <w:r w:rsidRPr="001427AF">
        <w:t>)</w:t>
      </w:r>
      <w:bookmarkEnd w:id="720"/>
      <w:r w:rsidR="007F4424" w:rsidRPr="001427AF">
        <w:fldChar w:fldCharType="begin"/>
      </w:r>
      <w:r w:rsidR="007F4424" w:rsidRPr="001427AF">
        <w:instrText xml:space="preserve"> XE "NC Math 1 and NC Math 3" </w:instrText>
      </w:r>
      <w:r w:rsidR="007F4424" w:rsidRPr="001427AF">
        <w:fldChar w:fldCharType="end"/>
      </w:r>
    </w:p>
    <w:p w14:paraId="0488FF8D" w14:textId="77777777" w:rsidR="00883BDE" w:rsidRPr="001427AF" w:rsidRDefault="00883BDE" w:rsidP="00AB43C9">
      <w:pPr>
        <w:pStyle w:val="Default"/>
        <w:rPr>
          <w:rFonts w:ascii="Arial" w:hAnsi="Arial" w:cs="Arial"/>
          <w:b/>
          <w:caps/>
          <w:color w:val="auto"/>
          <w:kern w:val="16"/>
          <w:sz w:val="28"/>
          <w:szCs w:val="28"/>
        </w:rPr>
      </w:pPr>
    </w:p>
    <w:p w14:paraId="63AD208B" w14:textId="77777777" w:rsidR="009E5FD3" w:rsidRPr="001427AF" w:rsidRDefault="009E5FD3" w:rsidP="009E5FD3">
      <w:pPr>
        <w:autoSpaceDE w:val="0"/>
        <w:autoSpaceDN w:val="0"/>
        <w:adjustRightInd w:val="0"/>
        <w:spacing w:line="240" w:lineRule="auto"/>
        <w:rPr>
          <w:rFonts w:ascii="Arial" w:hAnsi="Arial" w:cs="Arial"/>
          <w:szCs w:val="24"/>
        </w:rPr>
      </w:pPr>
      <w:bookmarkStart w:id="721" w:name="_Toc135812552"/>
      <w:bookmarkStart w:id="722" w:name="_Toc136418933"/>
      <w:bookmarkStart w:id="723" w:name="_Toc136419189"/>
      <w:r w:rsidRPr="001427AF">
        <w:rPr>
          <w:rFonts w:ascii="Arial" w:hAnsi="Arial" w:cs="Arial"/>
          <w:szCs w:val="24"/>
        </w:rPr>
        <w:t xml:space="preserve">In May 2017, the North Carolina State Board of Education (SBE) approved the use of flexibility afforded to states in the ESSA for grade 8 students </w:t>
      </w:r>
      <w:r w:rsidRPr="001427AF">
        <w:rPr>
          <w:rFonts w:ascii="Arial" w:hAnsi="Arial" w:cs="Arial"/>
          <w:color w:val="auto"/>
          <w:szCs w:val="24"/>
        </w:rPr>
        <w:t xml:space="preserve">who are </w:t>
      </w:r>
      <w:r w:rsidRPr="001427AF">
        <w:rPr>
          <w:rFonts w:ascii="Arial" w:hAnsi="Arial" w:cs="Arial"/>
          <w:szCs w:val="24"/>
        </w:rPr>
        <w:t xml:space="preserve">enrolled in NC Math 1. This flexibility allows grade 8 students to take only one mathematics summative assessment (i.e., NC Math 1 EOC test), thus eliminating double testing for these students. With this flexibility, students who take NC Math 1 in grade 8 or earlier use the NC Math 3 EOC test results for high school accountability. </w:t>
      </w:r>
    </w:p>
    <w:p w14:paraId="03C66A70" w14:textId="77777777" w:rsidR="009E5FD3" w:rsidRPr="001427AF" w:rsidRDefault="009E5FD3" w:rsidP="009E5FD3">
      <w:pPr>
        <w:autoSpaceDE w:val="0"/>
        <w:autoSpaceDN w:val="0"/>
        <w:adjustRightInd w:val="0"/>
        <w:spacing w:line="240" w:lineRule="auto"/>
        <w:rPr>
          <w:rFonts w:ascii="Arial" w:hAnsi="Arial" w:cs="Arial"/>
          <w:szCs w:val="24"/>
        </w:rPr>
      </w:pPr>
    </w:p>
    <w:p w14:paraId="6DEDFA6A" w14:textId="77777777" w:rsidR="009E5FD3" w:rsidRPr="001427AF" w:rsidRDefault="009E5FD3" w:rsidP="009E5FD3">
      <w:pPr>
        <w:autoSpaceDE w:val="0"/>
        <w:autoSpaceDN w:val="0"/>
        <w:adjustRightInd w:val="0"/>
        <w:spacing w:line="240" w:lineRule="auto"/>
        <w:rPr>
          <w:rFonts w:ascii="Arial" w:hAnsi="Arial" w:cs="Arial"/>
          <w:szCs w:val="24"/>
        </w:rPr>
      </w:pPr>
      <w:r w:rsidRPr="001427AF">
        <w:rPr>
          <w:rFonts w:ascii="Arial" w:hAnsi="Arial" w:cs="Arial"/>
          <w:szCs w:val="24"/>
        </w:rPr>
        <w:t xml:space="preserve">The federal law allowing the grade 8 exception does not include grade 7 or earlier. Therefore, students enrolled in earlier grades than </w:t>
      </w:r>
      <w:proofErr w:type="gramStart"/>
      <w:r w:rsidRPr="001427AF">
        <w:rPr>
          <w:rFonts w:ascii="Arial" w:hAnsi="Arial" w:cs="Arial"/>
          <w:szCs w:val="24"/>
        </w:rPr>
        <w:t>grade</w:t>
      </w:r>
      <w:proofErr w:type="gramEnd"/>
      <w:r w:rsidRPr="001427AF">
        <w:rPr>
          <w:rFonts w:ascii="Arial" w:hAnsi="Arial" w:cs="Arial"/>
          <w:szCs w:val="24"/>
        </w:rPr>
        <w:t xml:space="preserve"> 8 and in NC Math 1 must take both the NC Math 1 EOC and the current grade level EOG tests. For these students, the NC Math 1 EOC score is used for growth in the year taken and when the student is in grade 8 this score is calculated as the student’s mathematics test for participation, long-term goals, and proficiency in the SPG calculation. </w:t>
      </w:r>
    </w:p>
    <w:p w14:paraId="5DACA965" w14:textId="77777777" w:rsidR="009E5FD3" w:rsidRPr="001427AF" w:rsidRDefault="009E5FD3" w:rsidP="009E5FD3">
      <w:pPr>
        <w:autoSpaceDE w:val="0"/>
        <w:autoSpaceDN w:val="0"/>
        <w:adjustRightInd w:val="0"/>
        <w:spacing w:line="240" w:lineRule="auto"/>
        <w:rPr>
          <w:rFonts w:ascii="Arial" w:hAnsi="Arial" w:cs="Arial"/>
          <w:szCs w:val="24"/>
        </w:rPr>
      </w:pPr>
    </w:p>
    <w:p w14:paraId="43EB6F51" w14:textId="77777777" w:rsidR="009E5FD3" w:rsidRPr="001427AF" w:rsidRDefault="009E5FD3" w:rsidP="009E5FD3">
      <w:pPr>
        <w:autoSpaceDE w:val="0"/>
        <w:autoSpaceDN w:val="0"/>
        <w:adjustRightInd w:val="0"/>
        <w:spacing w:line="240" w:lineRule="auto"/>
        <w:rPr>
          <w:rFonts w:ascii="Arial" w:hAnsi="Arial" w:cs="Arial"/>
          <w:szCs w:val="24"/>
        </w:rPr>
      </w:pPr>
      <w:r w:rsidRPr="001427AF">
        <w:rPr>
          <w:rFonts w:ascii="Arial" w:hAnsi="Arial" w:cs="Arial"/>
          <w:szCs w:val="24"/>
        </w:rPr>
        <w:t xml:space="preserve">For the purposes of understanding how tests count in the following calculations, two pathways (Standard and Accelerated) have been identified and are defined as follows:   </w:t>
      </w:r>
    </w:p>
    <w:p w14:paraId="3A1A5848" w14:textId="77777777" w:rsidR="009E5FD3" w:rsidRPr="001427AF" w:rsidRDefault="009E5FD3" w:rsidP="009E5FD3">
      <w:pPr>
        <w:autoSpaceDE w:val="0"/>
        <w:autoSpaceDN w:val="0"/>
        <w:adjustRightInd w:val="0"/>
        <w:spacing w:line="240" w:lineRule="auto"/>
        <w:rPr>
          <w:rFonts w:ascii="Arial" w:hAnsi="Arial" w:cs="Arial"/>
          <w:b/>
          <w:bCs/>
          <w:szCs w:val="24"/>
        </w:rPr>
      </w:pPr>
    </w:p>
    <w:p w14:paraId="1FB9A48A" w14:textId="77777777" w:rsidR="009E5FD3" w:rsidRPr="001427AF" w:rsidRDefault="009E5FD3" w:rsidP="009E5FD3">
      <w:pPr>
        <w:autoSpaceDE w:val="0"/>
        <w:autoSpaceDN w:val="0"/>
        <w:adjustRightInd w:val="0"/>
        <w:spacing w:line="240" w:lineRule="auto"/>
        <w:rPr>
          <w:rFonts w:ascii="Arial" w:hAnsi="Arial" w:cs="Arial"/>
          <w:szCs w:val="24"/>
        </w:rPr>
      </w:pPr>
      <w:r w:rsidRPr="001427AF">
        <w:rPr>
          <w:rFonts w:ascii="Arial" w:hAnsi="Arial" w:cs="Arial"/>
          <w:b/>
          <w:szCs w:val="24"/>
        </w:rPr>
        <w:t>Standard Pathway</w:t>
      </w:r>
      <w:r w:rsidRPr="001427AF">
        <w:rPr>
          <w:rFonts w:ascii="Arial" w:hAnsi="Arial" w:cs="Arial"/>
          <w:szCs w:val="24"/>
        </w:rPr>
        <w:t xml:space="preserve">. Taking the NC Math 1 course for the </w:t>
      </w:r>
      <w:r w:rsidRPr="001427AF">
        <w:rPr>
          <w:rFonts w:ascii="Arial" w:hAnsi="Arial" w:cs="Arial"/>
          <w:i/>
          <w:iCs/>
          <w:szCs w:val="24"/>
        </w:rPr>
        <w:t>first</w:t>
      </w:r>
      <w:r w:rsidRPr="001427AF">
        <w:rPr>
          <w:rFonts w:ascii="Arial" w:hAnsi="Arial" w:cs="Arial"/>
          <w:szCs w:val="24"/>
        </w:rPr>
        <w:t xml:space="preserve"> </w:t>
      </w:r>
      <w:r w:rsidRPr="001427AF">
        <w:rPr>
          <w:rFonts w:ascii="Arial" w:hAnsi="Arial" w:cs="Arial"/>
          <w:i/>
          <w:szCs w:val="24"/>
        </w:rPr>
        <w:t>time</w:t>
      </w:r>
      <w:r w:rsidRPr="001427AF">
        <w:rPr>
          <w:rFonts w:ascii="Arial" w:hAnsi="Arial" w:cs="Arial"/>
          <w:szCs w:val="24"/>
        </w:rPr>
        <w:t xml:space="preserve"> in grade 9 or higher. </w:t>
      </w:r>
      <w:r w:rsidRPr="001427AF">
        <w:rPr>
          <w:rFonts w:ascii="Arial" w:hAnsi="Arial" w:cs="Arial"/>
          <w:b/>
          <w:szCs w:val="24"/>
        </w:rPr>
        <w:t>Accelerated Pathway</w:t>
      </w:r>
      <w:r w:rsidRPr="001427AF">
        <w:rPr>
          <w:rFonts w:ascii="Arial" w:hAnsi="Arial" w:cs="Arial"/>
          <w:szCs w:val="24"/>
        </w:rPr>
        <w:t xml:space="preserve">. Taking the NC Math 1 course for the </w:t>
      </w:r>
      <w:r w:rsidRPr="001427AF">
        <w:rPr>
          <w:rFonts w:ascii="Arial" w:hAnsi="Arial" w:cs="Arial"/>
          <w:i/>
          <w:iCs/>
          <w:szCs w:val="24"/>
        </w:rPr>
        <w:t>first</w:t>
      </w:r>
      <w:r w:rsidRPr="001427AF">
        <w:rPr>
          <w:rFonts w:ascii="Arial" w:hAnsi="Arial" w:cs="Arial"/>
          <w:szCs w:val="24"/>
        </w:rPr>
        <w:t xml:space="preserve"> </w:t>
      </w:r>
      <w:r w:rsidRPr="001427AF">
        <w:rPr>
          <w:rFonts w:ascii="Arial" w:hAnsi="Arial" w:cs="Arial"/>
          <w:i/>
          <w:szCs w:val="24"/>
        </w:rPr>
        <w:t>time</w:t>
      </w:r>
      <w:r w:rsidRPr="001427AF">
        <w:rPr>
          <w:rFonts w:ascii="Arial" w:hAnsi="Arial" w:cs="Arial"/>
          <w:szCs w:val="24"/>
        </w:rPr>
        <w:t xml:space="preserve"> in grade 8 or earlier. </w:t>
      </w:r>
    </w:p>
    <w:p w14:paraId="2FEA0891" w14:textId="77777777" w:rsidR="009E5FD3" w:rsidRPr="001427AF" w:rsidRDefault="009E5FD3" w:rsidP="009E5FD3">
      <w:pPr>
        <w:autoSpaceDE w:val="0"/>
        <w:autoSpaceDN w:val="0"/>
        <w:adjustRightInd w:val="0"/>
        <w:spacing w:line="240" w:lineRule="auto"/>
        <w:rPr>
          <w:rFonts w:ascii="Arial" w:hAnsi="Arial" w:cs="Arial"/>
          <w:szCs w:val="24"/>
        </w:rPr>
      </w:pPr>
    </w:p>
    <w:p w14:paraId="405772A0" w14:textId="77777777" w:rsidR="009E5FD3" w:rsidRPr="001427AF" w:rsidRDefault="009E5FD3" w:rsidP="009E5FD3">
      <w:pPr>
        <w:autoSpaceDE w:val="0"/>
        <w:autoSpaceDN w:val="0"/>
        <w:adjustRightInd w:val="0"/>
        <w:spacing w:line="240" w:lineRule="auto"/>
        <w:rPr>
          <w:rFonts w:ascii="Arial" w:hAnsi="Arial" w:cs="Arial"/>
          <w:szCs w:val="24"/>
        </w:rPr>
      </w:pPr>
      <w:r w:rsidRPr="001427AF">
        <w:rPr>
          <w:rFonts w:ascii="Arial" w:hAnsi="Arial" w:cs="Arial"/>
          <w:szCs w:val="24"/>
        </w:rPr>
        <w:t>NCDPI will identify students who took the NC Math 1 course in or before grade 8 and note which pathway (Standard or Accelerated) they are on for accountability purposes. Students on the standard pathway will use NC Math 1 in high school for all accountability calculations and students on the accelerated pathway will use NC Math 3 in high school for all accountability calculations (i.e., participation, long-term goals, and School Performance Grades).</w:t>
      </w:r>
    </w:p>
    <w:p w14:paraId="75D536B1" w14:textId="77777777" w:rsidR="009E5FD3" w:rsidRPr="001427AF" w:rsidRDefault="009E5FD3" w:rsidP="009E5FD3">
      <w:pPr>
        <w:autoSpaceDE w:val="0"/>
        <w:autoSpaceDN w:val="0"/>
        <w:adjustRightInd w:val="0"/>
        <w:spacing w:line="240" w:lineRule="auto"/>
        <w:ind w:right="-720"/>
        <w:rPr>
          <w:rFonts w:ascii="Arial" w:hAnsi="Arial" w:cs="Arial"/>
          <w:szCs w:val="24"/>
        </w:rPr>
      </w:pPr>
    </w:p>
    <w:p w14:paraId="0FA02AF3" w14:textId="77777777" w:rsidR="009E5FD3" w:rsidRPr="001427AF" w:rsidRDefault="009E5FD3" w:rsidP="001514C3">
      <w:pPr>
        <w:pStyle w:val="Heading2"/>
      </w:pPr>
      <w:bookmarkStart w:id="724" w:name="_Toc100132573"/>
      <w:bookmarkStart w:id="725" w:name="_Toc100132777"/>
      <w:bookmarkStart w:id="726" w:name="_Toc100136578"/>
      <w:bookmarkStart w:id="727" w:name="_Toc114211823"/>
      <w:bookmarkStart w:id="728" w:name="_Toc135812548"/>
      <w:bookmarkStart w:id="729" w:name="_Toc136418929"/>
      <w:bookmarkStart w:id="730" w:name="_Toc136419185"/>
      <w:bookmarkStart w:id="731" w:name="_Toc164435007"/>
      <w:bookmarkStart w:id="732" w:name="_Toc225404998"/>
      <w:r w:rsidRPr="001427AF">
        <w:t>Mathematic Tests Used to Calculate the 95% Participation Rate Requirements</w:t>
      </w:r>
      <w:bookmarkEnd w:id="724"/>
      <w:bookmarkEnd w:id="725"/>
      <w:bookmarkEnd w:id="726"/>
      <w:bookmarkEnd w:id="727"/>
      <w:bookmarkEnd w:id="728"/>
      <w:bookmarkEnd w:id="729"/>
      <w:bookmarkEnd w:id="730"/>
      <w:bookmarkEnd w:id="731"/>
      <w:bookmarkEnd w:id="732"/>
    </w:p>
    <w:p w14:paraId="0E9C6F7E" w14:textId="77777777" w:rsidR="009E5FD3" w:rsidRPr="001427AF" w:rsidRDefault="009E5FD3" w:rsidP="009E5FD3">
      <w:pPr>
        <w:contextualSpacing/>
        <w:rPr>
          <w:rFonts w:ascii="Arial" w:hAnsi="Arial" w:cs="Arial"/>
        </w:rPr>
      </w:pPr>
      <w:r w:rsidRPr="001427AF">
        <w:rPr>
          <w:rFonts w:ascii="Arial" w:hAnsi="Arial" w:cs="Arial"/>
        </w:rPr>
        <w:t xml:space="preserve">The following tests are combined for students in membership </w:t>
      </w:r>
      <w:proofErr w:type="gramStart"/>
      <w:r w:rsidRPr="001427AF">
        <w:rPr>
          <w:rFonts w:ascii="Arial" w:hAnsi="Arial" w:cs="Arial"/>
        </w:rPr>
        <w:t>at</w:t>
      </w:r>
      <w:proofErr w:type="gramEnd"/>
      <w:r w:rsidRPr="001427AF">
        <w:rPr>
          <w:rFonts w:ascii="Arial" w:hAnsi="Arial" w:cs="Arial"/>
        </w:rPr>
        <w:t xml:space="preserve"> grade 8 to determine if a school has met the 95% participation rate requirement in mathematics for all students and each subgroup of students: </w:t>
      </w:r>
    </w:p>
    <w:p w14:paraId="226DE5A1" w14:textId="77777777" w:rsidR="009E5FD3" w:rsidRPr="001427AF" w:rsidRDefault="009E5FD3" w:rsidP="00CA5853">
      <w:pPr>
        <w:numPr>
          <w:ilvl w:val="0"/>
          <w:numId w:val="151"/>
        </w:numPr>
        <w:autoSpaceDE w:val="0"/>
        <w:autoSpaceDN w:val="0"/>
        <w:adjustRightInd w:val="0"/>
        <w:spacing w:line="240" w:lineRule="auto"/>
        <w:rPr>
          <w:rFonts w:ascii="Arial" w:hAnsi="Arial" w:cs="Arial"/>
          <w:szCs w:val="24"/>
        </w:rPr>
      </w:pPr>
      <w:r w:rsidRPr="001427AF">
        <w:rPr>
          <w:rFonts w:ascii="Arial" w:hAnsi="Arial" w:cs="Arial"/>
          <w:szCs w:val="24"/>
        </w:rPr>
        <w:t>Grade 8 Mathematics EOG test</w:t>
      </w:r>
      <w:r w:rsidRPr="001427AF" w:rsidDel="00A269F1">
        <w:rPr>
          <w:rFonts w:ascii="Arial" w:hAnsi="Arial" w:cs="Arial"/>
          <w:szCs w:val="24"/>
        </w:rPr>
        <w:t>.</w:t>
      </w:r>
    </w:p>
    <w:p w14:paraId="6D0F1572" w14:textId="77777777" w:rsidR="009E5FD3" w:rsidRPr="001427AF" w:rsidRDefault="009E5FD3" w:rsidP="00CA5853">
      <w:pPr>
        <w:numPr>
          <w:ilvl w:val="0"/>
          <w:numId w:val="151"/>
        </w:numPr>
        <w:autoSpaceDE w:val="0"/>
        <w:autoSpaceDN w:val="0"/>
        <w:adjustRightInd w:val="0"/>
        <w:spacing w:line="240" w:lineRule="auto"/>
        <w:rPr>
          <w:rFonts w:ascii="Arial" w:hAnsi="Arial" w:cs="Arial"/>
          <w:szCs w:val="24"/>
        </w:rPr>
      </w:pPr>
      <w:r w:rsidRPr="001427AF">
        <w:rPr>
          <w:rFonts w:ascii="Arial" w:hAnsi="Arial" w:cs="Arial"/>
          <w:szCs w:val="24"/>
        </w:rPr>
        <w:t>NC Math 1 EOC test for students currently enrolled in the NC Math 1 course in grade 8</w:t>
      </w:r>
      <w:r w:rsidRPr="001427AF" w:rsidDel="00A269F1">
        <w:rPr>
          <w:rFonts w:ascii="Arial" w:hAnsi="Arial" w:cs="Arial"/>
          <w:szCs w:val="24"/>
        </w:rPr>
        <w:t>.</w:t>
      </w:r>
      <w:r w:rsidRPr="001427AF">
        <w:rPr>
          <w:rFonts w:ascii="Arial" w:hAnsi="Arial" w:cs="Arial"/>
          <w:szCs w:val="24"/>
        </w:rPr>
        <w:t xml:space="preserve"> </w:t>
      </w:r>
    </w:p>
    <w:p w14:paraId="76B6ACF3" w14:textId="77777777" w:rsidR="009E5FD3" w:rsidRPr="001427AF" w:rsidRDefault="009E5FD3" w:rsidP="00CA5853">
      <w:pPr>
        <w:numPr>
          <w:ilvl w:val="0"/>
          <w:numId w:val="151"/>
        </w:numPr>
        <w:autoSpaceDE w:val="0"/>
        <w:autoSpaceDN w:val="0"/>
        <w:adjustRightInd w:val="0"/>
        <w:spacing w:line="240" w:lineRule="auto"/>
        <w:rPr>
          <w:rFonts w:ascii="Arial" w:hAnsi="Arial" w:cs="Arial"/>
          <w:szCs w:val="24"/>
        </w:rPr>
      </w:pPr>
      <w:r w:rsidRPr="001427AF">
        <w:rPr>
          <w:rFonts w:ascii="Arial" w:hAnsi="Arial" w:cs="Arial"/>
          <w:szCs w:val="24"/>
        </w:rPr>
        <w:t>NC Math 1 EOC test (banked) for students previously enrolled in the NC Math 1 course prior to grade 8</w:t>
      </w:r>
      <w:r w:rsidRPr="001427AF" w:rsidDel="00D042A4">
        <w:rPr>
          <w:rFonts w:ascii="Arial" w:hAnsi="Arial" w:cs="Arial"/>
          <w:szCs w:val="24"/>
        </w:rPr>
        <w:t>.</w:t>
      </w:r>
      <w:r w:rsidRPr="001427AF">
        <w:rPr>
          <w:rFonts w:ascii="Arial" w:hAnsi="Arial" w:cs="Arial"/>
          <w:szCs w:val="24"/>
        </w:rPr>
        <w:t xml:space="preserve"> </w:t>
      </w:r>
    </w:p>
    <w:p w14:paraId="5915CDE7" w14:textId="77777777" w:rsidR="009E5FD3" w:rsidRPr="001427AF" w:rsidRDefault="009E5FD3" w:rsidP="00CA5853">
      <w:pPr>
        <w:pStyle w:val="ListParagraph"/>
        <w:numPr>
          <w:ilvl w:val="1"/>
          <w:numId w:val="151"/>
        </w:numPr>
        <w:rPr>
          <w:rFonts w:ascii="Arial" w:hAnsi="Arial" w:cs="Arial"/>
          <w:szCs w:val="24"/>
        </w:rPr>
      </w:pPr>
      <w:r w:rsidRPr="001427AF">
        <w:rPr>
          <w:rFonts w:ascii="Arial" w:hAnsi="Arial" w:cs="Arial"/>
        </w:rPr>
        <w:t>Accele</w:t>
      </w:r>
      <w:r w:rsidRPr="001427AF">
        <w:rPr>
          <w:rFonts w:ascii="Arial" w:hAnsi="Arial" w:cs="Arial"/>
          <w:szCs w:val="24"/>
        </w:rPr>
        <w:t xml:space="preserve">rated Pathway: Students enrolled in earlier grades than </w:t>
      </w:r>
      <w:proofErr w:type="gramStart"/>
      <w:r w:rsidRPr="001427AF">
        <w:rPr>
          <w:rFonts w:ascii="Arial" w:hAnsi="Arial" w:cs="Arial"/>
          <w:szCs w:val="24"/>
        </w:rPr>
        <w:t>grade</w:t>
      </w:r>
      <w:proofErr w:type="gramEnd"/>
      <w:r w:rsidRPr="001427AF">
        <w:rPr>
          <w:rFonts w:ascii="Arial" w:hAnsi="Arial" w:cs="Arial"/>
          <w:szCs w:val="24"/>
        </w:rPr>
        <w:t xml:space="preserve"> 8 and in NC Math 1 must take both the NC Math 1 EOC and the current grade</w:t>
      </w:r>
      <w:r w:rsidRPr="001427AF">
        <w:rPr>
          <w:rFonts w:ascii="Arial" w:hAnsi="Arial" w:cs="Arial"/>
          <w:spacing w:val="-1"/>
          <w:szCs w:val="24"/>
        </w:rPr>
        <w:t xml:space="preserve"> </w:t>
      </w:r>
      <w:r w:rsidRPr="001427AF">
        <w:rPr>
          <w:rFonts w:ascii="Arial" w:hAnsi="Arial" w:cs="Arial"/>
          <w:szCs w:val="24"/>
        </w:rPr>
        <w:t>level EOG</w:t>
      </w:r>
      <w:r w:rsidRPr="001427AF">
        <w:rPr>
          <w:rFonts w:ascii="Arial" w:hAnsi="Arial" w:cs="Arial"/>
          <w:spacing w:val="-5"/>
          <w:szCs w:val="24"/>
        </w:rPr>
        <w:t xml:space="preserve"> </w:t>
      </w:r>
      <w:r w:rsidRPr="001427AF">
        <w:rPr>
          <w:rFonts w:ascii="Arial" w:hAnsi="Arial" w:cs="Arial"/>
          <w:szCs w:val="24"/>
        </w:rPr>
        <w:t>tests.</w:t>
      </w:r>
      <w:r w:rsidRPr="001427AF">
        <w:rPr>
          <w:rFonts w:ascii="Arial" w:hAnsi="Arial" w:cs="Arial"/>
          <w:spacing w:val="40"/>
          <w:szCs w:val="24"/>
        </w:rPr>
        <w:t xml:space="preserve"> </w:t>
      </w:r>
      <w:r w:rsidRPr="001427AF">
        <w:rPr>
          <w:rFonts w:ascii="Arial" w:hAnsi="Arial" w:cs="Arial"/>
          <w:szCs w:val="24"/>
        </w:rPr>
        <w:t>For</w:t>
      </w:r>
      <w:r w:rsidRPr="001427AF">
        <w:rPr>
          <w:rFonts w:ascii="Arial" w:hAnsi="Arial" w:cs="Arial"/>
          <w:spacing w:val="-3"/>
          <w:szCs w:val="24"/>
        </w:rPr>
        <w:t xml:space="preserve"> </w:t>
      </w:r>
      <w:r w:rsidRPr="001427AF">
        <w:rPr>
          <w:rFonts w:ascii="Arial" w:hAnsi="Arial" w:cs="Arial"/>
          <w:szCs w:val="24"/>
        </w:rPr>
        <w:t>these</w:t>
      </w:r>
      <w:r w:rsidRPr="001427AF">
        <w:rPr>
          <w:rFonts w:ascii="Arial" w:hAnsi="Arial" w:cs="Arial"/>
          <w:spacing w:val="-1"/>
          <w:szCs w:val="24"/>
        </w:rPr>
        <w:t xml:space="preserve"> </w:t>
      </w:r>
      <w:r w:rsidRPr="001427AF">
        <w:rPr>
          <w:rFonts w:ascii="Arial" w:hAnsi="Arial" w:cs="Arial"/>
          <w:szCs w:val="24"/>
        </w:rPr>
        <w:t>students,</w:t>
      </w:r>
      <w:r w:rsidRPr="001427AF">
        <w:rPr>
          <w:rFonts w:ascii="Arial" w:hAnsi="Arial" w:cs="Arial"/>
          <w:spacing w:val="-4"/>
          <w:szCs w:val="24"/>
        </w:rPr>
        <w:t xml:space="preserve"> </w:t>
      </w:r>
      <w:r w:rsidRPr="001427AF">
        <w:rPr>
          <w:rFonts w:ascii="Arial" w:hAnsi="Arial" w:cs="Arial"/>
          <w:szCs w:val="24"/>
        </w:rPr>
        <w:t>the</w:t>
      </w:r>
      <w:r w:rsidRPr="001427AF">
        <w:rPr>
          <w:rFonts w:ascii="Arial" w:hAnsi="Arial" w:cs="Arial"/>
          <w:spacing w:val="-1"/>
          <w:szCs w:val="24"/>
        </w:rPr>
        <w:t xml:space="preserve"> </w:t>
      </w:r>
      <w:r w:rsidRPr="001427AF">
        <w:rPr>
          <w:rFonts w:ascii="Arial" w:hAnsi="Arial" w:cs="Arial"/>
          <w:szCs w:val="24"/>
        </w:rPr>
        <w:t>NC</w:t>
      </w:r>
      <w:r w:rsidRPr="001427AF">
        <w:rPr>
          <w:rFonts w:ascii="Arial" w:hAnsi="Arial" w:cs="Arial"/>
          <w:spacing w:val="-5"/>
          <w:szCs w:val="24"/>
        </w:rPr>
        <w:t xml:space="preserve"> </w:t>
      </w:r>
      <w:r w:rsidRPr="001427AF">
        <w:rPr>
          <w:rFonts w:ascii="Arial" w:hAnsi="Arial" w:cs="Arial"/>
          <w:szCs w:val="24"/>
        </w:rPr>
        <w:t>Math</w:t>
      </w:r>
      <w:r w:rsidRPr="001427AF">
        <w:rPr>
          <w:rFonts w:ascii="Arial" w:hAnsi="Arial" w:cs="Arial"/>
          <w:spacing w:val="-1"/>
          <w:szCs w:val="24"/>
        </w:rPr>
        <w:t xml:space="preserve"> </w:t>
      </w:r>
      <w:r w:rsidRPr="001427AF">
        <w:rPr>
          <w:rFonts w:ascii="Arial" w:hAnsi="Arial" w:cs="Arial"/>
          <w:szCs w:val="24"/>
        </w:rPr>
        <w:t>1</w:t>
      </w:r>
      <w:r w:rsidRPr="001427AF">
        <w:rPr>
          <w:rFonts w:ascii="Arial" w:hAnsi="Arial" w:cs="Arial"/>
          <w:spacing w:val="-1"/>
          <w:szCs w:val="24"/>
        </w:rPr>
        <w:t xml:space="preserve"> </w:t>
      </w:r>
      <w:r w:rsidRPr="001427AF">
        <w:rPr>
          <w:rFonts w:ascii="Arial" w:hAnsi="Arial" w:cs="Arial"/>
          <w:szCs w:val="24"/>
        </w:rPr>
        <w:t>EOC</w:t>
      </w:r>
      <w:r w:rsidRPr="001427AF">
        <w:rPr>
          <w:rFonts w:ascii="Arial" w:hAnsi="Arial" w:cs="Arial"/>
          <w:spacing w:val="-2"/>
          <w:szCs w:val="24"/>
        </w:rPr>
        <w:t xml:space="preserve"> </w:t>
      </w:r>
      <w:r w:rsidRPr="001427AF">
        <w:rPr>
          <w:rFonts w:ascii="Arial" w:hAnsi="Arial" w:cs="Arial"/>
          <w:szCs w:val="24"/>
        </w:rPr>
        <w:t>score</w:t>
      </w:r>
      <w:r w:rsidRPr="001427AF">
        <w:rPr>
          <w:rFonts w:ascii="Arial" w:hAnsi="Arial" w:cs="Arial"/>
          <w:spacing w:val="-1"/>
          <w:szCs w:val="24"/>
        </w:rPr>
        <w:t xml:space="preserve"> </w:t>
      </w:r>
      <w:r w:rsidRPr="001427AF">
        <w:rPr>
          <w:rFonts w:ascii="Arial" w:hAnsi="Arial" w:cs="Arial"/>
          <w:szCs w:val="24"/>
        </w:rPr>
        <w:t>is</w:t>
      </w:r>
      <w:r w:rsidRPr="001427AF">
        <w:rPr>
          <w:rFonts w:ascii="Arial" w:hAnsi="Arial" w:cs="Arial"/>
          <w:spacing w:val="-1"/>
          <w:szCs w:val="24"/>
        </w:rPr>
        <w:t xml:space="preserve"> </w:t>
      </w:r>
      <w:r w:rsidRPr="001427AF">
        <w:rPr>
          <w:rFonts w:ascii="Arial" w:hAnsi="Arial" w:cs="Arial"/>
          <w:szCs w:val="24"/>
        </w:rPr>
        <w:t>used</w:t>
      </w:r>
      <w:r w:rsidRPr="001427AF">
        <w:rPr>
          <w:rFonts w:ascii="Arial" w:hAnsi="Arial" w:cs="Arial"/>
          <w:spacing w:val="-1"/>
          <w:szCs w:val="24"/>
        </w:rPr>
        <w:t xml:space="preserve"> </w:t>
      </w:r>
      <w:r w:rsidRPr="001427AF">
        <w:rPr>
          <w:rFonts w:ascii="Arial" w:hAnsi="Arial" w:cs="Arial"/>
          <w:szCs w:val="24"/>
        </w:rPr>
        <w:t>for growth</w:t>
      </w:r>
      <w:r w:rsidRPr="001427AF">
        <w:rPr>
          <w:rFonts w:ascii="Arial" w:hAnsi="Arial" w:cs="Arial"/>
          <w:spacing w:val="-4"/>
          <w:szCs w:val="24"/>
        </w:rPr>
        <w:t xml:space="preserve"> </w:t>
      </w:r>
      <w:r w:rsidRPr="001427AF">
        <w:rPr>
          <w:rFonts w:ascii="Arial" w:hAnsi="Arial" w:cs="Arial"/>
          <w:szCs w:val="24"/>
        </w:rPr>
        <w:t>in</w:t>
      </w:r>
      <w:r w:rsidRPr="001427AF">
        <w:rPr>
          <w:rFonts w:ascii="Arial" w:hAnsi="Arial" w:cs="Arial"/>
          <w:spacing w:val="-4"/>
          <w:szCs w:val="24"/>
        </w:rPr>
        <w:t xml:space="preserve"> </w:t>
      </w:r>
      <w:r w:rsidRPr="001427AF">
        <w:rPr>
          <w:rFonts w:ascii="Arial" w:hAnsi="Arial" w:cs="Arial"/>
          <w:szCs w:val="24"/>
        </w:rPr>
        <w:t>the</w:t>
      </w:r>
      <w:r w:rsidRPr="001427AF">
        <w:rPr>
          <w:rFonts w:ascii="Arial" w:hAnsi="Arial" w:cs="Arial"/>
          <w:spacing w:val="-1"/>
          <w:szCs w:val="24"/>
        </w:rPr>
        <w:t xml:space="preserve"> </w:t>
      </w:r>
      <w:r w:rsidRPr="001427AF">
        <w:rPr>
          <w:rFonts w:ascii="Arial" w:hAnsi="Arial" w:cs="Arial"/>
          <w:szCs w:val="24"/>
        </w:rPr>
        <w:t>year</w:t>
      </w:r>
      <w:r w:rsidRPr="001427AF">
        <w:rPr>
          <w:rFonts w:ascii="Arial" w:hAnsi="Arial" w:cs="Arial"/>
          <w:spacing w:val="-3"/>
          <w:szCs w:val="24"/>
        </w:rPr>
        <w:t xml:space="preserve"> </w:t>
      </w:r>
      <w:r w:rsidRPr="001427AF">
        <w:rPr>
          <w:rFonts w:ascii="Arial" w:hAnsi="Arial" w:cs="Arial"/>
          <w:szCs w:val="24"/>
        </w:rPr>
        <w:t>taken</w:t>
      </w:r>
      <w:r w:rsidRPr="001427AF">
        <w:rPr>
          <w:rFonts w:ascii="Arial" w:hAnsi="Arial" w:cs="Arial"/>
          <w:spacing w:val="-1"/>
          <w:szCs w:val="24"/>
        </w:rPr>
        <w:t xml:space="preserve"> </w:t>
      </w:r>
      <w:r w:rsidRPr="001427AF">
        <w:rPr>
          <w:rFonts w:ascii="Arial" w:hAnsi="Arial" w:cs="Arial"/>
          <w:szCs w:val="24"/>
        </w:rPr>
        <w:t xml:space="preserve">and when the student is in grade 8 the NC Math 1 EOC is </w:t>
      </w:r>
      <w:r w:rsidRPr="001427AF">
        <w:rPr>
          <w:rFonts w:ascii="Arial" w:hAnsi="Arial" w:cs="Arial"/>
          <w:szCs w:val="24"/>
        </w:rPr>
        <w:lastRenderedPageBreak/>
        <w:t>used as the student’s mathematics test for participation, long-term goals, and proficiency in the SPG calculation</w:t>
      </w:r>
      <w:r w:rsidRPr="001427AF">
        <w:rPr>
          <w:rFonts w:ascii="Arial" w:hAnsi="Arial" w:cs="Arial"/>
          <w:spacing w:val="-2"/>
          <w:szCs w:val="24"/>
        </w:rPr>
        <w:t>.</w:t>
      </w:r>
    </w:p>
    <w:p w14:paraId="05BF862F" w14:textId="77777777" w:rsidR="009E5FD3" w:rsidRPr="001427AF" w:rsidRDefault="009E5FD3" w:rsidP="00CA5853">
      <w:pPr>
        <w:pStyle w:val="ListParagraph"/>
        <w:numPr>
          <w:ilvl w:val="0"/>
          <w:numId w:val="151"/>
        </w:numPr>
        <w:autoSpaceDE w:val="0"/>
        <w:autoSpaceDN w:val="0"/>
        <w:adjustRightInd w:val="0"/>
        <w:spacing w:line="240" w:lineRule="auto"/>
        <w:rPr>
          <w:rFonts w:ascii="Arial" w:hAnsi="Arial" w:cs="Arial"/>
          <w:szCs w:val="24"/>
        </w:rPr>
      </w:pPr>
      <w:r w:rsidRPr="001427AF">
        <w:rPr>
          <w:rFonts w:ascii="Arial" w:hAnsi="Arial" w:cs="Arial"/>
          <w:szCs w:val="24"/>
        </w:rPr>
        <w:t xml:space="preserve">Math participation rate calculations are based on current year, banked scores, or codes in NC Math 1 and NC Math 3 at grade 11. </w:t>
      </w:r>
    </w:p>
    <w:p w14:paraId="1F8B7B63" w14:textId="77777777" w:rsidR="009E5FD3" w:rsidRPr="001427AF" w:rsidRDefault="009E5FD3" w:rsidP="00CA5853">
      <w:pPr>
        <w:pStyle w:val="ListParagraph"/>
        <w:numPr>
          <w:ilvl w:val="0"/>
          <w:numId w:val="151"/>
        </w:numPr>
        <w:rPr>
          <w:rFonts w:ascii="Arial" w:hAnsi="Arial" w:cs="Arial"/>
          <w:szCs w:val="24"/>
        </w:rPr>
      </w:pPr>
      <w:r w:rsidRPr="001427AF">
        <w:rPr>
          <w:rFonts w:ascii="Arial" w:hAnsi="Arial" w:cs="Arial"/>
          <w:szCs w:val="24"/>
        </w:rPr>
        <w:t>Standard Pathway: Student scores on the grade 8 mathematics EOG are used for all accountability measures at grade 8. These students take the</w:t>
      </w:r>
      <w:r w:rsidRPr="001427AF">
        <w:rPr>
          <w:rFonts w:ascii="Arial" w:hAnsi="Arial" w:cs="Arial"/>
          <w:spacing w:val="-2"/>
          <w:szCs w:val="24"/>
        </w:rPr>
        <w:t xml:space="preserve"> </w:t>
      </w:r>
      <w:r w:rsidRPr="001427AF">
        <w:rPr>
          <w:rFonts w:ascii="Arial" w:hAnsi="Arial" w:cs="Arial"/>
          <w:szCs w:val="24"/>
        </w:rPr>
        <w:t>NC</w:t>
      </w:r>
      <w:r w:rsidRPr="001427AF">
        <w:rPr>
          <w:rFonts w:ascii="Arial" w:hAnsi="Arial" w:cs="Arial"/>
          <w:spacing w:val="-2"/>
          <w:szCs w:val="24"/>
        </w:rPr>
        <w:t xml:space="preserve"> </w:t>
      </w:r>
      <w:r w:rsidRPr="001427AF">
        <w:rPr>
          <w:rFonts w:ascii="Arial" w:hAnsi="Arial" w:cs="Arial"/>
          <w:szCs w:val="24"/>
        </w:rPr>
        <w:t>Math</w:t>
      </w:r>
      <w:r w:rsidRPr="001427AF">
        <w:rPr>
          <w:rFonts w:ascii="Arial" w:hAnsi="Arial" w:cs="Arial"/>
          <w:spacing w:val="-4"/>
          <w:szCs w:val="24"/>
        </w:rPr>
        <w:t xml:space="preserve"> </w:t>
      </w:r>
      <w:r w:rsidRPr="001427AF">
        <w:rPr>
          <w:rFonts w:ascii="Arial" w:hAnsi="Arial" w:cs="Arial"/>
          <w:szCs w:val="24"/>
        </w:rPr>
        <w:t>1</w:t>
      </w:r>
      <w:r w:rsidRPr="001427AF">
        <w:rPr>
          <w:rFonts w:ascii="Arial" w:hAnsi="Arial" w:cs="Arial"/>
          <w:spacing w:val="-2"/>
          <w:szCs w:val="24"/>
        </w:rPr>
        <w:t xml:space="preserve"> </w:t>
      </w:r>
      <w:r w:rsidRPr="001427AF">
        <w:rPr>
          <w:rFonts w:ascii="Arial" w:hAnsi="Arial" w:cs="Arial"/>
          <w:szCs w:val="24"/>
        </w:rPr>
        <w:t>course</w:t>
      </w:r>
      <w:r w:rsidRPr="001427AF">
        <w:rPr>
          <w:rFonts w:ascii="Arial" w:hAnsi="Arial" w:cs="Arial"/>
          <w:spacing w:val="-3"/>
          <w:szCs w:val="24"/>
        </w:rPr>
        <w:t xml:space="preserve"> </w:t>
      </w:r>
      <w:r w:rsidRPr="001427AF">
        <w:rPr>
          <w:rFonts w:ascii="Arial" w:hAnsi="Arial" w:cs="Arial"/>
          <w:szCs w:val="24"/>
        </w:rPr>
        <w:t>in</w:t>
      </w:r>
      <w:r w:rsidRPr="001427AF">
        <w:rPr>
          <w:rFonts w:ascii="Arial" w:hAnsi="Arial" w:cs="Arial"/>
          <w:spacing w:val="-2"/>
          <w:szCs w:val="24"/>
        </w:rPr>
        <w:t xml:space="preserve"> </w:t>
      </w:r>
      <w:r w:rsidRPr="001427AF">
        <w:rPr>
          <w:rFonts w:ascii="Arial" w:hAnsi="Arial" w:cs="Arial"/>
          <w:szCs w:val="24"/>
        </w:rPr>
        <w:t>high</w:t>
      </w:r>
      <w:r w:rsidRPr="001427AF">
        <w:rPr>
          <w:rFonts w:ascii="Arial" w:hAnsi="Arial" w:cs="Arial"/>
          <w:spacing w:val="-2"/>
          <w:szCs w:val="24"/>
        </w:rPr>
        <w:t xml:space="preserve"> </w:t>
      </w:r>
      <w:r w:rsidRPr="001427AF">
        <w:rPr>
          <w:rFonts w:ascii="Arial" w:hAnsi="Arial" w:cs="Arial"/>
          <w:szCs w:val="24"/>
        </w:rPr>
        <w:t>school. The</w:t>
      </w:r>
      <w:r w:rsidRPr="001427AF">
        <w:rPr>
          <w:rFonts w:ascii="Arial" w:hAnsi="Arial" w:cs="Arial"/>
          <w:spacing w:val="-2"/>
          <w:szCs w:val="24"/>
        </w:rPr>
        <w:t xml:space="preserve"> </w:t>
      </w:r>
      <w:r w:rsidRPr="001427AF">
        <w:rPr>
          <w:rFonts w:ascii="Arial" w:hAnsi="Arial" w:cs="Arial"/>
          <w:szCs w:val="24"/>
        </w:rPr>
        <w:t>NC</w:t>
      </w:r>
      <w:r w:rsidRPr="001427AF">
        <w:rPr>
          <w:rFonts w:ascii="Arial" w:hAnsi="Arial" w:cs="Arial"/>
          <w:spacing w:val="-2"/>
          <w:szCs w:val="24"/>
        </w:rPr>
        <w:t xml:space="preserve"> </w:t>
      </w:r>
      <w:r w:rsidRPr="001427AF">
        <w:rPr>
          <w:rFonts w:ascii="Arial" w:hAnsi="Arial" w:cs="Arial"/>
          <w:szCs w:val="24"/>
        </w:rPr>
        <w:t>Math</w:t>
      </w:r>
      <w:r w:rsidRPr="001427AF">
        <w:rPr>
          <w:rFonts w:ascii="Arial" w:hAnsi="Arial" w:cs="Arial"/>
          <w:spacing w:val="-2"/>
          <w:szCs w:val="24"/>
        </w:rPr>
        <w:t xml:space="preserve"> </w:t>
      </w:r>
      <w:r w:rsidRPr="001427AF">
        <w:rPr>
          <w:rFonts w:ascii="Arial" w:hAnsi="Arial" w:cs="Arial"/>
          <w:szCs w:val="24"/>
        </w:rPr>
        <w:t>1</w:t>
      </w:r>
      <w:r w:rsidRPr="001427AF">
        <w:rPr>
          <w:rFonts w:ascii="Arial" w:hAnsi="Arial" w:cs="Arial"/>
          <w:spacing w:val="-2"/>
          <w:szCs w:val="24"/>
        </w:rPr>
        <w:t xml:space="preserve"> </w:t>
      </w:r>
      <w:r w:rsidRPr="001427AF">
        <w:rPr>
          <w:rFonts w:ascii="Arial" w:hAnsi="Arial" w:cs="Arial"/>
          <w:szCs w:val="24"/>
        </w:rPr>
        <w:t>EOC</w:t>
      </w:r>
      <w:r w:rsidRPr="001427AF">
        <w:rPr>
          <w:rFonts w:ascii="Arial" w:hAnsi="Arial" w:cs="Arial"/>
          <w:spacing w:val="-2"/>
          <w:szCs w:val="24"/>
        </w:rPr>
        <w:t xml:space="preserve"> </w:t>
      </w:r>
      <w:r w:rsidRPr="001427AF">
        <w:rPr>
          <w:rFonts w:ascii="Arial" w:hAnsi="Arial" w:cs="Arial"/>
          <w:szCs w:val="24"/>
        </w:rPr>
        <w:t>score</w:t>
      </w:r>
      <w:r w:rsidRPr="001427AF">
        <w:rPr>
          <w:rFonts w:ascii="Arial" w:hAnsi="Arial" w:cs="Arial"/>
          <w:spacing w:val="-2"/>
          <w:szCs w:val="24"/>
        </w:rPr>
        <w:t xml:space="preserve"> </w:t>
      </w:r>
      <w:r w:rsidRPr="001427AF">
        <w:rPr>
          <w:rFonts w:ascii="Arial" w:hAnsi="Arial" w:cs="Arial"/>
          <w:szCs w:val="24"/>
        </w:rPr>
        <w:t>is</w:t>
      </w:r>
      <w:r w:rsidRPr="001427AF">
        <w:rPr>
          <w:rFonts w:ascii="Arial" w:hAnsi="Arial" w:cs="Arial"/>
          <w:spacing w:val="-1"/>
          <w:szCs w:val="24"/>
        </w:rPr>
        <w:t xml:space="preserve"> </w:t>
      </w:r>
      <w:r w:rsidRPr="001427AF">
        <w:rPr>
          <w:rFonts w:ascii="Arial" w:hAnsi="Arial" w:cs="Arial"/>
          <w:szCs w:val="24"/>
        </w:rPr>
        <w:t>used</w:t>
      </w:r>
      <w:r w:rsidRPr="001427AF">
        <w:rPr>
          <w:rFonts w:ascii="Arial" w:hAnsi="Arial" w:cs="Arial"/>
          <w:spacing w:val="-4"/>
          <w:szCs w:val="24"/>
        </w:rPr>
        <w:t xml:space="preserve"> </w:t>
      </w:r>
      <w:r w:rsidRPr="001427AF">
        <w:rPr>
          <w:rFonts w:ascii="Arial" w:hAnsi="Arial" w:cs="Arial"/>
          <w:szCs w:val="24"/>
        </w:rPr>
        <w:t>for</w:t>
      </w:r>
      <w:r w:rsidRPr="001427AF">
        <w:rPr>
          <w:rFonts w:ascii="Arial" w:hAnsi="Arial" w:cs="Arial"/>
          <w:spacing w:val="-1"/>
          <w:szCs w:val="24"/>
        </w:rPr>
        <w:t xml:space="preserve"> </w:t>
      </w:r>
      <w:r w:rsidRPr="001427AF">
        <w:rPr>
          <w:rFonts w:ascii="Arial" w:hAnsi="Arial" w:cs="Arial"/>
          <w:szCs w:val="24"/>
        </w:rPr>
        <w:t>participation</w:t>
      </w:r>
      <w:r w:rsidRPr="001427AF">
        <w:rPr>
          <w:rFonts w:ascii="Arial" w:hAnsi="Arial" w:cs="Arial"/>
          <w:spacing w:val="-2"/>
          <w:szCs w:val="24"/>
        </w:rPr>
        <w:t xml:space="preserve"> </w:t>
      </w:r>
      <w:r w:rsidRPr="001427AF">
        <w:rPr>
          <w:rFonts w:ascii="Arial" w:hAnsi="Arial" w:cs="Arial"/>
          <w:szCs w:val="24"/>
        </w:rPr>
        <w:t>and</w:t>
      </w:r>
      <w:r w:rsidRPr="001427AF">
        <w:rPr>
          <w:rFonts w:ascii="Arial" w:hAnsi="Arial" w:cs="Arial"/>
          <w:spacing w:val="-2"/>
          <w:szCs w:val="24"/>
        </w:rPr>
        <w:t xml:space="preserve"> </w:t>
      </w:r>
      <w:r w:rsidRPr="001427AF">
        <w:rPr>
          <w:rFonts w:ascii="Arial" w:hAnsi="Arial" w:cs="Arial"/>
          <w:szCs w:val="24"/>
        </w:rPr>
        <w:t>long-term goals at the end of grade 11.</w:t>
      </w:r>
    </w:p>
    <w:p w14:paraId="4509554A" w14:textId="77777777" w:rsidR="009E5FD3" w:rsidRPr="001427AF" w:rsidRDefault="009E5FD3" w:rsidP="00CA5853">
      <w:pPr>
        <w:pStyle w:val="ListParagraph"/>
        <w:numPr>
          <w:ilvl w:val="0"/>
          <w:numId w:val="151"/>
        </w:numPr>
        <w:autoSpaceDE w:val="0"/>
        <w:autoSpaceDN w:val="0"/>
        <w:adjustRightInd w:val="0"/>
        <w:spacing w:line="240" w:lineRule="auto"/>
        <w:rPr>
          <w:rFonts w:ascii="Arial" w:hAnsi="Arial" w:cs="Arial"/>
          <w:szCs w:val="24"/>
        </w:rPr>
      </w:pPr>
      <w:r w:rsidRPr="001427AF">
        <w:rPr>
          <w:rFonts w:ascii="Arial" w:hAnsi="Arial" w:cs="Arial"/>
          <w:szCs w:val="24"/>
        </w:rPr>
        <w:t>Accelerated Pathway: Students who took NC Math 1 in grade 8, or earlier, will use their NC Math 3 EOC score for growth and proficiency in SPG calculations in the year the test was taken. Additionally, NC Math 3 EOC scores for students</w:t>
      </w:r>
      <w:r w:rsidRPr="001427AF">
        <w:rPr>
          <w:rFonts w:ascii="Arial" w:hAnsi="Arial" w:cs="Arial"/>
          <w:spacing w:val="-1"/>
          <w:szCs w:val="24"/>
        </w:rPr>
        <w:t xml:space="preserve"> </w:t>
      </w:r>
      <w:r w:rsidRPr="001427AF">
        <w:rPr>
          <w:rFonts w:ascii="Arial" w:hAnsi="Arial" w:cs="Arial"/>
          <w:szCs w:val="24"/>
        </w:rPr>
        <w:t>who</w:t>
      </w:r>
      <w:r w:rsidRPr="001427AF">
        <w:rPr>
          <w:rFonts w:ascii="Arial" w:hAnsi="Arial" w:cs="Arial"/>
          <w:spacing w:val="-1"/>
          <w:szCs w:val="24"/>
        </w:rPr>
        <w:t xml:space="preserve"> </w:t>
      </w:r>
      <w:r w:rsidRPr="001427AF">
        <w:rPr>
          <w:rFonts w:ascii="Arial" w:hAnsi="Arial" w:cs="Arial"/>
          <w:szCs w:val="24"/>
        </w:rPr>
        <w:t>took</w:t>
      </w:r>
      <w:r w:rsidRPr="001427AF">
        <w:rPr>
          <w:rFonts w:ascii="Arial" w:hAnsi="Arial" w:cs="Arial"/>
          <w:spacing w:val="-4"/>
          <w:szCs w:val="24"/>
        </w:rPr>
        <w:t xml:space="preserve"> </w:t>
      </w:r>
      <w:r w:rsidRPr="001427AF">
        <w:rPr>
          <w:rFonts w:ascii="Arial" w:hAnsi="Arial" w:cs="Arial"/>
          <w:szCs w:val="24"/>
        </w:rPr>
        <w:t>the</w:t>
      </w:r>
      <w:r w:rsidRPr="001427AF">
        <w:rPr>
          <w:rFonts w:ascii="Arial" w:hAnsi="Arial" w:cs="Arial"/>
          <w:spacing w:val="-1"/>
          <w:szCs w:val="24"/>
        </w:rPr>
        <w:t xml:space="preserve"> </w:t>
      </w:r>
      <w:r w:rsidRPr="001427AF">
        <w:rPr>
          <w:rFonts w:ascii="Arial" w:hAnsi="Arial" w:cs="Arial"/>
          <w:szCs w:val="24"/>
        </w:rPr>
        <w:t>NC</w:t>
      </w:r>
      <w:r w:rsidRPr="001427AF">
        <w:rPr>
          <w:rFonts w:ascii="Arial" w:hAnsi="Arial" w:cs="Arial"/>
          <w:spacing w:val="-5"/>
          <w:szCs w:val="24"/>
        </w:rPr>
        <w:t xml:space="preserve"> </w:t>
      </w:r>
      <w:r w:rsidRPr="001427AF">
        <w:rPr>
          <w:rFonts w:ascii="Arial" w:hAnsi="Arial" w:cs="Arial"/>
          <w:szCs w:val="24"/>
        </w:rPr>
        <w:t>Math</w:t>
      </w:r>
      <w:r w:rsidRPr="001427AF">
        <w:rPr>
          <w:rFonts w:ascii="Arial" w:hAnsi="Arial" w:cs="Arial"/>
          <w:spacing w:val="-4"/>
          <w:szCs w:val="24"/>
        </w:rPr>
        <w:t xml:space="preserve"> </w:t>
      </w:r>
      <w:r w:rsidRPr="001427AF">
        <w:rPr>
          <w:rFonts w:ascii="Arial" w:hAnsi="Arial" w:cs="Arial"/>
          <w:szCs w:val="24"/>
        </w:rPr>
        <w:t>1</w:t>
      </w:r>
      <w:r w:rsidRPr="001427AF">
        <w:rPr>
          <w:rFonts w:ascii="Arial" w:hAnsi="Arial" w:cs="Arial"/>
          <w:spacing w:val="-1"/>
          <w:szCs w:val="24"/>
        </w:rPr>
        <w:t xml:space="preserve"> </w:t>
      </w:r>
      <w:r w:rsidRPr="001427AF">
        <w:rPr>
          <w:rFonts w:ascii="Arial" w:hAnsi="Arial" w:cs="Arial"/>
          <w:szCs w:val="24"/>
        </w:rPr>
        <w:t>course</w:t>
      </w:r>
      <w:r w:rsidRPr="001427AF">
        <w:rPr>
          <w:rFonts w:ascii="Arial" w:hAnsi="Arial" w:cs="Arial"/>
          <w:spacing w:val="-1"/>
          <w:szCs w:val="24"/>
        </w:rPr>
        <w:t xml:space="preserve"> </w:t>
      </w:r>
      <w:r w:rsidRPr="001427AF">
        <w:rPr>
          <w:rFonts w:ascii="Arial" w:hAnsi="Arial" w:cs="Arial"/>
          <w:szCs w:val="24"/>
        </w:rPr>
        <w:t>in</w:t>
      </w:r>
      <w:r w:rsidRPr="001427AF">
        <w:rPr>
          <w:rFonts w:ascii="Arial" w:hAnsi="Arial" w:cs="Arial"/>
          <w:spacing w:val="-1"/>
          <w:szCs w:val="24"/>
        </w:rPr>
        <w:t xml:space="preserve"> </w:t>
      </w:r>
      <w:r w:rsidRPr="001427AF">
        <w:rPr>
          <w:rFonts w:ascii="Arial" w:hAnsi="Arial" w:cs="Arial"/>
          <w:szCs w:val="24"/>
        </w:rPr>
        <w:t>grade</w:t>
      </w:r>
      <w:r w:rsidRPr="001427AF">
        <w:rPr>
          <w:rFonts w:ascii="Arial" w:hAnsi="Arial" w:cs="Arial"/>
          <w:spacing w:val="-1"/>
          <w:szCs w:val="24"/>
        </w:rPr>
        <w:t xml:space="preserve"> </w:t>
      </w:r>
      <w:r w:rsidRPr="001427AF">
        <w:rPr>
          <w:rFonts w:ascii="Arial" w:hAnsi="Arial" w:cs="Arial"/>
          <w:szCs w:val="24"/>
        </w:rPr>
        <w:t>8,</w:t>
      </w:r>
      <w:r w:rsidRPr="001427AF">
        <w:rPr>
          <w:rFonts w:ascii="Arial" w:hAnsi="Arial" w:cs="Arial"/>
          <w:spacing w:val="-1"/>
          <w:szCs w:val="24"/>
        </w:rPr>
        <w:t xml:space="preserve"> </w:t>
      </w:r>
      <w:r w:rsidRPr="001427AF">
        <w:rPr>
          <w:rFonts w:ascii="Arial" w:hAnsi="Arial" w:cs="Arial"/>
          <w:szCs w:val="24"/>
        </w:rPr>
        <w:t>or earlier,</w:t>
      </w:r>
      <w:r w:rsidRPr="001427AF">
        <w:rPr>
          <w:rFonts w:ascii="Arial" w:hAnsi="Arial" w:cs="Arial"/>
          <w:spacing w:val="-1"/>
          <w:szCs w:val="24"/>
        </w:rPr>
        <w:t xml:space="preserve"> </w:t>
      </w:r>
      <w:r w:rsidRPr="001427AF">
        <w:rPr>
          <w:rFonts w:ascii="Arial" w:hAnsi="Arial" w:cs="Arial"/>
          <w:szCs w:val="24"/>
        </w:rPr>
        <w:t>will be</w:t>
      </w:r>
      <w:r w:rsidRPr="001427AF">
        <w:rPr>
          <w:rFonts w:ascii="Arial" w:hAnsi="Arial" w:cs="Arial"/>
          <w:spacing w:val="-1"/>
          <w:szCs w:val="24"/>
        </w:rPr>
        <w:t xml:space="preserve"> </w:t>
      </w:r>
      <w:r w:rsidRPr="001427AF">
        <w:rPr>
          <w:rFonts w:ascii="Arial" w:hAnsi="Arial" w:cs="Arial"/>
          <w:szCs w:val="24"/>
        </w:rPr>
        <w:t>included</w:t>
      </w:r>
      <w:r w:rsidRPr="001427AF">
        <w:rPr>
          <w:rFonts w:ascii="Arial" w:hAnsi="Arial" w:cs="Arial"/>
          <w:spacing w:val="-4"/>
          <w:szCs w:val="24"/>
        </w:rPr>
        <w:t xml:space="preserve"> </w:t>
      </w:r>
      <w:r w:rsidRPr="001427AF">
        <w:rPr>
          <w:rFonts w:ascii="Arial" w:hAnsi="Arial" w:cs="Arial"/>
          <w:szCs w:val="24"/>
        </w:rPr>
        <w:t>in</w:t>
      </w:r>
      <w:r w:rsidRPr="001427AF">
        <w:rPr>
          <w:rFonts w:ascii="Arial" w:hAnsi="Arial" w:cs="Arial"/>
          <w:spacing w:val="-4"/>
          <w:szCs w:val="24"/>
        </w:rPr>
        <w:t xml:space="preserve"> </w:t>
      </w:r>
      <w:r w:rsidRPr="001427AF">
        <w:rPr>
          <w:rFonts w:ascii="Arial" w:hAnsi="Arial" w:cs="Arial"/>
          <w:szCs w:val="24"/>
        </w:rPr>
        <w:t>mathematics</w:t>
      </w:r>
      <w:r w:rsidRPr="001427AF">
        <w:rPr>
          <w:rFonts w:ascii="Arial" w:hAnsi="Arial" w:cs="Arial"/>
          <w:spacing w:val="-1"/>
          <w:szCs w:val="24"/>
        </w:rPr>
        <w:t xml:space="preserve"> </w:t>
      </w:r>
      <w:r w:rsidRPr="001427AF">
        <w:rPr>
          <w:rFonts w:ascii="Arial" w:hAnsi="Arial" w:cs="Arial"/>
          <w:szCs w:val="24"/>
        </w:rPr>
        <w:t>participation</w:t>
      </w:r>
      <w:r w:rsidRPr="001427AF">
        <w:rPr>
          <w:rFonts w:ascii="Arial" w:hAnsi="Arial" w:cs="Arial"/>
          <w:spacing w:val="-4"/>
          <w:szCs w:val="24"/>
        </w:rPr>
        <w:t xml:space="preserve"> </w:t>
      </w:r>
      <w:r w:rsidRPr="001427AF">
        <w:rPr>
          <w:rFonts w:ascii="Arial" w:hAnsi="Arial" w:cs="Arial"/>
          <w:szCs w:val="24"/>
        </w:rPr>
        <w:t>rates and long-term goals at grade 11.</w:t>
      </w:r>
    </w:p>
    <w:p w14:paraId="1219C6EF" w14:textId="77777777" w:rsidR="009E5FD3" w:rsidRPr="001427AF" w:rsidRDefault="009E5FD3" w:rsidP="009E5FD3">
      <w:pPr>
        <w:autoSpaceDE w:val="0"/>
        <w:autoSpaceDN w:val="0"/>
        <w:adjustRightInd w:val="0"/>
        <w:spacing w:line="240" w:lineRule="auto"/>
        <w:ind w:left="720"/>
        <w:rPr>
          <w:rFonts w:ascii="Arial" w:hAnsi="Arial" w:cs="Arial"/>
          <w:szCs w:val="24"/>
        </w:rPr>
      </w:pPr>
    </w:p>
    <w:p w14:paraId="01F18A82" w14:textId="77777777" w:rsidR="009E5FD3" w:rsidRPr="001427AF" w:rsidRDefault="009E5FD3" w:rsidP="001514C3">
      <w:pPr>
        <w:pStyle w:val="Heading2"/>
      </w:pPr>
      <w:bookmarkStart w:id="733" w:name="_Toc100132574"/>
      <w:bookmarkStart w:id="734" w:name="_Toc100132778"/>
      <w:bookmarkStart w:id="735" w:name="_Toc100136579"/>
      <w:bookmarkStart w:id="736" w:name="_Toc114211824"/>
      <w:bookmarkStart w:id="737" w:name="_Toc135812549"/>
      <w:bookmarkStart w:id="738" w:name="_Toc136418930"/>
      <w:bookmarkStart w:id="739" w:name="_Toc136419186"/>
      <w:bookmarkStart w:id="740" w:name="_Toc164435008"/>
      <w:bookmarkStart w:id="741" w:name="_Toc225404999"/>
      <w:r w:rsidRPr="001427AF">
        <w:t>Mathematic Tests Used in School Performance Grades</w:t>
      </w:r>
      <w:bookmarkEnd w:id="733"/>
      <w:bookmarkEnd w:id="734"/>
      <w:bookmarkEnd w:id="735"/>
      <w:bookmarkEnd w:id="736"/>
      <w:bookmarkEnd w:id="737"/>
      <w:bookmarkEnd w:id="738"/>
      <w:bookmarkEnd w:id="739"/>
      <w:bookmarkEnd w:id="740"/>
      <w:bookmarkEnd w:id="741"/>
      <w:r w:rsidRPr="001427AF">
        <w:t xml:space="preserve"> </w:t>
      </w:r>
    </w:p>
    <w:p w14:paraId="2A5B3BE0" w14:textId="77777777" w:rsidR="009E5FD3" w:rsidRPr="001427AF" w:rsidRDefault="009E5FD3" w:rsidP="009E5FD3">
      <w:pPr>
        <w:rPr>
          <w:rFonts w:ascii="Arial" w:hAnsi="Arial" w:cs="Arial"/>
        </w:rPr>
      </w:pPr>
      <w:r w:rsidRPr="001427AF">
        <w:rPr>
          <w:rFonts w:ascii="Arial" w:hAnsi="Arial" w:cs="Arial"/>
        </w:rPr>
        <w:t>Standard Pathway: The following rules apply for students who are enrolled in NC Math 1 for the first time in grades 9 or higher</w:t>
      </w:r>
      <w:r w:rsidRPr="001427AF" w:rsidDel="00D042A4">
        <w:rPr>
          <w:rFonts w:ascii="Arial" w:hAnsi="Arial" w:cs="Arial"/>
        </w:rPr>
        <w:t>:</w:t>
      </w:r>
      <w:r w:rsidRPr="001427AF">
        <w:rPr>
          <w:rFonts w:ascii="Arial" w:hAnsi="Arial" w:cs="Arial"/>
        </w:rPr>
        <w:t xml:space="preserve"> </w:t>
      </w:r>
    </w:p>
    <w:p w14:paraId="0914BF05" w14:textId="77777777" w:rsidR="009E5FD3" w:rsidRPr="001427AF" w:rsidRDefault="009E5FD3" w:rsidP="00CA5853">
      <w:pPr>
        <w:pStyle w:val="ListParagraph"/>
        <w:numPr>
          <w:ilvl w:val="0"/>
          <w:numId w:val="14"/>
        </w:numPr>
        <w:ind w:left="360"/>
        <w:rPr>
          <w:rFonts w:ascii="Arial" w:hAnsi="Arial" w:cs="Arial"/>
        </w:rPr>
      </w:pPr>
      <w:r w:rsidRPr="001427AF">
        <w:rPr>
          <w:rFonts w:ascii="Arial" w:hAnsi="Arial" w:cs="Arial"/>
        </w:rPr>
        <w:t xml:space="preserve">Students must enroll in NC Math 1 by the end of grade 11. Students taking NC Math 1 in high school for the first time will have their NC Math 1 test score used for School Performance Grades (achievement and growth) in the year they take the course and for participation and long-term goals in grade 11. </w:t>
      </w:r>
    </w:p>
    <w:p w14:paraId="7BF0E799" w14:textId="6B69F464" w:rsidR="009E5FD3" w:rsidRPr="001427AF" w:rsidRDefault="009E5FD3" w:rsidP="00CA5853">
      <w:pPr>
        <w:pStyle w:val="ListParagraph"/>
        <w:numPr>
          <w:ilvl w:val="0"/>
          <w:numId w:val="14"/>
        </w:numPr>
        <w:ind w:left="360"/>
        <w:rPr>
          <w:rFonts w:ascii="Arial" w:hAnsi="Arial" w:cs="Arial"/>
        </w:rPr>
      </w:pPr>
      <w:r w:rsidRPr="001427AF">
        <w:rPr>
          <w:rFonts w:ascii="Arial" w:hAnsi="Arial" w:cs="Arial"/>
        </w:rPr>
        <w:t xml:space="preserve">Students who are enrolled in NC Math 1 for the first time in grades </w:t>
      </w:r>
      <w:r w:rsidR="0076009D">
        <w:rPr>
          <w:rFonts w:ascii="Arial" w:hAnsi="Arial" w:cs="Arial"/>
        </w:rPr>
        <w:t>9</w:t>
      </w:r>
      <w:r w:rsidRPr="001427AF">
        <w:rPr>
          <w:rFonts w:ascii="Arial" w:hAnsi="Arial" w:cs="Arial"/>
        </w:rPr>
        <w:t xml:space="preserve"> or higher and are enrolled in NC Math 3 in a future year, must take the NC Math 3 EOC test. The NC Math EOC test is not used for school performance grade calculations.</w:t>
      </w:r>
    </w:p>
    <w:p w14:paraId="63F1CF0B" w14:textId="77777777" w:rsidR="009E5FD3" w:rsidRPr="001427AF" w:rsidRDefault="009E5FD3" w:rsidP="00CA5853">
      <w:pPr>
        <w:pStyle w:val="ListParagraph"/>
        <w:numPr>
          <w:ilvl w:val="0"/>
          <w:numId w:val="14"/>
        </w:numPr>
        <w:ind w:left="360"/>
        <w:rPr>
          <w:rFonts w:ascii="Arial" w:hAnsi="Arial" w:cs="Arial"/>
        </w:rPr>
      </w:pPr>
      <w:r w:rsidRPr="001427AF">
        <w:rPr>
          <w:rFonts w:ascii="Arial" w:hAnsi="Arial" w:cs="Arial"/>
        </w:rPr>
        <w:t xml:space="preserve">Students who </w:t>
      </w:r>
      <w:proofErr w:type="gramStart"/>
      <w:r w:rsidRPr="001427AF">
        <w:rPr>
          <w:rFonts w:ascii="Arial" w:hAnsi="Arial" w:cs="Arial"/>
        </w:rPr>
        <w:t>transfer in</w:t>
      </w:r>
      <w:proofErr w:type="gramEnd"/>
      <w:r w:rsidRPr="001427AF">
        <w:rPr>
          <w:rFonts w:ascii="Arial" w:hAnsi="Arial" w:cs="Arial"/>
        </w:rPr>
        <w:t xml:space="preserve"> from another state, private school, or homeschool with an NC Math 1 credit earned in grades nine or higher, are not expected to take the NC Math 1 EOC test. However, these students are expected to take the NC Math 3 EOC test when enrolled in the NC Math 3 course, but the test score is not used for school performance grades. </w:t>
      </w:r>
    </w:p>
    <w:p w14:paraId="4EA0B994" w14:textId="77777777" w:rsidR="009E5FD3" w:rsidRPr="001427AF" w:rsidRDefault="009E5FD3" w:rsidP="009E5FD3">
      <w:pPr>
        <w:autoSpaceDE w:val="0"/>
        <w:autoSpaceDN w:val="0"/>
        <w:adjustRightInd w:val="0"/>
        <w:spacing w:line="240" w:lineRule="auto"/>
        <w:rPr>
          <w:rFonts w:ascii="Arial" w:hAnsi="Arial" w:cs="Arial"/>
          <w:szCs w:val="24"/>
        </w:rPr>
      </w:pPr>
    </w:p>
    <w:p w14:paraId="06FC41C7" w14:textId="77777777" w:rsidR="009E5FD3" w:rsidRPr="001427AF" w:rsidRDefault="009E5FD3" w:rsidP="009E5FD3">
      <w:pPr>
        <w:autoSpaceDE w:val="0"/>
        <w:autoSpaceDN w:val="0"/>
        <w:adjustRightInd w:val="0"/>
        <w:spacing w:line="240" w:lineRule="auto"/>
        <w:rPr>
          <w:rFonts w:ascii="Arial" w:hAnsi="Arial" w:cs="Arial"/>
          <w:szCs w:val="24"/>
        </w:rPr>
      </w:pPr>
      <w:bookmarkStart w:id="742" w:name="_Hlk136333078"/>
      <w:r w:rsidRPr="001427AF">
        <w:rPr>
          <w:rFonts w:ascii="Arial" w:hAnsi="Arial" w:cs="Arial"/>
          <w:szCs w:val="24"/>
        </w:rPr>
        <w:t xml:space="preserve">Accelerated Pathway: The following rules apply for students who are enrolled in NC Math 1 for the first time in grade 8: </w:t>
      </w:r>
    </w:p>
    <w:bookmarkEnd w:id="742"/>
    <w:p w14:paraId="16742F0F" w14:textId="77777777" w:rsidR="009E5FD3" w:rsidRPr="001427AF" w:rsidRDefault="009E5FD3" w:rsidP="00CA5853">
      <w:pPr>
        <w:numPr>
          <w:ilvl w:val="0"/>
          <w:numId w:val="152"/>
        </w:numPr>
        <w:autoSpaceDE w:val="0"/>
        <w:autoSpaceDN w:val="0"/>
        <w:adjustRightInd w:val="0"/>
        <w:spacing w:line="240" w:lineRule="auto"/>
        <w:rPr>
          <w:rFonts w:ascii="Arial" w:hAnsi="Arial" w:cs="Arial"/>
          <w:szCs w:val="24"/>
        </w:rPr>
      </w:pPr>
      <w:r w:rsidRPr="001427AF">
        <w:rPr>
          <w:rFonts w:ascii="Arial" w:hAnsi="Arial" w:cs="Arial"/>
          <w:szCs w:val="24"/>
        </w:rPr>
        <w:t xml:space="preserve">Students take the NC Math 1 EOC test only and must not take the grade 8 EOG mathematics test. </w:t>
      </w:r>
    </w:p>
    <w:p w14:paraId="023E1C08" w14:textId="77777777" w:rsidR="009E5FD3" w:rsidRPr="001427AF" w:rsidRDefault="009E5FD3" w:rsidP="00CA5853">
      <w:pPr>
        <w:numPr>
          <w:ilvl w:val="1"/>
          <w:numId w:val="152"/>
        </w:numPr>
        <w:autoSpaceDE w:val="0"/>
        <w:autoSpaceDN w:val="0"/>
        <w:adjustRightInd w:val="0"/>
        <w:spacing w:line="240" w:lineRule="auto"/>
        <w:rPr>
          <w:rFonts w:ascii="Arial" w:hAnsi="Arial" w:cs="Arial"/>
          <w:szCs w:val="24"/>
        </w:rPr>
      </w:pPr>
      <w:r w:rsidRPr="001427AF">
        <w:rPr>
          <w:rFonts w:ascii="Arial" w:hAnsi="Arial" w:cs="Arial"/>
          <w:szCs w:val="24"/>
        </w:rPr>
        <w:t xml:space="preserve">Students enrolled in grade 8 who are taking or have taken the NC Math 1 EOC will have their scores from this test used for grade 8 accountability and for state reports. The scores for these students will not be banked for use at the </w:t>
      </w:r>
      <w:proofErr w:type="gramStart"/>
      <w:r w:rsidRPr="001427AF">
        <w:rPr>
          <w:rFonts w:ascii="Arial" w:hAnsi="Arial" w:cs="Arial"/>
          <w:szCs w:val="24"/>
        </w:rPr>
        <w:t>high-school</w:t>
      </w:r>
      <w:proofErr w:type="gramEnd"/>
      <w:r w:rsidRPr="001427AF">
        <w:rPr>
          <w:rFonts w:ascii="Arial" w:hAnsi="Arial" w:cs="Arial"/>
          <w:szCs w:val="24"/>
        </w:rPr>
        <w:t xml:space="preserve"> level. All grade-level EOG mathematics tests (i.e., grades 3–7 and grade 8 students who are not enrolled in NC Math 1) are combined with NC Math 1 EOC tests to calculate the school’s mathematics proficiency score. </w:t>
      </w:r>
    </w:p>
    <w:p w14:paraId="23C6209F" w14:textId="77777777" w:rsidR="009E5FD3" w:rsidRPr="001427AF" w:rsidRDefault="009E5FD3" w:rsidP="00CA5853">
      <w:pPr>
        <w:numPr>
          <w:ilvl w:val="0"/>
          <w:numId w:val="152"/>
        </w:numPr>
        <w:autoSpaceDE w:val="0"/>
        <w:autoSpaceDN w:val="0"/>
        <w:adjustRightInd w:val="0"/>
        <w:spacing w:line="240" w:lineRule="auto"/>
        <w:rPr>
          <w:rFonts w:ascii="Arial" w:hAnsi="Arial" w:cs="Arial"/>
          <w:szCs w:val="24"/>
        </w:rPr>
      </w:pPr>
      <w:r w:rsidRPr="001427AF">
        <w:rPr>
          <w:rFonts w:ascii="Arial" w:hAnsi="Arial" w:cs="Arial"/>
          <w:szCs w:val="24"/>
        </w:rPr>
        <w:t xml:space="preserve">Students are expected to be enrolled in NC Math 3 by the end of grade 11, </w:t>
      </w:r>
      <w:proofErr w:type="gramStart"/>
      <w:r w:rsidRPr="001427AF">
        <w:rPr>
          <w:rFonts w:ascii="Arial" w:hAnsi="Arial" w:cs="Arial"/>
          <w:szCs w:val="24"/>
        </w:rPr>
        <w:t>and for</w:t>
      </w:r>
      <w:proofErr w:type="gramEnd"/>
      <w:r w:rsidRPr="001427AF">
        <w:rPr>
          <w:rFonts w:ascii="Arial" w:hAnsi="Arial" w:cs="Arial"/>
          <w:szCs w:val="24"/>
        </w:rPr>
        <w:t xml:space="preserve"> students who took NC Math 1 in grade </w:t>
      </w:r>
      <w:proofErr w:type="gramStart"/>
      <w:r w:rsidRPr="001427AF">
        <w:rPr>
          <w:rFonts w:ascii="Arial" w:hAnsi="Arial" w:cs="Arial"/>
          <w:szCs w:val="24"/>
        </w:rPr>
        <w:t>8,</w:t>
      </w:r>
      <w:proofErr w:type="gramEnd"/>
      <w:r w:rsidRPr="001427AF">
        <w:rPr>
          <w:rFonts w:ascii="Arial" w:hAnsi="Arial" w:cs="Arial"/>
          <w:szCs w:val="24"/>
        </w:rPr>
        <w:t xml:space="preserve"> will use their NC Math 3 EOC test as the mathematics proficiency and growth measure in </w:t>
      </w:r>
      <w:proofErr w:type="gramStart"/>
      <w:r w:rsidRPr="001427AF">
        <w:rPr>
          <w:rFonts w:ascii="Arial" w:hAnsi="Arial" w:cs="Arial"/>
          <w:szCs w:val="24"/>
        </w:rPr>
        <w:t>school performance</w:t>
      </w:r>
      <w:proofErr w:type="gramEnd"/>
      <w:r w:rsidRPr="001427AF">
        <w:rPr>
          <w:rFonts w:ascii="Arial" w:hAnsi="Arial" w:cs="Arial"/>
          <w:szCs w:val="24"/>
        </w:rPr>
        <w:t xml:space="preserve"> grades the year the students take the course. </w:t>
      </w:r>
    </w:p>
    <w:p w14:paraId="02DE32B5" w14:textId="77777777" w:rsidR="009E5FD3" w:rsidRPr="001427AF" w:rsidRDefault="009E5FD3" w:rsidP="00CA5853">
      <w:pPr>
        <w:numPr>
          <w:ilvl w:val="1"/>
          <w:numId w:val="152"/>
        </w:numPr>
        <w:autoSpaceDE w:val="0"/>
        <w:autoSpaceDN w:val="0"/>
        <w:adjustRightInd w:val="0"/>
        <w:spacing w:line="240" w:lineRule="auto"/>
        <w:rPr>
          <w:rFonts w:ascii="Arial" w:hAnsi="Arial" w:cs="Arial"/>
          <w:szCs w:val="24"/>
        </w:rPr>
      </w:pPr>
      <w:r w:rsidRPr="001427AF">
        <w:rPr>
          <w:rFonts w:ascii="Arial" w:hAnsi="Arial" w:cs="Arial"/>
          <w:szCs w:val="24"/>
        </w:rPr>
        <w:lastRenderedPageBreak/>
        <w:t xml:space="preserve">This rule applies to students who </w:t>
      </w:r>
      <w:proofErr w:type="gramStart"/>
      <w:r w:rsidRPr="001427AF">
        <w:rPr>
          <w:rFonts w:ascii="Arial" w:hAnsi="Arial" w:cs="Arial"/>
          <w:szCs w:val="24"/>
        </w:rPr>
        <w:t>transfer in</w:t>
      </w:r>
      <w:proofErr w:type="gramEnd"/>
      <w:r w:rsidRPr="001427AF">
        <w:rPr>
          <w:rFonts w:ascii="Arial" w:hAnsi="Arial" w:cs="Arial"/>
          <w:szCs w:val="24"/>
        </w:rPr>
        <w:t xml:space="preserve"> from another state, private school, or homeschool with a NC Math 1 credit earned in the students’ grade 8 year. </w:t>
      </w:r>
    </w:p>
    <w:p w14:paraId="214C040D" w14:textId="77777777" w:rsidR="009E5FD3" w:rsidRPr="001427AF" w:rsidRDefault="009E5FD3" w:rsidP="00CA5853">
      <w:pPr>
        <w:numPr>
          <w:ilvl w:val="0"/>
          <w:numId w:val="152"/>
        </w:numPr>
        <w:autoSpaceDE w:val="0"/>
        <w:autoSpaceDN w:val="0"/>
        <w:adjustRightInd w:val="0"/>
        <w:spacing w:line="240" w:lineRule="auto"/>
        <w:rPr>
          <w:rFonts w:ascii="Arial" w:hAnsi="Arial" w:cs="Arial"/>
          <w:szCs w:val="24"/>
        </w:rPr>
      </w:pPr>
      <w:r w:rsidRPr="001427AF">
        <w:rPr>
          <w:rFonts w:ascii="Arial" w:hAnsi="Arial" w:cs="Arial"/>
          <w:szCs w:val="24"/>
        </w:rPr>
        <w:t xml:space="preserve">Students who repeat the NC Math 1 course for credit in grade 9 after taking NC Math 1 in grade 8: </w:t>
      </w:r>
    </w:p>
    <w:p w14:paraId="7C442656" w14:textId="77777777" w:rsidR="009E5FD3" w:rsidRPr="001427AF" w:rsidRDefault="009E5FD3" w:rsidP="00CA5853">
      <w:pPr>
        <w:numPr>
          <w:ilvl w:val="1"/>
          <w:numId w:val="152"/>
        </w:numPr>
        <w:autoSpaceDE w:val="0"/>
        <w:autoSpaceDN w:val="0"/>
        <w:adjustRightInd w:val="0"/>
        <w:spacing w:line="240" w:lineRule="auto"/>
        <w:rPr>
          <w:rFonts w:ascii="Arial" w:hAnsi="Arial" w:cs="Arial"/>
          <w:szCs w:val="24"/>
        </w:rPr>
      </w:pPr>
      <w:r w:rsidRPr="001427AF">
        <w:rPr>
          <w:rFonts w:ascii="Arial" w:hAnsi="Arial" w:cs="Arial"/>
          <w:szCs w:val="24"/>
        </w:rPr>
        <w:t xml:space="preserve">will follow the current SBE policy, </w:t>
      </w:r>
      <w:bookmarkStart w:id="743" w:name="_Int_L5XIGuPK"/>
      <w:proofErr w:type="gramStart"/>
      <w:r w:rsidRPr="001427AF">
        <w:rPr>
          <w:rFonts w:ascii="Arial" w:hAnsi="Arial" w:cs="Arial"/>
          <w:i/>
          <w:iCs/>
          <w:szCs w:val="24"/>
        </w:rPr>
        <w:t>Repeating</w:t>
      </w:r>
      <w:bookmarkEnd w:id="743"/>
      <w:proofErr w:type="gramEnd"/>
      <w:r w:rsidRPr="001427AF">
        <w:rPr>
          <w:rFonts w:ascii="Arial" w:hAnsi="Arial" w:cs="Arial"/>
          <w:i/>
          <w:iCs/>
          <w:szCs w:val="24"/>
        </w:rPr>
        <w:t xml:space="preserve"> a Course for Credit</w:t>
      </w:r>
      <w:r w:rsidRPr="001427AF">
        <w:rPr>
          <w:rFonts w:ascii="Arial" w:hAnsi="Arial" w:cs="Arial"/>
          <w:szCs w:val="24"/>
        </w:rPr>
        <w:t xml:space="preserve"> (CCRE-001), to determine if taking the NC Math 1 EOC test is required again in grade 9. For students who take the NC Math 1 EOC test again in grade 9, the test is used as a high school mathematics proficiency score in the calculation of school performance grades for the year the student is enrolled in the course. </w:t>
      </w:r>
    </w:p>
    <w:p w14:paraId="5D7FAA40" w14:textId="77777777" w:rsidR="009E5FD3" w:rsidRPr="001427AF" w:rsidRDefault="009E5FD3" w:rsidP="00CA5853">
      <w:pPr>
        <w:numPr>
          <w:ilvl w:val="1"/>
          <w:numId w:val="152"/>
        </w:numPr>
        <w:autoSpaceDE w:val="0"/>
        <w:autoSpaceDN w:val="0"/>
        <w:adjustRightInd w:val="0"/>
        <w:spacing w:line="240" w:lineRule="auto"/>
        <w:rPr>
          <w:rFonts w:ascii="Arial" w:hAnsi="Arial" w:cs="Arial"/>
          <w:szCs w:val="24"/>
        </w:rPr>
      </w:pPr>
      <w:bookmarkStart w:id="744" w:name="_Int_ekQsxD4k"/>
      <w:r w:rsidRPr="001427AF">
        <w:rPr>
          <w:rFonts w:ascii="Arial" w:hAnsi="Arial" w:cs="Arial"/>
          <w:szCs w:val="24"/>
        </w:rPr>
        <w:t>are</w:t>
      </w:r>
      <w:bookmarkEnd w:id="744"/>
      <w:r w:rsidRPr="001427AF">
        <w:rPr>
          <w:rFonts w:ascii="Arial" w:hAnsi="Arial" w:cs="Arial"/>
          <w:szCs w:val="24"/>
        </w:rPr>
        <w:t xml:space="preserve"> expected to be enrolled in NC Math 3 by the end of grade 11, and the NC Math 3 EOC test is used as the mathematics proficiency measure in school performance grades the year the students are enrolled in the course. </w:t>
      </w:r>
    </w:p>
    <w:p w14:paraId="05B34094" w14:textId="77777777" w:rsidR="009E5FD3" w:rsidRPr="001427AF" w:rsidRDefault="009E5FD3" w:rsidP="009E5FD3">
      <w:pPr>
        <w:autoSpaceDE w:val="0"/>
        <w:autoSpaceDN w:val="0"/>
        <w:adjustRightInd w:val="0"/>
        <w:spacing w:line="240" w:lineRule="auto"/>
        <w:ind w:left="360"/>
        <w:rPr>
          <w:rFonts w:ascii="Arial" w:hAnsi="Arial" w:cs="Arial"/>
          <w:szCs w:val="24"/>
        </w:rPr>
      </w:pPr>
    </w:p>
    <w:p w14:paraId="48C133C0" w14:textId="77777777" w:rsidR="009E5FD3" w:rsidRPr="001427AF" w:rsidRDefault="009E5FD3" w:rsidP="009E5FD3">
      <w:pPr>
        <w:pStyle w:val="ListParagraph"/>
        <w:autoSpaceDE w:val="0"/>
        <w:autoSpaceDN w:val="0"/>
        <w:adjustRightInd w:val="0"/>
        <w:spacing w:line="240" w:lineRule="auto"/>
        <w:ind w:left="0"/>
        <w:rPr>
          <w:rFonts w:ascii="Arial" w:hAnsi="Arial" w:cs="Arial"/>
          <w:szCs w:val="24"/>
        </w:rPr>
      </w:pPr>
      <w:r w:rsidRPr="001427AF">
        <w:rPr>
          <w:rFonts w:ascii="Arial" w:hAnsi="Arial" w:cs="Arial"/>
          <w:szCs w:val="24"/>
        </w:rPr>
        <w:t xml:space="preserve">Accelerated Pathway: The following rules apply for students who are enrolled in NC Math 1 prior to grade 8: </w:t>
      </w:r>
    </w:p>
    <w:p w14:paraId="36EB1941" w14:textId="77777777" w:rsidR="009E5FD3" w:rsidRPr="001427AF" w:rsidRDefault="009E5FD3" w:rsidP="00CA5853">
      <w:pPr>
        <w:pStyle w:val="ListParagraph"/>
        <w:numPr>
          <w:ilvl w:val="0"/>
          <w:numId w:val="153"/>
        </w:numPr>
        <w:autoSpaceDE w:val="0"/>
        <w:autoSpaceDN w:val="0"/>
        <w:adjustRightInd w:val="0"/>
        <w:spacing w:line="240" w:lineRule="auto"/>
        <w:rPr>
          <w:rFonts w:ascii="Arial" w:hAnsi="Arial" w:cs="Arial"/>
          <w:szCs w:val="24"/>
        </w:rPr>
      </w:pPr>
      <w:r w:rsidRPr="001427AF">
        <w:rPr>
          <w:rFonts w:ascii="Arial" w:hAnsi="Arial" w:cs="Arial"/>
          <w:szCs w:val="24"/>
        </w:rPr>
        <w:t xml:space="preserve">Students who are enrolled in NC Math 1 prior to grade 8: </w:t>
      </w:r>
    </w:p>
    <w:p w14:paraId="7434978B" w14:textId="515FEBDD" w:rsidR="009E5FD3" w:rsidRPr="001427AF" w:rsidRDefault="009E5FD3" w:rsidP="00CA5853">
      <w:pPr>
        <w:numPr>
          <w:ilvl w:val="1"/>
          <w:numId w:val="153"/>
        </w:numPr>
        <w:autoSpaceDE w:val="0"/>
        <w:autoSpaceDN w:val="0"/>
        <w:adjustRightInd w:val="0"/>
        <w:spacing w:line="240" w:lineRule="auto"/>
        <w:rPr>
          <w:rFonts w:ascii="Arial" w:hAnsi="Arial" w:cs="Arial"/>
          <w:szCs w:val="24"/>
        </w:rPr>
      </w:pPr>
      <w:r w:rsidRPr="001427AF">
        <w:rPr>
          <w:rFonts w:ascii="Arial" w:hAnsi="Arial" w:cs="Arial"/>
          <w:szCs w:val="24"/>
        </w:rPr>
        <w:t>take the appropriate grade-level</w:t>
      </w:r>
      <w:r w:rsidRPr="001427AF" w:rsidDel="00921664">
        <w:rPr>
          <w:rFonts w:ascii="Arial" w:hAnsi="Arial" w:cs="Arial"/>
          <w:szCs w:val="24"/>
        </w:rPr>
        <w:t xml:space="preserve"> </w:t>
      </w:r>
      <w:r w:rsidRPr="001427AF">
        <w:rPr>
          <w:rFonts w:ascii="Arial" w:hAnsi="Arial" w:cs="Arial"/>
          <w:szCs w:val="24"/>
        </w:rPr>
        <w:t>EOG mathematics test which is used in the mathematics proficiency measure in school performance grades</w:t>
      </w:r>
      <w:r w:rsidR="005C6B28">
        <w:rPr>
          <w:rFonts w:ascii="Arial" w:hAnsi="Arial" w:cs="Arial"/>
          <w:szCs w:val="24"/>
        </w:rPr>
        <w:t>.</w:t>
      </w:r>
      <w:r w:rsidRPr="001427AF">
        <w:rPr>
          <w:rFonts w:ascii="Arial" w:hAnsi="Arial" w:cs="Arial"/>
          <w:szCs w:val="24"/>
        </w:rPr>
        <w:t xml:space="preserve"> </w:t>
      </w:r>
    </w:p>
    <w:p w14:paraId="20A6B3E6" w14:textId="3F4B20D6" w:rsidR="009E5FD3" w:rsidRPr="001427AF" w:rsidRDefault="009E5FD3" w:rsidP="00CA5853">
      <w:pPr>
        <w:numPr>
          <w:ilvl w:val="1"/>
          <w:numId w:val="153"/>
        </w:numPr>
        <w:autoSpaceDE w:val="0"/>
        <w:autoSpaceDN w:val="0"/>
        <w:adjustRightInd w:val="0"/>
        <w:spacing w:line="240" w:lineRule="auto"/>
        <w:rPr>
          <w:rFonts w:ascii="Arial" w:hAnsi="Arial" w:cs="Arial"/>
          <w:szCs w:val="24"/>
        </w:rPr>
      </w:pPr>
      <w:r w:rsidRPr="001427AF">
        <w:rPr>
          <w:rFonts w:ascii="Arial" w:hAnsi="Arial" w:cs="Arial"/>
          <w:szCs w:val="24"/>
        </w:rPr>
        <w:t xml:space="preserve">take the NC Math 1 EOC test. The NC Math 1 EOC test </w:t>
      </w:r>
      <w:r w:rsidR="0081519F" w:rsidRPr="001427AF">
        <w:rPr>
          <w:rFonts w:ascii="Arial" w:hAnsi="Arial" w:cs="Arial"/>
          <w:szCs w:val="24"/>
        </w:rPr>
        <w:t>is banked</w:t>
      </w:r>
      <w:r w:rsidRPr="001427AF">
        <w:rPr>
          <w:rFonts w:ascii="Arial" w:hAnsi="Arial" w:cs="Arial"/>
          <w:szCs w:val="24"/>
        </w:rPr>
        <w:t xml:space="preserve"> until the student is enrolled in grade 8. At that time, it </w:t>
      </w:r>
      <w:bookmarkStart w:id="745" w:name="_Int_kVOqV7EY"/>
      <w:proofErr w:type="gramStart"/>
      <w:r w:rsidRPr="001427AF">
        <w:rPr>
          <w:rFonts w:ascii="Arial" w:hAnsi="Arial" w:cs="Arial"/>
          <w:szCs w:val="24"/>
        </w:rPr>
        <w:t>is</w:t>
      </w:r>
      <w:bookmarkEnd w:id="745"/>
      <w:proofErr w:type="gramEnd"/>
      <w:r w:rsidRPr="001427AF">
        <w:rPr>
          <w:rFonts w:ascii="Arial" w:hAnsi="Arial" w:cs="Arial"/>
          <w:szCs w:val="24"/>
        </w:rPr>
        <w:t xml:space="preserve"> used as the grade 8 mathematics proficiency measure in school performance grades. Students with a banked NC Math 1 EOC test must not take the grade 8 Mathematics EOG test in their grade 8 year. </w:t>
      </w:r>
    </w:p>
    <w:p w14:paraId="36503088" w14:textId="77777777" w:rsidR="009E5FD3" w:rsidRPr="001427AF" w:rsidRDefault="009E5FD3" w:rsidP="00CA5853">
      <w:pPr>
        <w:numPr>
          <w:ilvl w:val="1"/>
          <w:numId w:val="153"/>
        </w:numPr>
        <w:autoSpaceDE w:val="0"/>
        <w:autoSpaceDN w:val="0"/>
        <w:adjustRightInd w:val="0"/>
        <w:spacing w:line="240" w:lineRule="auto"/>
        <w:rPr>
          <w:rFonts w:ascii="Arial" w:hAnsi="Arial" w:cs="Arial"/>
          <w:szCs w:val="24"/>
        </w:rPr>
      </w:pPr>
      <w:r w:rsidRPr="001427AF">
        <w:rPr>
          <w:rFonts w:ascii="Arial" w:hAnsi="Arial" w:cs="Arial"/>
          <w:szCs w:val="24"/>
        </w:rPr>
        <w:t xml:space="preserve">will take the appropriate test for the mathematics course in which they are enrolled in grade 8 (e.g., NC Math 3 EOC). </w:t>
      </w:r>
    </w:p>
    <w:p w14:paraId="3D62B12A" w14:textId="77777777" w:rsidR="009E5FD3" w:rsidRPr="001427AF" w:rsidRDefault="009E5FD3" w:rsidP="00CA5853">
      <w:pPr>
        <w:numPr>
          <w:ilvl w:val="1"/>
          <w:numId w:val="153"/>
        </w:numPr>
        <w:autoSpaceDE w:val="0"/>
        <w:autoSpaceDN w:val="0"/>
        <w:adjustRightInd w:val="0"/>
        <w:spacing w:line="240" w:lineRule="auto"/>
        <w:rPr>
          <w:rFonts w:ascii="Arial" w:hAnsi="Arial" w:cs="Arial"/>
          <w:szCs w:val="24"/>
        </w:rPr>
      </w:pPr>
      <w:r w:rsidRPr="001427AF">
        <w:rPr>
          <w:rFonts w:ascii="Arial" w:hAnsi="Arial" w:cs="Arial"/>
          <w:szCs w:val="24"/>
        </w:rPr>
        <w:t xml:space="preserve">are expected to be enrolled in NC Math 3 by the end of grade 11, and the NC Math 3 EOC test is used as the mathematics proficiency measure in school performance grades in high school. </w:t>
      </w:r>
    </w:p>
    <w:p w14:paraId="0E337758" w14:textId="77777777" w:rsidR="009E5FD3" w:rsidRPr="001427AF" w:rsidRDefault="009E5FD3" w:rsidP="00CA5853">
      <w:pPr>
        <w:numPr>
          <w:ilvl w:val="2"/>
          <w:numId w:val="153"/>
        </w:numPr>
        <w:autoSpaceDE w:val="0"/>
        <w:autoSpaceDN w:val="0"/>
        <w:adjustRightInd w:val="0"/>
        <w:spacing w:line="240" w:lineRule="auto"/>
        <w:rPr>
          <w:rFonts w:ascii="Arial" w:hAnsi="Arial" w:cs="Arial"/>
          <w:szCs w:val="24"/>
        </w:rPr>
      </w:pPr>
      <w:r w:rsidRPr="001427AF">
        <w:rPr>
          <w:rFonts w:ascii="Arial" w:hAnsi="Arial" w:cs="Arial"/>
          <w:szCs w:val="24"/>
        </w:rPr>
        <w:t xml:space="preserve">If NC Math 3 is taken in grade 8 or prior, the NC Math 3 EOC test is banked to the high school and used in proficiency calculations at grade 9. </w:t>
      </w:r>
    </w:p>
    <w:p w14:paraId="677631B3" w14:textId="77777777" w:rsidR="009E5FD3" w:rsidRPr="001427AF" w:rsidRDefault="009E5FD3" w:rsidP="00CA5853">
      <w:pPr>
        <w:numPr>
          <w:ilvl w:val="2"/>
          <w:numId w:val="153"/>
        </w:numPr>
        <w:autoSpaceDE w:val="0"/>
        <w:autoSpaceDN w:val="0"/>
        <w:adjustRightInd w:val="0"/>
        <w:spacing w:line="240" w:lineRule="auto"/>
        <w:rPr>
          <w:rFonts w:ascii="Arial" w:hAnsi="Arial" w:cs="Arial"/>
          <w:szCs w:val="24"/>
        </w:rPr>
      </w:pPr>
      <w:r w:rsidRPr="001427AF">
        <w:rPr>
          <w:rFonts w:ascii="Arial" w:hAnsi="Arial" w:cs="Arial"/>
        </w:rPr>
        <w:t xml:space="preserve">If NC Math 3 is taken in high school (grades 9–11), the score is used in proficiency calculations the year it was taken. </w:t>
      </w:r>
    </w:p>
    <w:p w14:paraId="3C5D8BDA" w14:textId="77777777" w:rsidR="009E5FD3" w:rsidRPr="001427AF" w:rsidRDefault="009E5FD3" w:rsidP="00CA5853">
      <w:pPr>
        <w:numPr>
          <w:ilvl w:val="2"/>
          <w:numId w:val="153"/>
        </w:numPr>
        <w:autoSpaceDE w:val="0"/>
        <w:autoSpaceDN w:val="0"/>
        <w:adjustRightInd w:val="0"/>
        <w:spacing w:line="240" w:lineRule="auto"/>
        <w:rPr>
          <w:rFonts w:ascii="Arial" w:hAnsi="Arial" w:cs="Arial"/>
          <w:szCs w:val="24"/>
        </w:rPr>
      </w:pPr>
      <w:r w:rsidRPr="001427AF">
        <w:rPr>
          <w:rFonts w:ascii="Arial" w:hAnsi="Arial" w:cs="Arial"/>
          <w:szCs w:val="24"/>
        </w:rPr>
        <w:t xml:space="preserve">This rule applies to students who </w:t>
      </w:r>
      <w:proofErr w:type="gramStart"/>
      <w:r w:rsidRPr="001427AF">
        <w:rPr>
          <w:rFonts w:ascii="Arial" w:hAnsi="Arial" w:cs="Arial"/>
          <w:szCs w:val="24"/>
        </w:rPr>
        <w:t>transfer in</w:t>
      </w:r>
      <w:proofErr w:type="gramEnd"/>
      <w:r w:rsidRPr="001427AF">
        <w:rPr>
          <w:rFonts w:ascii="Arial" w:hAnsi="Arial" w:cs="Arial"/>
          <w:szCs w:val="24"/>
        </w:rPr>
        <w:t xml:space="preserve"> from another state, private school, or homeschool with a NC Math 1 credit earned in a grade prior to grade 8. </w:t>
      </w:r>
    </w:p>
    <w:p w14:paraId="6BCAEC48" w14:textId="77777777" w:rsidR="009E5FD3" w:rsidRPr="001427AF" w:rsidRDefault="009E5FD3" w:rsidP="009E5FD3">
      <w:pPr>
        <w:rPr>
          <w:rFonts w:ascii="Arial" w:hAnsi="Arial" w:cs="Arial"/>
        </w:rPr>
      </w:pPr>
      <w:bookmarkStart w:id="746" w:name="_Toc100132575"/>
      <w:bookmarkStart w:id="747" w:name="_Toc100132779"/>
      <w:bookmarkStart w:id="748" w:name="_Toc100136580"/>
      <w:bookmarkStart w:id="749" w:name="_Toc114211825"/>
    </w:p>
    <w:p w14:paraId="62D767F0" w14:textId="77777777" w:rsidR="009E5FD3" w:rsidRPr="00E358D6" w:rsidRDefault="009E5FD3" w:rsidP="001514C3">
      <w:pPr>
        <w:pStyle w:val="Heading2"/>
      </w:pPr>
      <w:bookmarkStart w:id="750" w:name="_Toc135812550"/>
      <w:bookmarkStart w:id="751" w:name="_Toc136418931"/>
      <w:bookmarkStart w:id="752" w:name="_Toc136419187"/>
      <w:bookmarkStart w:id="753" w:name="_Toc164435009"/>
      <w:bookmarkStart w:id="754" w:name="_Toc225405000"/>
      <w:r w:rsidRPr="00E358D6">
        <w:t>Mathematic Tests Used to Calculate School Accountability Growth</w:t>
      </w:r>
      <w:bookmarkEnd w:id="746"/>
      <w:bookmarkEnd w:id="747"/>
      <w:bookmarkEnd w:id="748"/>
      <w:bookmarkEnd w:id="749"/>
      <w:bookmarkEnd w:id="750"/>
      <w:bookmarkEnd w:id="751"/>
      <w:bookmarkEnd w:id="752"/>
      <w:bookmarkEnd w:id="753"/>
      <w:bookmarkEnd w:id="754"/>
      <w:r w:rsidRPr="00E358D6">
        <w:t xml:space="preserve"> </w:t>
      </w:r>
    </w:p>
    <w:p w14:paraId="7CBB3DAC" w14:textId="77777777" w:rsidR="009E5FD3" w:rsidRPr="001427AF" w:rsidRDefault="009E5FD3" w:rsidP="009E5FD3">
      <w:pPr>
        <w:autoSpaceDE w:val="0"/>
        <w:autoSpaceDN w:val="0"/>
        <w:adjustRightInd w:val="0"/>
        <w:spacing w:line="240" w:lineRule="auto"/>
        <w:rPr>
          <w:rFonts w:ascii="Arial" w:hAnsi="Arial" w:cs="Arial"/>
          <w:szCs w:val="24"/>
        </w:rPr>
      </w:pPr>
      <w:r w:rsidRPr="001427AF">
        <w:rPr>
          <w:rFonts w:ascii="Arial" w:hAnsi="Arial" w:cs="Arial"/>
          <w:szCs w:val="24"/>
        </w:rPr>
        <w:t xml:space="preserve">Mathematics tests completed in the current accountability year are used in school accountability growth calculations regardless of where the test is used for academic achievement (proficiency), participation, or long-term goal calculations. Only NC Math 3 EOC tests for students on the accelerated pathway are used in school accountability growth calculations. All NC Math 3 EOC tests are used for educator growth calculations in the year the test is taken. </w:t>
      </w:r>
    </w:p>
    <w:p w14:paraId="666DF2F6" w14:textId="77777777" w:rsidR="009E5FD3" w:rsidRPr="001427AF" w:rsidRDefault="009E5FD3" w:rsidP="001514C3">
      <w:pPr>
        <w:pStyle w:val="Heading2"/>
      </w:pPr>
      <w:bookmarkStart w:id="755" w:name="_Toc100132576"/>
      <w:bookmarkStart w:id="756" w:name="_Toc100132780"/>
      <w:bookmarkStart w:id="757" w:name="_Toc100136581"/>
      <w:bookmarkStart w:id="758" w:name="_Toc114211826"/>
      <w:bookmarkStart w:id="759" w:name="_Toc135812551"/>
      <w:bookmarkStart w:id="760" w:name="_Toc136418932"/>
      <w:bookmarkStart w:id="761" w:name="_Toc136419188"/>
      <w:bookmarkStart w:id="762" w:name="_Toc164435010"/>
      <w:bookmarkStart w:id="763" w:name="_Toc225405001"/>
      <w:r w:rsidRPr="001427AF">
        <w:lastRenderedPageBreak/>
        <w:t>Mathematic Tests Used to Calculate Long-Term Goals</w:t>
      </w:r>
      <w:bookmarkEnd w:id="755"/>
      <w:bookmarkEnd w:id="756"/>
      <w:bookmarkEnd w:id="757"/>
      <w:bookmarkEnd w:id="758"/>
      <w:bookmarkEnd w:id="759"/>
      <w:bookmarkEnd w:id="760"/>
      <w:bookmarkEnd w:id="761"/>
      <w:bookmarkEnd w:id="762"/>
      <w:bookmarkEnd w:id="763"/>
    </w:p>
    <w:p w14:paraId="230EC433" w14:textId="77777777" w:rsidR="009E5FD3" w:rsidRPr="001427AF" w:rsidRDefault="009E5FD3" w:rsidP="009E5FD3">
      <w:pPr>
        <w:rPr>
          <w:rFonts w:ascii="Arial" w:hAnsi="Arial" w:cs="Arial"/>
        </w:rPr>
      </w:pPr>
      <w:r w:rsidRPr="001427AF">
        <w:rPr>
          <w:rFonts w:ascii="Arial" w:hAnsi="Arial" w:cs="Arial"/>
        </w:rPr>
        <w:t xml:space="preserve">The mathematics grades 3–8 long-term goals and measure of interim progress status for all subgroups, including the </w:t>
      </w:r>
      <w:proofErr w:type="gramStart"/>
      <w:r w:rsidRPr="001427AF">
        <w:rPr>
          <w:rFonts w:ascii="Arial" w:hAnsi="Arial" w:cs="Arial"/>
        </w:rPr>
        <w:t>All Students</w:t>
      </w:r>
      <w:proofErr w:type="gramEnd"/>
      <w:r w:rsidRPr="001427AF">
        <w:rPr>
          <w:rFonts w:ascii="Arial" w:hAnsi="Arial" w:cs="Arial"/>
        </w:rPr>
        <w:t xml:space="preserve"> group, are calculated by combining the grades 3–8 mathematics EOG tests (at available grade levels) and the NC Math 1 EOC tests for grade 8 students, when applicable. </w:t>
      </w:r>
    </w:p>
    <w:p w14:paraId="0889A389" w14:textId="77777777" w:rsidR="009E5FD3" w:rsidRPr="001427AF" w:rsidRDefault="009E5FD3" w:rsidP="009E5FD3">
      <w:pPr>
        <w:rPr>
          <w:rFonts w:ascii="Arial" w:hAnsi="Arial" w:cs="Arial"/>
        </w:rPr>
      </w:pPr>
    </w:p>
    <w:p w14:paraId="23536B6E" w14:textId="77777777" w:rsidR="009E5FD3" w:rsidRPr="001427AF" w:rsidRDefault="009E5FD3" w:rsidP="009E5FD3">
      <w:pPr>
        <w:contextualSpacing/>
        <w:rPr>
          <w:rFonts w:ascii="Arial" w:hAnsi="Arial" w:cs="Arial"/>
        </w:rPr>
      </w:pPr>
      <w:r w:rsidRPr="001427AF">
        <w:rPr>
          <w:rFonts w:ascii="Arial" w:hAnsi="Arial" w:cs="Arial"/>
        </w:rPr>
        <w:t xml:space="preserve">The mathematics grade 11 long-term goals and measure of interim progress status for all students and each subgroup of students are calculated as follows: </w:t>
      </w:r>
    </w:p>
    <w:p w14:paraId="524D1854" w14:textId="77777777" w:rsidR="009E5FD3" w:rsidRPr="001427AF" w:rsidRDefault="009E5FD3" w:rsidP="00CA5853">
      <w:pPr>
        <w:numPr>
          <w:ilvl w:val="0"/>
          <w:numId w:val="100"/>
        </w:numPr>
        <w:contextualSpacing/>
        <w:rPr>
          <w:rFonts w:ascii="Arial" w:hAnsi="Arial" w:cs="Arial"/>
        </w:rPr>
      </w:pPr>
      <w:r w:rsidRPr="001427AF">
        <w:rPr>
          <w:rFonts w:ascii="Arial" w:hAnsi="Arial" w:cs="Arial"/>
        </w:rPr>
        <w:t>The NC Math 1 EOC tests for students enrolled in NC Math 1 for the first time in grades 9–11, are combined with the NC Math 3 EOC tests for students at grade 11</w:t>
      </w:r>
      <w:r w:rsidRPr="001427AF" w:rsidDel="004F7CBE">
        <w:rPr>
          <w:rFonts w:ascii="Arial" w:hAnsi="Arial" w:cs="Arial"/>
        </w:rPr>
        <w:t xml:space="preserve"> who were enrolled in NC Math 1 for the first time in grade 8 or earlier</w:t>
      </w:r>
      <w:r w:rsidRPr="001427AF">
        <w:rPr>
          <w:rFonts w:ascii="Arial" w:hAnsi="Arial" w:cs="Arial"/>
        </w:rPr>
        <w:t xml:space="preserve">. </w:t>
      </w:r>
    </w:p>
    <w:p w14:paraId="72AB1F49" w14:textId="77777777" w:rsidR="009E5FD3" w:rsidRPr="001427AF" w:rsidRDefault="009E5FD3" w:rsidP="00CA5853">
      <w:pPr>
        <w:numPr>
          <w:ilvl w:val="0"/>
          <w:numId w:val="100"/>
        </w:numPr>
        <w:contextualSpacing/>
        <w:rPr>
          <w:rFonts w:ascii="Arial" w:hAnsi="Arial" w:cs="Arial"/>
        </w:rPr>
      </w:pPr>
      <w:r w:rsidRPr="001427AF">
        <w:rPr>
          <w:rFonts w:ascii="Arial" w:hAnsi="Arial" w:cs="Arial"/>
        </w:rPr>
        <w:t>Schools with nontraditional grade-level configurations (e.g., 6–12, K–12) will have long-term goals and measures of interim progress for mathematics grades 3–8 and mathematics grade 11 depending on each school’s grade level configurations. Please see Section 10 of the business guidelines concerning long-term goals for more information.</w:t>
      </w:r>
    </w:p>
    <w:p w14:paraId="29DC2C61" w14:textId="77777777" w:rsidR="009E5FD3" w:rsidRPr="001427AF" w:rsidRDefault="009E5FD3" w:rsidP="009E5FD3">
      <w:pPr>
        <w:ind w:left="-720"/>
        <w:rPr>
          <w:rFonts w:ascii="Arial" w:eastAsiaTheme="minorHAnsi" w:hAnsi="Arial" w:cs="Arial"/>
          <w:color w:val="auto"/>
          <w:szCs w:val="24"/>
        </w:rPr>
      </w:pPr>
    </w:p>
    <w:p w14:paraId="7E9F5EA0" w14:textId="77777777" w:rsidR="009E5FD3" w:rsidRPr="001427AF" w:rsidRDefault="009E5FD3" w:rsidP="001514C3">
      <w:pPr>
        <w:pStyle w:val="Heading2"/>
        <w:rPr>
          <w:rFonts w:eastAsiaTheme="minorHAnsi"/>
        </w:rPr>
      </w:pPr>
      <w:bookmarkStart w:id="764" w:name="_Toc225405002"/>
      <w:r w:rsidRPr="001427AF">
        <w:rPr>
          <w:rFonts w:eastAsiaTheme="minorHAnsi"/>
        </w:rPr>
        <w:t>Mathematic pathways for EOG grade 8 mathematics, NC Math 1, and NC Math 3</w:t>
      </w:r>
      <w:bookmarkEnd w:id="764"/>
    </w:p>
    <w:p w14:paraId="42FE14B7" w14:textId="77777777" w:rsidR="009E5FD3" w:rsidRPr="001427AF" w:rsidRDefault="009E5FD3" w:rsidP="009E5FD3">
      <w:pPr>
        <w:rPr>
          <w:rFonts w:ascii="Arial" w:eastAsiaTheme="minorHAnsi" w:hAnsi="Arial" w:cs="Arial"/>
          <w:color w:val="auto"/>
          <w:szCs w:val="24"/>
        </w:rPr>
      </w:pPr>
      <w:r w:rsidRPr="001427AF">
        <w:rPr>
          <w:rFonts w:ascii="Arial" w:eastAsiaTheme="minorHAnsi" w:hAnsi="Arial" w:cs="Arial"/>
          <w:color w:val="auto"/>
          <w:szCs w:val="24"/>
        </w:rPr>
        <w:t xml:space="preserve">The following tables provide details on the mathematic pathways for EOG grade 8 mathematics, NC Math 1, and NC Math 3. </w:t>
      </w:r>
      <w:bookmarkStart w:id="765" w:name="_Toc146809537"/>
      <w:bookmarkStart w:id="766" w:name="_Toc146809805"/>
      <w:r w:rsidRPr="001427AF">
        <w:rPr>
          <w:rFonts w:ascii="Arial" w:hAnsi="Arial" w:cs="Arial"/>
          <w:szCs w:val="24"/>
        </w:rPr>
        <w:t>Test administration is expected in the grade level(s)/course(s) where students are in membership. Students who transfer from private, out-of-state, or homeschools, and are awarded credit for a course will follow the path based on the grade level the credit is attributed.</w:t>
      </w:r>
      <w:bookmarkEnd w:id="765"/>
      <w:bookmarkEnd w:id="766"/>
      <w:r w:rsidRPr="001427AF">
        <w:rPr>
          <w:rFonts w:ascii="Arial" w:hAnsi="Arial" w:cs="Arial"/>
          <w:szCs w:val="24"/>
        </w:rPr>
        <w:t xml:space="preserve"> It is expected for students to complete NC Math 1 and NC Math 3 by the end of grade 11 but if they </w:t>
      </w:r>
      <w:proofErr w:type="gramStart"/>
      <w:r w:rsidRPr="001427AF">
        <w:rPr>
          <w:rFonts w:ascii="Arial" w:hAnsi="Arial" w:cs="Arial"/>
          <w:szCs w:val="24"/>
        </w:rPr>
        <w:t>completed</w:t>
      </w:r>
      <w:proofErr w:type="gramEnd"/>
      <w:r w:rsidRPr="001427AF">
        <w:rPr>
          <w:rFonts w:ascii="Arial" w:hAnsi="Arial" w:cs="Arial"/>
          <w:szCs w:val="24"/>
        </w:rPr>
        <w:t xml:space="preserve"> an assessment by the end of grade 12, it will be used in SPG calculations as defined above. </w:t>
      </w:r>
    </w:p>
    <w:p w14:paraId="286D7C3C" w14:textId="77777777" w:rsidR="009E5FD3" w:rsidRPr="001427AF" w:rsidRDefault="009E5FD3" w:rsidP="009E5FD3">
      <w:pPr>
        <w:spacing w:line="240" w:lineRule="auto"/>
        <w:ind w:left="-720"/>
        <w:rPr>
          <w:rFonts w:ascii="Arial" w:eastAsiaTheme="minorHAnsi" w:hAnsi="Arial" w:cs="Arial"/>
          <w:color w:val="auto"/>
          <w:szCs w:val="24"/>
        </w:rPr>
      </w:pPr>
    </w:p>
    <w:p w14:paraId="0B43D5C7" w14:textId="58825247" w:rsidR="009E5FD3" w:rsidRPr="001427AF" w:rsidRDefault="009E5FD3" w:rsidP="009E5FD3">
      <w:pPr>
        <w:spacing w:line="240" w:lineRule="auto"/>
        <w:ind w:left="-720"/>
        <w:rPr>
          <w:rFonts w:ascii="Arial" w:eastAsiaTheme="minorHAnsi" w:hAnsi="Arial" w:cs="Arial"/>
          <w:color w:val="auto"/>
          <w:sz w:val="20"/>
        </w:rPr>
      </w:pPr>
      <w:r w:rsidRPr="001427AF">
        <w:rPr>
          <w:rFonts w:ascii="Arial" w:eastAsiaTheme="minorHAnsi" w:hAnsi="Arial" w:cs="Arial"/>
          <w:color w:val="auto"/>
          <w:sz w:val="20"/>
        </w:rPr>
        <w:t xml:space="preserve">TABLE 8.5. Key used to determine meaning of the following </w:t>
      </w:r>
      <w:r w:rsidR="00C56A6B" w:rsidRPr="001427AF">
        <w:rPr>
          <w:rFonts w:ascii="Arial" w:eastAsiaTheme="minorHAnsi" w:hAnsi="Arial" w:cs="Arial"/>
          <w:color w:val="auto"/>
          <w:sz w:val="20"/>
        </w:rPr>
        <w:t>tables</w:t>
      </w:r>
    </w:p>
    <w:tbl>
      <w:tblPr>
        <w:tblStyle w:val="TableGrid"/>
        <w:tblW w:w="1098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ecorative table, information is in the text. "/>
      </w:tblPr>
      <w:tblGrid>
        <w:gridCol w:w="1042"/>
        <w:gridCol w:w="9940"/>
      </w:tblGrid>
      <w:tr w:rsidR="007B7F03" w:rsidRPr="001427AF" w14:paraId="798B1045" w14:textId="77777777" w:rsidTr="0093533F">
        <w:trPr>
          <w:trHeight w:val="484"/>
        </w:trPr>
        <w:tc>
          <w:tcPr>
            <w:tcW w:w="1042" w:type="dxa"/>
            <w:shd w:val="clear" w:color="auto" w:fill="ED7D31" w:themeFill="accent2"/>
            <w:vAlign w:val="center"/>
          </w:tcPr>
          <w:p w14:paraId="446CEDD0" w14:textId="77777777"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Orange</w:t>
            </w:r>
            <w:r w:rsidRPr="001427AF">
              <w:rPr>
                <w:rFonts w:ascii="Arial" w:hAnsi="Arial" w:cs="Arial"/>
                <w:color w:val="FFFFFF" w:themeColor="background1"/>
                <w:sz w:val="20"/>
              </w:rPr>
              <w:t xml:space="preserve"> </w:t>
            </w:r>
          </w:p>
        </w:tc>
        <w:tc>
          <w:tcPr>
            <w:tcW w:w="9940" w:type="dxa"/>
            <w:vAlign w:val="center"/>
          </w:tcPr>
          <w:p w14:paraId="21EC1915" w14:textId="77777777"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 xml:space="preserve">Test is included as the mathematics proficiency measure (SPG). (Accountability growth is included in the tested year) </w:t>
            </w:r>
          </w:p>
        </w:tc>
      </w:tr>
      <w:tr w:rsidR="007B7F03" w:rsidRPr="001427AF" w14:paraId="241E9655" w14:textId="77777777" w:rsidTr="0093533F">
        <w:trPr>
          <w:trHeight w:val="235"/>
        </w:trPr>
        <w:tc>
          <w:tcPr>
            <w:tcW w:w="1042" w:type="dxa"/>
            <w:shd w:val="clear" w:color="auto" w:fill="4472C4" w:themeFill="accent1"/>
            <w:vAlign w:val="center"/>
          </w:tcPr>
          <w:p w14:paraId="66FC1881" w14:textId="77777777" w:rsidR="009E5FD3" w:rsidRPr="001427AF" w:rsidRDefault="009E5FD3">
            <w:pPr>
              <w:spacing w:line="240" w:lineRule="auto"/>
              <w:rPr>
                <w:rFonts w:ascii="Arial" w:eastAsiaTheme="minorHAnsi" w:hAnsi="Arial" w:cs="Arial"/>
                <w:color w:val="auto"/>
                <w:sz w:val="20"/>
              </w:rPr>
            </w:pPr>
            <w:r w:rsidRPr="001427AF">
              <w:rPr>
                <w:rFonts w:ascii="Arial" w:eastAsiaTheme="minorHAnsi" w:hAnsi="Arial" w:cs="Arial"/>
                <w:color w:val="FFFFFF" w:themeColor="background1"/>
                <w:sz w:val="20"/>
              </w:rPr>
              <w:t>Blue</w:t>
            </w:r>
          </w:p>
        </w:tc>
        <w:tc>
          <w:tcPr>
            <w:tcW w:w="9940" w:type="dxa"/>
            <w:vAlign w:val="center"/>
          </w:tcPr>
          <w:p w14:paraId="70450D5D" w14:textId="77777777"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Test used to determine 95% participation rates and long-term goals.</w:t>
            </w:r>
          </w:p>
        </w:tc>
      </w:tr>
      <w:tr w:rsidR="007B7F03" w:rsidRPr="001427AF" w14:paraId="4AA601D5" w14:textId="77777777" w:rsidTr="0093533F">
        <w:trPr>
          <w:trHeight w:val="472"/>
        </w:trPr>
        <w:tc>
          <w:tcPr>
            <w:tcW w:w="1042" w:type="dxa"/>
            <w:shd w:val="clear" w:color="auto" w:fill="FFFF00"/>
            <w:vAlign w:val="center"/>
          </w:tcPr>
          <w:p w14:paraId="447A03EF" w14:textId="77777777"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 xml:space="preserve">Yellow </w:t>
            </w:r>
          </w:p>
        </w:tc>
        <w:tc>
          <w:tcPr>
            <w:tcW w:w="9940" w:type="dxa"/>
            <w:vAlign w:val="center"/>
          </w:tcPr>
          <w:p w14:paraId="17F5C57D" w14:textId="3930FB3A"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Test taken but is not used in current year mathematics proficiency measure (SPG). Test</w:t>
            </w:r>
            <w:r w:rsidRPr="001427AF" w:rsidDel="00F74841">
              <w:rPr>
                <w:rFonts w:ascii="Arial" w:hAnsi="Arial" w:cs="Arial"/>
                <w:color w:val="auto"/>
                <w:sz w:val="20"/>
              </w:rPr>
              <w:t xml:space="preserve"> </w:t>
            </w:r>
            <w:r w:rsidRPr="001427AF">
              <w:rPr>
                <w:rFonts w:ascii="Arial" w:hAnsi="Arial" w:cs="Arial"/>
                <w:color w:val="auto"/>
                <w:sz w:val="20"/>
              </w:rPr>
              <w:t xml:space="preserve">used in </w:t>
            </w:r>
            <w:r w:rsidR="002249C7" w:rsidRPr="001427AF">
              <w:rPr>
                <w:rFonts w:ascii="Arial" w:hAnsi="Arial" w:cs="Arial"/>
                <w:color w:val="auto"/>
                <w:sz w:val="20"/>
              </w:rPr>
              <w:t>the current</w:t>
            </w:r>
            <w:r w:rsidRPr="001427AF">
              <w:rPr>
                <w:rFonts w:ascii="Arial" w:hAnsi="Arial" w:cs="Arial"/>
                <w:color w:val="auto"/>
                <w:sz w:val="20"/>
              </w:rPr>
              <w:t xml:space="preserve"> </w:t>
            </w:r>
            <w:r w:rsidR="002249C7" w:rsidRPr="001427AF">
              <w:rPr>
                <w:rFonts w:ascii="Arial" w:hAnsi="Arial" w:cs="Arial"/>
                <w:color w:val="auto"/>
                <w:sz w:val="20"/>
              </w:rPr>
              <w:t>year’s</w:t>
            </w:r>
            <w:r w:rsidRPr="001427AF">
              <w:rPr>
                <w:rFonts w:ascii="Arial" w:hAnsi="Arial" w:cs="Arial"/>
                <w:color w:val="auto"/>
                <w:sz w:val="20"/>
              </w:rPr>
              <w:t xml:space="preserve"> accountability growth.</w:t>
            </w:r>
          </w:p>
        </w:tc>
      </w:tr>
      <w:tr w:rsidR="007B7F03" w:rsidRPr="001427AF" w14:paraId="5D2DB84E" w14:textId="77777777" w:rsidTr="0093533F">
        <w:trPr>
          <w:trHeight w:val="484"/>
        </w:trPr>
        <w:tc>
          <w:tcPr>
            <w:tcW w:w="1042" w:type="dxa"/>
            <w:shd w:val="clear" w:color="auto" w:fill="C5E0B3" w:themeFill="accent6" w:themeFillTint="66"/>
            <w:vAlign w:val="center"/>
          </w:tcPr>
          <w:p w14:paraId="5DA135C6" w14:textId="77777777"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Green</w:t>
            </w:r>
          </w:p>
        </w:tc>
        <w:tc>
          <w:tcPr>
            <w:tcW w:w="9940" w:type="dxa"/>
            <w:vAlign w:val="center"/>
          </w:tcPr>
          <w:p w14:paraId="0C98CE44" w14:textId="77777777"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 xml:space="preserve">Test taken but is not used in accountability model (SPG). </w:t>
            </w:r>
            <w:proofErr w:type="gramStart"/>
            <w:r w:rsidRPr="001427AF">
              <w:rPr>
                <w:rFonts w:ascii="Arial" w:hAnsi="Arial" w:cs="Arial"/>
                <w:color w:val="auto"/>
                <w:sz w:val="20"/>
              </w:rPr>
              <w:t>Test</w:t>
            </w:r>
            <w:proofErr w:type="gramEnd"/>
            <w:r w:rsidRPr="001427AF">
              <w:rPr>
                <w:rFonts w:ascii="Arial" w:hAnsi="Arial" w:cs="Arial"/>
                <w:color w:val="auto"/>
                <w:sz w:val="20"/>
              </w:rPr>
              <w:t xml:space="preserve"> used only for educator effectiveness growth.</w:t>
            </w:r>
          </w:p>
        </w:tc>
      </w:tr>
      <w:tr w:rsidR="001340ED" w:rsidRPr="001427AF" w14:paraId="1F9CC808" w14:textId="77777777" w:rsidTr="0093533F">
        <w:trPr>
          <w:trHeight w:val="458"/>
        </w:trPr>
        <w:tc>
          <w:tcPr>
            <w:tcW w:w="1042" w:type="dxa"/>
            <w:vAlign w:val="center"/>
          </w:tcPr>
          <w:p w14:paraId="3E046B9E" w14:textId="77777777" w:rsidR="009E5FD3" w:rsidRPr="001427AF" w:rsidRDefault="009E5FD3">
            <w:pPr>
              <w:spacing w:line="240" w:lineRule="auto"/>
              <w:rPr>
                <w:rFonts w:ascii="Arial" w:eastAsiaTheme="minorHAnsi" w:hAnsi="Arial" w:cs="Arial"/>
                <w:color w:val="auto"/>
                <w:sz w:val="20"/>
              </w:rPr>
            </w:pPr>
            <w:r w:rsidRPr="001427AF">
              <w:rPr>
                <w:rFonts w:ascii="Arial" w:hAnsi="Arial" w:cs="Arial"/>
                <w:color w:val="auto"/>
                <w:sz w:val="20"/>
              </w:rPr>
              <w:t>Key</w:t>
            </w:r>
          </w:p>
        </w:tc>
        <w:tc>
          <w:tcPr>
            <w:tcW w:w="9940" w:type="dxa"/>
            <w:vAlign w:val="center"/>
          </w:tcPr>
          <w:p w14:paraId="4AA159B9" w14:textId="77777777" w:rsidR="009E5FD3" w:rsidRPr="004E0400" w:rsidRDefault="009E5FD3">
            <w:pPr>
              <w:spacing w:line="240" w:lineRule="auto"/>
              <w:rPr>
                <w:rFonts w:ascii="Arial" w:eastAsiaTheme="minorHAnsi" w:hAnsi="Arial" w:cs="Arial"/>
                <w:color w:val="auto"/>
                <w:sz w:val="20"/>
              </w:rPr>
            </w:pPr>
            <w:r w:rsidRPr="004E0400">
              <w:rPr>
                <w:rFonts w:ascii="Arial" w:eastAsiaTheme="minorHAnsi" w:hAnsi="Arial" w:cs="Arial"/>
                <w:b/>
                <w:color w:val="auto"/>
                <w:sz w:val="20"/>
              </w:rPr>
              <w:t>EOGX</w:t>
            </w:r>
            <w:r w:rsidRPr="004E0400">
              <w:rPr>
                <w:rFonts w:ascii="Arial" w:eastAsiaTheme="minorHAnsi" w:hAnsi="Arial" w:cs="Arial"/>
                <w:color w:val="auto"/>
                <w:sz w:val="20"/>
              </w:rPr>
              <w:t xml:space="preserve"> = End-of-Grade Math at X grade               </w:t>
            </w:r>
            <w:r w:rsidRPr="004E0400">
              <w:rPr>
                <w:rFonts w:ascii="Arial" w:eastAsiaTheme="minorHAnsi" w:hAnsi="Arial" w:cs="Arial"/>
                <w:b/>
                <w:color w:val="auto"/>
                <w:sz w:val="20"/>
              </w:rPr>
              <w:t>NCM1</w:t>
            </w:r>
            <w:r w:rsidRPr="004E0400">
              <w:rPr>
                <w:rFonts w:ascii="Arial" w:eastAsiaTheme="minorHAnsi" w:hAnsi="Arial" w:cs="Arial"/>
                <w:color w:val="auto"/>
                <w:sz w:val="20"/>
              </w:rPr>
              <w:t xml:space="preserve"> = NC Math 1 EOC</w:t>
            </w:r>
            <w:r w:rsidRPr="004E0400">
              <w:rPr>
                <w:rFonts w:ascii="Arial" w:eastAsiaTheme="minorHAnsi" w:hAnsi="Arial" w:cs="Arial"/>
                <w:color w:val="auto"/>
                <w:sz w:val="20"/>
              </w:rPr>
              <w:tab/>
            </w:r>
            <w:r w:rsidRPr="004E0400">
              <w:rPr>
                <w:rFonts w:ascii="Arial" w:hAnsi="Arial" w:cs="Arial"/>
                <w:b/>
                <w:color w:val="auto"/>
                <w:sz w:val="20"/>
              </w:rPr>
              <w:t xml:space="preserve"> </w:t>
            </w:r>
            <w:r w:rsidRPr="004E0400">
              <w:rPr>
                <w:rFonts w:ascii="Arial" w:eastAsiaTheme="minorHAnsi" w:hAnsi="Arial" w:cs="Arial"/>
                <w:b/>
                <w:color w:val="auto"/>
                <w:sz w:val="20"/>
              </w:rPr>
              <w:t>NCM3</w:t>
            </w:r>
            <w:r w:rsidRPr="004E0400">
              <w:rPr>
                <w:rFonts w:ascii="Arial" w:eastAsiaTheme="minorHAnsi" w:hAnsi="Arial" w:cs="Arial"/>
                <w:color w:val="auto"/>
                <w:sz w:val="20"/>
              </w:rPr>
              <w:t xml:space="preserve"> = NC Math 3 EOC</w:t>
            </w:r>
          </w:p>
          <w:p w14:paraId="2AFBF96E" w14:textId="6A30B5E9" w:rsidR="009E5FD3" w:rsidRPr="001427AF" w:rsidRDefault="009E5FD3">
            <w:pPr>
              <w:spacing w:line="240" w:lineRule="auto"/>
              <w:rPr>
                <w:rFonts w:ascii="Arial" w:eastAsiaTheme="minorHAnsi" w:hAnsi="Arial" w:cs="Arial"/>
                <w:color w:val="auto"/>
                <w:sz w:val="20"/>
              </w:rPr>
            </w:pPr>
            <w:r w:rsidRPr="004E0400">
              <w:rPr>
                <w:rFonts w:ascii="Arial" w:hAnsi="Arial" w:cs="Arial"/>
                <w:b/>
                <w:bCs/>
                <w:sz w:val="20"/>
              </w:rPr>
              <w:t xml:space="preserve">NCM1B </w:t>
            </w:r>
            <w:r w:rsidRPr="004E0400">
              <w:rPr>
                <w:rFonts w:ascii="Arial" w:hAnsi="Arial" w:cs="Arial"/>
                <w:sz w:val="20"/>
              </w:rPr>
              <w:t xml:space="preserve">= NC Math 1 EOC banked                      </w:t>
            </w:r>
            <w:r w:rsidRPr="004E0400">
              <w:rPr>
                <w:rFonts w:ascii="Arial" w:hAnsi="Arial" w:cs="Arial"/>
                <w:b/>
                <w:bCs/>
                <w:sz w:val="20"/>
              </w:rPr>
              <w:t xml:space="preserve">NCM3B </w:t>
            </w:r>
            <w:r w:rsidRPr="004E0400">
              <w:rPr>
                <w:rFonts w:ascii="Arial" w:hAnsi="Arial" w:cs="Arial"/>
                <w:sz w:val="20"/>
              </w:rPr>
              <w:t>= NC Math 3 EOC banked</w:t>
            </w:r>
          </w:p>
        </w:tc>
      </w:tr>
    </w:tbl>
    <w:p w14:paraId="4CB8E8FB" w14:textId="77777777" w:rsidR="00741900" w:rsidRPr="00BF1F0E" w:rsidRDefault="00741900">
      <w:pPr>
        <w:spacing w:line="240" w:lineRule="auto"/>
        <w:rPr>
          <w:rFonts w:ascii="Arial" w:eastAsiaTheme="minorHAnsi" w:hAnsi="Arial" w:cs="Arial"/>
          <w:color w:val="auto"/>
          <w:sz w:val="20"/>
        </w:rPr>
      </w:pPr>
      <w:r w:rsidRPr="00BF1F0E">
        <w:rPr>
          <w:rFonts w:ascii="Arial" w:eastAsiaTheme="minorHAnsi" w:hAnsi="Arial" w:cs="Arial"/>
          <w:color w:val="auto"/>
          <w:sz w:val="20"/>
        </w:rPr>
        <w:br w:type="page"/>
      </w:r>
    </w:p>
    <w:p w14:paraId="4A675D6B" w14:textId="31CE26F2" w:rsidR="006C5092" w:rsidRDefault="009E5FD3" w:rsidP="00741900">
      <w:pPr>
        <w:spacing w:line="240" w:lineRule="auto"/>
        <w:rPr>
          <w:rFonts w:ascii="Arial" w:eastAsiaTheme="minorHAnsi" w:hAnsi="Arial" w:cs="Arial"/>
          <w:color w:val="auto"/>
          <w:sz w:val="20"/>
        </w:rPr>
      </w:pPr>
      <w:r w:rsidRPr="00106B62">
        <w:rPr>
          <w:rFonts w:ascii="Arial" w:eastAsiaTheme="minorHAnsi" w:hAnsi="Arial" w:cs="Arial"/>
          <w:color w:val="auto"/>
          <w:sz w:val="20"/>
        </w:rPr>
        <w:lastRenderedPageBreak/>
        <w:t>TABLE 8.5.1. Standard mathematics pathway</w:t>
      </w:r>
      <w:r w:rsidR="008B74A6" w:rsidRPr="00106B62">
        <w:rPr>
          <w:rFonts w:ascii="Arial" w:eastAsiaTheme="minorHAnsi" w:hAnsi="Arial" w:cs="Arial"/>
          <w:color w:val="auto"/>
          <w:sz w:val="20"/>
        </w:rPr>
        <w:t xml:space="preserve"> - s</w:t>
      </w:r>
      <w:r w:rsidRPr="00106B62">
        <w:rPr>
          <w:rFonts w:ascii="Arial" w:eastAsiaTheme="minorHAnsi" w:hAnsi="Arial" w:cs="Arial"/>
          <w:color w:val="auto"/>
          <w:sz w:val="20"/>
        </w:rPr>
        <w:t xml:space="preserve">tudent </w:t>
      </w:r>
      <w:r w:rsidR="00384A80" w:rsidRPr="00106B62">
        <w:rPr>
          <w:rFonts w:ascii="Arial" w:eastAsiaTheme="minorHAnsi" w:hAnsi="Arial" w:cs="Arial"/>
          <w:color w:val="auto"/>
          <w:sz w:val="20"/>
        </w:rPr>
        <w:t>that</w:t>
      </w:r>
      <w:r w:rsidRPr="00106B62">
        <w:rPr>
          <w:rFonts w:ascii="Arial" w:eastAsiaTheme="minorHAnsi" w:hAnsi="Arial" w:cs="Arial"/>
          <w:color w:val="auto"/>
          <w:sz w:val="20"/>
        </w:rPr>
        <w:t xml:space="preserve"> takes NC Math 1 for the first time in grades </w:t>
      </w:r>
      <w:r w:rsidR="006C5092">
        <w:rPr>
          <w:rFonts w:ascii="Arial" w:eastAsiaTheme="minorHAnsi" w:hAnsi="Arial" w:cs="Arial"/>
          <w:color w:val="auto"/>
          <w:sz w:val="20"/>
        </w:rPr>
        <w:t xml:space="preserve"> </w:t>
      </w:r>
    </w:p>
    <w:p w14:paraId="496ED2E0" w14:textId="0C2A3607" w:rsidR="009E5FD3" w:rsidRPr="00106B62" w:rsidRDefault="009E5FD3" w:rsidP="006C5092">
      <w:pPr>
        <w:spacing w:line="240" w:lineRule="auto"/>
        <w:ind w:left="-720" w:firstLine="720"/>
        <w:rPr>
          <w:rFonts w:ascii="Arial" w:eastAsiaTheme="minorHAnsi" w:hAnsi="Arial" w:cs="Arial"/>
          <w:color w:val="auto"/>
          <w:sz w:val="20"/>
        </w:rPr>
      </w:pPr>
      <w:r w:rsidRPr="00106B62">
        <w:rPr>
          <w:rFonts w:ascii="Arial" w:eastAsiaTheme="minorHAnsi" w:hAnsi="Arial" w:cs="Arial"/>
          <w:color w:val="auto"/>
          <w:sz w:val="20"/>
        </w:rPr>
        <w:t>9–11</w:t>
      </w:r>
    </w:p>
    <w:tbl>
      <w:tblPr>
        <w:tblStyle w:val="TableGrid4"/>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ecorative table, informatioin is in the text. "/>
      </w:tblPr>
      <w:tblGrid>
        <w:gridCol w:w="2292"/>
        <w:gridCol w:w="1746"/>
        <w:gridCol w:w="1746"/>
        <w:gridCol w:w="1752"/>
        <w:gridCol w:w="1749"/>
      </w:tblGrid>
      <w:tr w:rsidR="009E5FD3" w:rsidRPr="001427AF" w14:paraId="699B10D4" w14:textId="77777777" w:rsidTr="006C5092">
        <w:trPr>
          <w:trHeight w:val="264"/>
          <w:jc w:val="center"/>
        </w:trPr>
        <w:tc>
          <w:tcPr>
            <w:tcW w:w="2292" w:type="dxa"/>
            <w:vAlign w:val="center"/>
          </w:tcPr>
          <w:p w14:paraId="3B9CC21A"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8</w:t>
            </w:r>
          </w:p>
        </w:tc>
        <w:tc>
          <w:tcPr>
            <w:tcW w:w="1746" w:type="dxa"/>
            <w:vAlign w:val="center"/>
          </w:tcPr>
          <w:p w14:paraId="07CF3A69"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9</w:t>
            </w:r>
          </w:p>
        </w:tc>
        <w:tc>
          <w:tcPr>
            <w:tcW w:w="1746" w:type="dxa"/>
            <w:vAlign w:val="center"/>
          </w:tcPr>
          <w:p w14:paraId="34009541"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10</w:t>
            </w:r>
          </w:p>
        </w:tc>
        <w:tc>
          <w:tcPr>
            <w:tcW w:w="1752" w:type="dxa"/>
            <w:vAlign w:val="center"/>
          </w:tcPr>
          <w:p w14:paraId="156AA08E"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11</w:t>
            </w:r>
          </w:p>
        </w:tc>
        <w:tc>
          <w:tcPr>
            <w:tcW w:w="1749" w:type="dxa"/>
            <w:vAlign w:val="center"/>
          </w:tcPr>
          <w:p w14:paraId="369E1511"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12</w:t>
            </w:r>
          </w:p>
        </w:tc>
      </w:tr>
      <w:tr w:rsidR="009E5FD3" w:rsidRPr="001427AF" w14:paraId="30A2B5C3" w14:textId="77777777" w:rsidTr="006C5092">
        <w:trPr>
          <w:trHeight w:val="2180"/>
          <w:jc w:val="center"/>
        </w:trPr>
        <w:tc>
          <w:tcPr>
            <w:tcW w:w="2292" w:type="dxa"/>
            <w:vAlign w:val="bottom"/>
          </w:tcPr>
          <w:p w14:paraId="7CE1852E"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46" behindDoc="0" locked="0" layoutInCell="1" allowOverlap="1" wp14:anchorId="24DF0691" wp14:editId="72BCB070">
                      <wp:simplePos x="0" y="0"/>
                      <wp:positionH relativeFrom="column">
                        <wp:posOffset>59690</wp:posOffset>
                      </wp:positionH>
                      <wp:positionV relativeFrom="paragraph">
                        <wp:posOffset>-1097915</wp:posOffset>
                      </wp:positionV>
                      <wp:extent cx="952500" cy="495300"/>
                      <wp:effectExtent l="19050" t="19050" r="19050" b="19050"/>
                      <wp:wrapNone/>
                      <wp:docPr id="158" name="Pentagon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52500" cy="495300"/>
                              </a:xfrm>
                              <a:prstGeom prst="pentagon">
                                <a:avLst/>
                              </a:prstGeom>
                              <a:solidFill>
                                <a:srgbClr val="ED7D31"/>
                              </a:solidFill>
                              <a:ln w="12700" cap="flat" cmpd="sng" algn="ctr">
                                <a:solidFill>
                                  <a:srgbClr val="4472C4">
                                    <a:shade val="50000"/>
                                  </a:srgbClr>
                                </a:solidFill>
                                <a:prstDash val="solid"/>
                                <a:miter lim="800000"/>
                              </a:ln>
                              <a:effectLst/>
                            </wps:spPr>
                            <wps:txbx>
                              <w:txbxContent>
                                <w:p w14:paraId="163534F5" w14:textId="77777777" w:rsidR="009E5FD3" w:rsidRPr="00397B68" w:rsidRDefault="009E5FD3" w:rsidP="009E5FD3">
                                  <w:pPr>
                                    <w:jc w:val="center"/>
                                    <w:rPr>
                                      <w:rFonts w:ascii="Arial" w:hAnsi="Arial" w:cs="Arial"/>
                                      <w:color w:val="000000" w:themeColor="text1"/>
                                      <w:sz w:val="20"/>
                                    </w:rPr>
                                  </w:pPr>
                                  <w:r w:rsidRPr="00397B68">
                                    <w:rPr>
                                      <w:rFonts w:ascii="Arial" w:hAnsi="Arial" w:cs="Arial"/>
                                      <w:color w:val="000000" w:themeColor="text1"/>
                                      <w:sz w:val="20"/>
                                    </w:rPr>
                                    <w:t>EOG8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F0691"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agon 158" o:spid="_x0000_s1026" type="#_x0000_t56" alt="&quot;&quot;" style="position:absolute;margin-left:4.7pt;margin-top:-86.45pt;width:75pt;height:3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" fillcolor="#ed7d31" strokecolor="#2f528f" strokeweight="1pt">
                      <v:textbox>
                        <w:txbxContent>
                          <w:p w14:paraId="163534F5" w14:textId="77777777" w:rsidR="009E5FD3" w:rsidRPr="00397B68" w:rsidRDefault="009E5FD3" w:rsidP="009E5FD3">
                            <w:pPr>
                              <w:jc w:val="center"/>
                              <w:rPr>
                                <w:rFonts w:ascii="Arial" w:hAnsi="Arial" w:cs="Arial"/>
                                <w:color w:val="000000" w:themeColor="text1"/>
                                <w:sz w:val="20"/>
                              </w:rPr>
                            </w:pPr>
                            <w:r w:rsidRPr="00397B68">
                              <w:rPr>
                                <w:rFonts w:ascii="Arial" w:hAnsi="Arial" w:cs="Arial"/>
                                <w:color w:val="000000" w:themeColor="text1"/>
                                <w:sz w:val="20"/>
                              </w:rPr>
                              <w:t>EOG8</w:t>
                            </w:r>
                          </w:p>
                        </w:txbxContent>
                      </v:textbox>
                    </v:shape>
                  </w:pict>
                </mc:Fallback>
              </mc:AlternateContent>
            </w:r>
            <w:r w:rsidRPr="001427AF">
              <w:rPr>
                <w:rFonts w:ascii="Arial" w:hAnsi="Arial" w:cs="Arial"/>
                <w:noProof/>
                <w:color w:val="auto"/>
                <w:sz w:val="20"/>
              </w:rPr>
              <mc:AlternateContent>
                <mc:Choice Requires="wps">
                  <w:drawing>
                    <wp:anchor distT="0" distB="0" distL="114300" distR="114300" simplePos="0" relativeHeight="251658247" behindDoc="0" locked="0" layoutInCell="1" allowOverlap="1" wp14:anchorId="2AD0AF0B" wp14:editId="1049084F">
                      <wp:simplePos x="0" y="0"/>
                      <wp:positionH relativeFrom="column">
                        <wp:posOffset>269240</wp:posOffset>
                      </wp:positionH>
                      <wp:positionV relativeFrom="paragraph">
                        <wp:posOffset>-212090</wp:posOffset>
                      </wp:positionV>
                      <wp:extent cx="638175" cy="304800"/>
                      <wp:effectExtent l="0" t="0" r="28575" b="19050"/>
                      <wp:wrapNone/>
                      <wp:docPr id="159" name="Rectangle 1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8175" cy="304800"/>
                              </a:xfrm>
                              <a:prstGeom prst="rect">
                                <a:avLst/>
                              </a:prstGeom>
                              <a:solidFill>
                                <a:srgbClr val="4472C4"/>
                              </a:solidFill>
                              <a:ln w="12700" cap="flat" cmpd="sng" algn="ctr">
                                <a:solidFill>
                                  <a:srgbClr val="4472C4">
                                    <a:shade val="50000"/>
                                  </a:srgbClr>
                                </a:solidFill>
                                <a:prstDash val="solid"/>
                                <a:miter lim="800000"/>
                              </a:ln>
                              <a:effectLst/>
                            </wps:spPr>
                            <wps:txbx>
                              <w:txbxContent>
                                <w:p w14:paraId="123D66FC" w14:textId="77777777" w:rsidR="009E5FD3" w:rsidRPr="00397B68" w:rsidRDefault="009E5FD3" w:rsidP="009E5FD3">
                                  <w:pPr>
                                    <w:jc w:val="center"/>
                                    <w:rPr>
                                      <w:rFonts w:ascii="Arial" w:hAnsi="Arial" w:cs="Arial"/>
                                      <w:color w:val="FFFFFF" w:themeColor="background1"/>
                                      <w:sz w:val="20"/>
                                    </w:rPr>
                                  </w:pPr>
                                  <w:r w:rsidRPr="00397B68">
                                    <w:rPr>
                                      <w:rFonts w:ascii="Arial" w:hAnsi="Arial" w:cs="Arial"/>
                                      <w:color w:val="FFFFFF" w:themeColor="background1"/>
                                      <w:sz w:val="20"/>
                                    </w:rPr>
                                    <w:t>EOG8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0AF0B" id="Rectangle 159" o:spid="_x0000_s1027" alt="&quot;&quot;" style="position:absolute;margin-left:21.2pt;margin-top:-16.7pt;width:50.25pt;height:2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" fillcolor="#4472c4" strokecolor="#2f528f" strokeweight="1pt">
                      <v:textbox>
                        <w:txbxContent>
                          <w:p w14:paraId="123D66FC" w14:textId="77777777" w:rsidR="009E5FD3" w:rsidRPr="00397B68" w:rsidRDefault="009E5FD3" w:rsidP="009E5FD3">
                            <w:pPr>
                              <w:jc w:val="center"/>
                              <w:rPr>
                                <w:rFonts w:ascii="Arial" w:hAnsi="Arial" w:cs="Arial"/>
                                <w:color w:val="FFFFFF" w:themeColor="background1"/>
                                <w:sz w:val="20"/>
                              </w:rPr>
                            </w:pPr>
                            <w:r w:rsidRPr="00397B68">
                              <w:rPr>
                                <w:rFonts w:ascii="Arial" w:hAnsi="Arial" w:cs="Arial"/>
                                <w:color w:val="FFFFFF" w:themeColor="background1"/>
                                <w:sz w:val="20"/>
                              </w:rPr>
                              <w:t>EOG8</w:t>
                            </w:r>
                          </w:p>
                        </w:txbxContent>
                      </v:textbox>
                    </v:rect>
                  </w:pict>
                </mc:Fallback>
              </mc:AlternateContent>
            </w:r>
          </w:p>
        </w:tc>
        <w:tc>
          <w:tcPr>
            <w:tcW w:w="1746" w:type="dxa"/>
          </w:tcPr>
          <w:p w14:paraId="72BF32B0"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45" behindDoc="0" locked="0" layoutInCell="1" allowOverlap="1" wp14:anchorId="54F8BD31" wp14:editId="26F61961">
                      <wp:simplePos x="0" y="0"/>
                      <wp:positionH relativeFrom="column">
                        <wp:posOffset>-34235</wp:posOffset>
                      </wp:positionH>
                      <wp:positionV relativeFrom="paragraph">
                        <wp:posOffset>604133</wp:posOffset>
                      </wp:positionV>
                      <wp:extent cx="4330314" cy="533400"/>
                      <wp:effectExtent l="19050" t="19050" r="32385" b="38100"/>
                      <wp:wrapNone/>
                      <wp:docPr id="132" name="Arrow: Left-Right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30314" cy="533400"/>
                              </a:xfrm>
                              <a:prstGeom prst="leftRightArrow">
                                <a:avLst/>
                              </a:prstGeom>
                              <a:solidFill>
                                <a:srgbClr val="70AD47">
                                  <a:lumMod val="60000"/>
                                  <a:lumOff val="40000"/>
                                </a:srgbClr>
                              </a:solidFill>
                              <a:ln w="12700" cap="flat" cmpd="sng" algn="ctr">
                                <a:solidFill>
                                  <a:sysClr val="windowText" lastClr="000000"/>
                                </a:solidFill>
                                <a:prstDash val="solid"/>
                                <a:miter lim="800000"/>
                              </a:ln>
                              <a:effectLst/>
                            </wps:spPr>
                            <wps:txbx>
                              <w:txbxContent>
                                <w:p w14:paraId="58A48C11" w14:textId="77777777" w:rsidR="009E5FD3" w:rsidRPr="00397B68" w:rsidRDefault="009E5FD3" w:rsidP="009E5FD3">
                                  <w:pPr>
                                    <w:shd w:val="clear" w:color="auto" w:fill="A8D08D" w:themeFill="accent6" w:themeFillTint="99"/>
                                    <w:jc w:val="center"/>
                                    <w:rPr>
                                      <w:rFonts w:ascii="Arial" w:hAnsi="Arial" w:cs="Arial"/>
                                      <w:sz w:val="20"/>
                                    </w:rPr>
                                  </w:pPr>
                                  <w:r w:rsidRPr="00397B68">
                                    <w:rPr>
                                      <w:rFonts w:ascii="Arial" w:hAnsi="Arial" w:cs="Arial"/>
                                      <w:sz w:val="20"/>
                                    </w:rPr>
                                    <w:t>NCM3 in year 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8BD3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2" o:spid="_x0000_s1028" type="#_x0000_t69" alt="&quot;&quot;" style="position:absolute;margin-left:-2.7pt;margin-top:47.55pt;width:340.95pt;height:4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" adj="1330" fillcolor="#a9d18e" strokecolor="windowText" strokeweight="1pt">
                      <v:textbox>
                        <w:txbxContent>
                          <w:p w14:paraId="58A48C11" w14:textId="77777777" w:rsidR="009E5FD3" w:rsidRPr="00397B68" w:rsidRDefault="009E5FD3" w:rsidP="009E5FD3">
                            <w:pPr>
                              <w:shd w:val="clear" w:color="auto" w:fill="A8D08D" w:themeFill="accent6" w:themeFillTint="99"/>
                              <w:jc w:val="center"/>
                              <w:rPr>
                                <w:rFonts w:ascii="Arial" w:hAnsi="Arial" w:cs="Arial"/>
                                <w:sz w:val="20"/>
                              </w:rPr>
                            </w:pPr>
                            <w:r w:rsidRPr="00397B68">
                              <w:rPr>
                                <w:rFonts w:ascii="Arial" w:hAnsi="Arial" w:cs="Arial"/>
                                <w:sz w:val="20"/>
                              </w:rPr>
                              <w:t>NCM3 in year taken</w:t>
                            </w:r>
                          </w:p>
                        </w:txbxContent>
                      </v:textbox>
                    </v:shape>
                  </w:pict>
                </mc:Fallback>
              </mc:AlternateContent>
            </w:r>
            <w:r w:rsidRPr="001427AF">
              <w:rPr>
                <w:rFonts w:ascii="Arial" w:hAnsi="Arial" w:cs="Arial"/>
                <w:noProof/>
                <w:color w:val="auto"/>
                <w:sz w:val="20"/>
              </w:rPr>
              <mc:AlternateContent>
                <mc:Choice Requires="wps">
                  <w:drawing>
                    <wp:anchor distT="0" distB="0" distL="114300" distR="114300" simplePos="0" relativeHeight="251658243" behindDoc="0" locked="0" layoutInCell="1" allowOverlap="1" wp14:anchorId="4F20910B" wp14:editId="1034EEC7">
                      <wp:simplePos x="0" y="0"/>
                      <wp:positionH relativeFrom="column">
                        <wp:posOffset>-50800</wp:posOffset>
                      </wp:positionH>
                      <wp:positionV relativeFrom="paragraph">
                        <wp:posOffset>635</wp:posOffset>
                      </wp:positionV>
                      <wp:extent cx="3800475" cy="530352"/>
                      <wp:effectExtent l="19050" t="19050" r="47625" b="41275"/>
                      <wp:wrapNone/>
                      <wp:docPr id="133" name="Arrow: Left-Right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00475" cy="530352"/>
                              </a:xfrm>
                              <a:prstGeom prst="leftRightArrow">
                                <a:avLst/>
                              </a:prstGeom>
                              <a:solidFill>
                                <a:srgbClr val="ED7D31"/>
                              </a:solidFill>
                              <a:ln w="12700" cap="flat" cmpd="sng" algn="ctr">
                                <a:solidFill>
                                  <a:sysClr val="windowText" lastClr="000000"/>
                                </a:solidFill>
                                <a:prstDash val="solid"/>
                                <a:miter lim="800000"/>
                              </a:ln>
                              <a:effectLst/>
                            </wps:spPr>
                            <wps:txbx>
                              <w:txbxContent>
                                <w:p w14:paraId="3B9E3CB2" w14:textId="77777777" w:rsidR="009E5FD3" w:rsidRPr="00397B68" w:rsidRDefault="009E5FD3" w:rsidP="009E5FD3">
                                  <w:pPr>
                                    <w:jc w:val="center"/>
                                    <w:rPr>
                                      <w:rFonts w:ascii="Arial" w:hAnsi="Arial" w:cs="Arial"/>
                                      <w:color w:val="000000" w:themeColor="text1"/>
                                      <w:sz w:val="20"/>
                                    </w:rPr>
                                  </w:pPr>
                                  <w:r w:rsidRPr="00397B68">
                                    <w:rPr>
                                      <w:rFonts w:ascii="Arial" w:hAnsi="Arial" w:cs="Arial"/>
                                      <w:color w:val="000000" w:themeColor="text1"/>
                                      <w:sz w:val="20"/>
                                    </w:rPr>
                                    <w:t>NCM1 in year 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0910B" id="Arrow: Left-Right 133" o:spid="_x0000_s1029" type="#_x0000_t69" alt="&quot;&quot;" style="position:absolute;margin-left:-4pt;margin-top:.05pt;width:299.25pt;height:4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" adj="1507" fillcolor="#ed7d31" strokecolor="windowText" strokeweight="1pt">
                      <v:textbox>
                        <w:txbxContent>
                          <w:p w14:paraId="3B9E3CB2" w14:textId="77777777" w:rsidR="009E5FD3" w:rsidRPr="00397B68" w:rsidRDefault="009E5FD3" w:rsidP="009E5FD3">
                            <w:pPr>
                              <w:jc w:val="center"/>
                              <w:rPr>
                                <w:rFonts w:ascii="Arial" w:hAnsi="Arial" w:cs="Arial"/>
                                <w:color w:val="000000" w:themeColor="text1"/>
                                <w:sz w:val="20"/>
                              </w:rPr>
                            </w:pPr>
                            <w:r w:rsidRPr="00397B68">
                              <w:rPr>
                                <w:rFonts w:ascii="Arial" w:hAnsi="Arial" w:cs="Arial"/>
                                <w:color w:val="000000" w:themeColor="text1"/>
                                <w:sz w:val="20"/>
                              </w:rPr>
                              <w:t>NCM1 in year taken</w:t>
                            </w:r>
                          </w:p>
                        </w:txbxContent>
                      </v:textbox>
                    </v:shape>
                  </w:pict>
                </mc:Fallback>
              </mc:AlternateContent>
            </w:r>
          </w:p>
        </w:tc>
        <w:tc>
          <w:tcPr>
            <w:tcW w:w="1746" w:type="dxa"/>
          </w:tcPr>
          <w:p w14:paraId="2C08893E" w14:textId="77777777" w:rsidR="009E5FD3" w:rsidRPr="001427AF" w:rsidRDefault="009E5FD3">
            <w:pPr>
              <w:spacing w:line="240" w:lineRule="auto"/>
              <w:rPr>
                <w:rFonts w:ascii="Arial" w:hAnsi="Arial" w:cs="Arial"/>
                <w:color w:val="auto"/>
                <w:sz w:val="20"/>
                <w:szCs w:val="20"/>
              </w:rPr>
            </w:pPr>
          </w:p>
        </w:tc>
        <w:tc>
          <w:tcPr>
            <w:tcW w:w="1752" w:type="dxa"/>
          </w:tcPr>
          <w:p w14:paraId="5E85DA60"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44" behindDoc="0" locked="0" layoutInCell="1" allowOverlap="1" wp14:anchorId="6FF2AA89" wp14:editId="448510D6">
                      <wp:simplePos x="0" y="0"/>
                      <wp:positionH relativeFrom="column">
                        <wp:posOffset>264160</wp:posOffset>
                      </wp:positionH>
                      <wp:positionV relativeFrom="paragraph">
                        <wp:posOffset>1102995</wp:posOffset>
                      </wp:positionV>
                      <wp:extent cx="673100" cy="264795"/>
                      <wp:effectExtent l="0" t="0" r="12700" b="20955"/>
                      <wp:wrapSquare wrapText="bothSides"/>
                      <wp:docPr id="134" name="Rectangle 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3100" cy="264795"/>
                              </a:xfrm>
                              <a:prstGeom prst="rect">
                                <a:avLst/>
                              </a:prstGeom>
                              <a:solidFill>
                                <a:srgbClr val="4472C4"/>
                              </a:solidFill>
                              <a:ln w="12700" cap="flat" cmpd="sng" algn="ctr">
                                <a:solidFill>
                                  <a:sysClr val="windowText" lastClr="000000"/>
                                </a:solidFill>
                                <a:prstDash val="solid"/>
                                <a:miter lim="800000"/>
                              </a:ln>
                              <a:effectLst/>
                            </wps:spPr>
                            <wps:txbx>
                              <w:txbxContent>
                                <w:p w14:paraId="408B4E4F" w14:textId="77777777" w:rsidR="009E5FD3" w:rsidRPr="000B63D0" w:rsidRDefault="009E5FD3" w:rsidP="009E5FD3">
                                  <w:pPr>
                                    <w:ind w:right="-62"/>
                                    <w:jc w:val="center"/>
                                    <w:rPr>
                                      <w:color w:val="FFFFFF" w:themeColor="background1"/>
                                      <w:sz w:val="20"/>
                                    </w:rPr>
                                  </w:pPr>
                                  <w:r w:rsidRPr="00397B68">
                                    <w:rPr>
                                      <w:rFonts w:ascii="Arial" w:hAnsi="Arial" w:cs="Arial"/>
                                      <w:color w:val="FFFFFF" w:themeColor="background1"/>
                                      <w:sz w:val="20"/>
                                    </w:rPr>
                                    <w:t>NCM1B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2AA89" id="Rectangle 134" o:spid="_x0000_s1030" alt="&quot;&quot;" style="position:absolute;margin-left:20.8pt;margin-top:86.85pt;width:53pt;height:20.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" fillcolor="#4472c4" strokecolor="windowText" strokeweight="1pt">
                      <v:textbox>
                        <w:txbxContent>
                          <w:p w14:paraId="408B4E4F" w14:textId="77777777" w:rsidR="009E5FD3" w:rsidRPr="000B63D0" w:rsidRDefault="009E5FD3" w:rsidP="009E5FD3">
                            <w:pPr>
                              <w:ind w:right="-62"/>
                              <w:jc w:val="center"/>
                              <w:rPr>
                                <w:color w:val="FFFFFF" w:themeColor="background1"/>
                                <w:sz w:val="20"/>
                              </w:rPr>
                            </w:pPr>
                            <w:r w:rsidRPr="00397B68">
                              <w:rPr>
                                <w:rFonts w:ascii="Arial" w:hAnsi="Arial" w:cs="Arial"/>
                                <w:color w:val="FFFFFF" w:themeColor="background1"/>
                                <w:sz w:val="20"/>
                              </w:rPr>
                              <w:t>NCM1B</w:t>
                            </w:r>
                          </w:p>
                        </w:txbxContent>
                      </v:textbox>
                      <w10:wrap type="square"/>
                    </v:rect>
                  </w:pict>
                </mc:Fallback>
              </mc:AlternateContent>
            </w:r>
          </w:p>
        </w:tc>
        <w:tc>
          <w:tcPr>
            <w:tcW w:w="1749" w:type="dxa"/>
          </w:tcPr>
          <w:p w14:paraId="50178052" w14:textId="77777777" w:rsidR="009E5FD3" w:rsidRPr="001427AF" w:rsidRDefault="009E5FD3">
            <w:pPr>
              <w:spacing w:line="240" w:lineRule="auto"/>
              <w:rPr>
                <w:rFonts w:ascii="Arial" w:hAnsi="Arial" w:cs="Arial"/>
                <w:color w:val="auto"/>
                <w:sz w:val="20"/>
                <w:szCs w:val="20"/>
              </w:rPr>
            </w:pPr>
          </w:p>
        </w:tc>
      </w:tr>
    </w:tbl>
    <w:p w14:paraId="6D23C9DC" w14:textId="77777777" w:rsidR="009E5FD3" w:rsidRPr="001427AF" w:rsidRDefault="009E5FD3" w:rsidP="009E5FD3">
      <w:pPr>
        <w:spacing w:line="240" w:lineRule="auto"/>
        <w:ind w:left="-720"/>
        <w:rPr>
          <w:rFonts w:ascii="Arial" w:hAnsi="Arial" w:cs="Arial"/>
          <w:szCs w:val="24"/>
        </w:rPr>
      </w:pPr>
    </w:p>
    <w:p w14:paraId="1103FCD4" w14:textId="77777777" w:rsidR="009E5FD3" w:rsidRPr="001427AF" w:rsidRDefault="009E5FD3" w:rsidP="009E5FD3">
      <w:pPr>
        <w:spacing w:line="240" w:lineRule="auto"/>
        <w:rPr>
          <w:rFonts w:ascii="Arial" w:hAnsi="Arial" w:cs="Arial"/>
          <w:szCs w:val="24"/>
        </w:rPr>
      </w:pPr>
      <w:r w:rsidRPr="001427AF">
        <w:rPr>
          <w:rFonts w:ascii="Arial" w:hAnsi="Arial" w:cs="Arial"/>
          <w:b/>
          <w:bCs/>
          <w:szCs w:val="24"/>
        </w:rPr>
        <w:t>Standard Pathway:</w:t>
      </w:r>
      <w:r w:rsidRPr="001427AF">
        <w:rPr>
          <w:rFonts w:ascii="Arial" w:hAnsi="Arial" w:cs="Arial"/>
          <w:szCs w:val="24"/>
        </w:rPr>
        <w:t xml:space="preserve"> Test administration is expected in the grade level(s)/course(s) where students are in membership. Students who transfer from private, out-of-state, or homeschools, and are awarded credit for a course will follow the path based on the grade level the credit is attributed.</w:t>
      </w:r>
    </w:p>
    <w:p w14:paraId="610706E3" w14:textId="77777777" w:rsidR="009E5FD3" w:rsidRPr="001427AF" w:rsidRDefault="009E5FD3" w:rsidP="009E5FD3">
      <w:pPr>
        <w:spacing w:line="240" w:lineRule="auto"/>
        <w:rPr>
          <w:rFonts w:ascii="Arial" w:hAnsi="Arial" w:cs="Arial"/>
          <w:szCs w:val="24"/>
        </w:rPr>
      </w:pPr>
    </w:p>
    <w:p w14:paraId="65A0234E" w14:textId="77777777" w:rsidR="009E5FD3" w:rsidRPr="001427AF" w:rsidRDefault="009E5FD3" w:rsidP="001514C3">
      <w:pPr>
        <w:pStyle w:val="Heading2"/>
      </w:pPr>
      <w:bookmarkStart w:id="767" w:name="_Toc225405003"/>
      <w:r w:rsidRPr="001427AF">
        <w:t>Students who take NC Math 1 for the first time in grades 9–1</w:t>
      </w:r>
      <w:r w:rsidRPr="001427AF" w:rsidDel="004527ED">
        <w:t>1</w:t>
      </w:r>
      <w:bookmarkEnd w:id="767"/>
      <w:r w:rsidRPr="001427AF">
        <w:t xml:space="preserve"> </w:t>
      </w:r>
    </w:p>
    <w:p w14:paraId="4B77564E" w14:textId="77777777" w:rsidR="009E5FD3" w:rsidRPr="001427AF" w:rsidRDefault="009E5FD3" w:rsidP="00CA5853">
      <w:pPr>
        <w:pStyle w:val="Default"/>
        <w:numPr>
          <w:ilvl w:val="0"/>
          <w:numId w:val="123"/>
        </w:numPr>
        <w:rPr>
          <w:rFonts w:ascii="Arial" w:hAnsi="Arial" w:cs="Arial"/>
        </w:rPr>
      </w:pPr>
      <w:r w:rsidRPr="001427AF">
        <w:rPr>
          <w:rFonts w:ascii="Arial" w:hAnsi="Arial" w:cs="Arial"/>
        </w:rPr>
        <w:t xml:space="preserve">EOG grade 8- Test is included as the mathematics grade 8 proficiency measure (SPG). Accountability growth is included in the tested year (grade 8). The test is used to determine 95% participation rates and long-term goals (grade 8). </w:t>
      </w:r>
    </w:p>
    <w:p w14:paraId="3C36C88D" w14:textId="77777777" w:rsidR="009E5FD3" w:rsidRPr="001427AF" w:rsidRDefault="009E5FD3" w:rsidP="00CA5853">
      <w:pPr>
        <w:pStyle w:val="Default"/>
        <w:numPr>
          <w:ilvl w:val="0"/>
          <w:numId w:val="123"/>
        </w:numPr>
        <w:rPr>
          <w:rFonts w:ascii="Arial" w:hAnsi="Arial" w:cs="Arial"/>
        </w:rPr>
      </w:pPr>
      <w:r w:rsidRPr="001427AF">
        <w:rPr>
          <w:rFonts w:ascii="Arial" w:hAnsi="Arial" w:cs="Arial"/>
        </w:rPr>
        <w:t>NC Math 1- Test is included as the mathematics proficiency measure (SPG) in the year the test was taken. Accountability growth is included in the tested year (grades 9-1</w:t>
      </w:r>
      <w:r w:rsidRPr="001427AF" w:rsidDel="004527ED">
        <w:rPr>
          <w:rFonts w:ascii="Arial" w:hAnsi="Arial" w:cs="Arial"/>
        </w:rPr>
        <w:t>1</w:t>
      </w:r>
      <w:r w:rsidRPr="001427AF">
        <w:rPr>
          <w:rFonts w:ascii="Arial" w:hAnsi="Arial" w:cs="Arial"/>
        </w:rPr>
        <w:t xml:space="preserve">), not the banked year. Test is used to determine 95% participation rates and long-term goals in grade 11. </w:t>
      </w:r>
    </w:p>
    <w:p w14:paraId="1CB89760" w14:textId="77777777" w:rsidR="009E5FD3" w:rsidRPr="001427AF" w:rsidRDefault="009E5FD3" w:rsidP="00CA5853">
      <w:pPr>
        <w:pStyle w:val="Default"/>
        <w:numPr>
          <w:ilvl w:val="0"/>
          <w:numId w:val="123"/>
        </w:numPr>
        <w:rPr>
          <w:rFonts w:ascii="Arial" w:hAnsi="Arial" w:cs="Arial"/>
        </w:rPr>
      </w:pPr>
      <w:r w:rsidRPr="001427AF">
        <w:rPr>
          <w:rFonts w:ascii="Arial" w:hAnsi="Arial" w:cs="Arial"/>
        </w:rPr>
        <w:t xml:space="preserve">NC Math 3- Test taken but is not used in accountability model (SPG). </w:t>
      </w:r>
      <w:proofErr w:type="gramStart"/>
      <w:r w:rsidRPr="001427AF">
        <w:rPr>
          <w:rFonts w:ascii="Arial" w:hAnsi="Arial" w:cs="Arial"/>
        </w:rPr>
        <w:t>Test</w:t>
      </w:r>
      <w:proofErr w:type="gramEnd"/>
      <w:r w:rsidRPr="001427AF">
        <w:rPr>
          <w:rFonts w:ascii="Arial" w:hAnsi="Arial" w:cs="Arial"/>
        </w:rPr>
        <w:t xml:space="preserve"> used only for educator effectiveness growth (grades 9- 12 in the year the test was taken). </w:t>
      </w:r>
    </w:p>
    <w:p w14:paraId="709402A8" w14:textId="77777777" w:rsidR="009E5FD3" w:rsidRPr="001427AF" w:rsidRDefault="009E5FD3" w:rsidP="009E5FD3">
      <w:pPr>
        <w:spacing w:line="240" w:lineRule="auto"/>
        <w:ind w:left="-720"/>
        <w:rPr>
          <w:rFonts w:ascii="Arial" w:hAnsi="Arial" w:cs="Arial"/>
          <w:szCs w:val="24"/>
        </w:rPr>
      </w:pPr>
    </w:p>
    <w:p w14:paraId="7936DD7D" w14:textId="77777777" w:rsidR="009E5FD3" w:rsidRPr="00106B62" w:rsidRDefault="009E5FD3" w:rsidP="009E5FD3">
      <w:pPr>
        <w:spacing w:line="240" w:lineRule="auto"/>
        <w:rPr>
          <w:rFonts w:ascii="Arial" w:hAnsi="Arial" w:cs="Arial"/>
          <w:noProof/>
          <w:color w:val="auto"/>
          <w:sz w:val="20"/>
        </w:rPr>
      </w:pPr>
      <w:r w:rsidRPr="00106B62">
        <w:rPr>
          <w:rFonts w:ascii="Arial" w:eastAsiaTheme="minorHAnsi" w:hAnsi="Arial" w:cs="Arial"/>
          <w:color w:val="auto"/>
          <w:sz w:val="20"/>
        </w:rPr>
        <w:t xml:space="preserve">TABLE 8.5.2. Accelerated mathematics pathway – students in membership in </w:t>
      </w:r>
      <w:r w:rsidRPr="00106B62">
        <w:rPr>
          <w:rFonts w:ascii="Arial" w:hAnsi="Arial" w:cs="Arial"/>
          <w:color w:val="auto"/>
          <w:sz w:val="20"/>
        </w:rPr>
        <w:t xml:space="preserve">NC Math 1 in </w:t>
      </w:r>
      <w:r w:rsidRPr="00106B62">
        <w:rPr>
          <w:rFonts w:ascii="Arial" w:hAnsi="Arial" w:cs="Arial"/>
          <w:noProof/>
          <w:color w:val="auto"/>
          <w:sz w:val="20"/>
        </w:rPr>
        <w:t>grade 8</w:t>
      </w:r>
    </w:p>
    <w:tbl>
      <w:tblPr>
        <w:tblStyle w:val="TableGrid4"/>
        <w:tblW w:w="870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ecorative table, informatioin is in the text. "/>
      </w:tblPr>
      <w:tblGrid>
        <w:gridCol w:w="2605"/>
        <w:gridCol w:w="2034"/>
        <w:gridCol w:w="2034"/>
        <w:gridCol w:w="2034"/>
      </w:tblGrid>
      <w:tr w:rsidR="009E5FD3" w:rsidRPr="001427AF" w14:paraId="13C7454A" w14:textId="77777777" w:rsidTr="0093533F">
        <w:trPr>
          <w:trHeight w:val="267"/>
        </w:trPr>
        <w:tc>
          <w:tcPr>
            <w:tcW w:w="2605" w:type="dxa"/>
            <w:vAlign w:val="center"/>
          </w:tcPr>
          <w:p w14:paraId="48DC0B5B"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8</w:t>
            </w:r>
          </w:p>
        </w:tc>
        <w:tc>
          <w:tcPr>
            <w:tcW w:w="2034" w:type="dxa"/>
            <w:vAlign w:val="center"/>
          </w:tcPr>
          <w:p w14:paraId="3CAC8125"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9</w:t>
            </w:r>
          </w:p>
        </w:tc>
        <w:tc>
          <w:tcPr>
            <w:tcW w:w="2034" w:type="dxa"/>
            <w:vAlign w:val="center"/>
          </w:tcPr>
          <w:p w14:paraId="40E32F2D"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10</w:t>
            </w:r>
          </w:p>
        </w:tc>
        <w:tc>
          <w:tcPr>
            <w:tcW w:w="2034" w:type="dxa"/>
            <w:vAlign w:val="center"/>
          </w:tcPr>
          <w:p w14:paraId="669596CE"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11</w:t>
            </w:r>
          </w:p>
        </w:tc>
      </w:tr>
      <w:tr w:rsidR="009E5FD3" w:rsidRPr="001427AF" w14:paraId="356B95EC" w14:textId="77777777" w:rsidTr="0093533F">
        <w:trPr>
          <w:trHeight w:val="1268"/>
        </w:trPr>
        <w:tc>
          <w:tcPr>
            <w:tcW w:w="2605" w:type="dxa"/>
          </w:tcPr>
          <w:p w14:paraId="5EB9E34D"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53" behindDoc="0" locked="0" layoutInCell="1" allowOverlap="1" wp14:anchorId="4F015A6B" wp14:editId="20B3DCE1">
                      <wp:simplePos x="0" y="0"/>
                      <wp:positionH relativeFrom="column">
                        <wp:posOffset>37465</wp:posOffset>
                      </wp:positionH>
                      <wp:positionV relativeFrom="page">
                        <wp:posOffset>23495</wp:posOffset>
                      </wp:positionV>
                      <wp:extent cx="942975" cy="420370"/>
                      <wp:effectExtent l="0" t="0" r="28575" b="17780"/>
                      <wp:wrapNone/>
                      <wp:docPr id="1988335021" name="Flowchart: Connector 19883350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42975" cy="420370"/>
                              </a:xfrm>
                              <a:prstGeom prst="flowChartConnector">
                                <a:avLst/>
                              </a:prstGeom>
                              <a:solidFill>
                                <a:srgbClr val="ED7D31"/>
                              </a:solidFill>
                              <a:ln w="12700" cap="flat" cmpd="sng" algn="ctr">
                                <a:solidFill>
                                  <a:sysClr val="windowText" lastClr="000000"/>
                                </a:solidFill>
                                <a:prstDash val="solid"/>
                                <a:miter lim="800000"/>
                              </a:ln>
                              <a:effectLst/>
                            </wps:spPr>
                            <wps:txbx>
                              <w:txbxContent>
                                <w:p w14:paraId="3B47F7C7" w14:textId="77777777" w:rsidR="009E5FD3" w:rsidRPr="0075399B" w:rsidRDefault="009E5FD3" w:rsidP="009E5FD3">
                                  <w:pPr>
                                    <w:jc w:val="center"/>
                                    <w:rPr>
                                      <w:rFonts w:ascii="Arial" w:hAnsi="Arial" w:cs="Arial"/>
                                      <w:color w:val="000000" w:themeColor="text1"/>
                                      <w:szCs w:val="24"/>
                                    </w:rPr>
                                  </w:pPr>
                                  <w:r w:rsidRPr="0075399B">
                                    <w:rPr>
                                      <w:rFonts w:ascii="Arial" w:hAnsi="Arial" w:cs="Arial"/>
                                      <w:color w:val="000000" w:themeColor="text1"/>
                                      <w:sz w:val="20"/>
                                    </w:rPr>
                                    <w:t>NCM1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15A6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988335021" o:spid="_x0000_s1031" type="#_x0000_t120" alt="&quot;&quot;" style="position:absolute;margin-left:2.95pt;margin-top:1.85pt;width:74.25pt;height:33.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" fillcolor="#ed7d31" strokecolor="windowText" strokeweight="1pt">
                      <v:stroke joinstyle="miter"/>
                      <v:textbox>
                        <w:txbxContent>
                          <w:p w14:paraId="3B47F7C7" w14:textId="77777777" w:rsidR="009E5FD3" w:rsidRPr="0075399B" w:rsidRDefault="009E5FD3" w:rsidP="009E5FD3">
                            <w:pPr>
                              <w:jc w:val="center"/>
                              <w:rPr>
                                <w:rFonts w:ascii="Arial" w:hAnsi="Arial" w:cs="Arial"/>
                                <w:color w:val="000000" w:themeColor="text1"/>
                                <w:szCs w:val="24"/>
                              </w:rPr>
                            </w:pPr>
                            <w:r w:rsidRPr="0075399B">
                              <w:rPr>
                                <w:rFonts w:ascii="Arial" w:hAnsi="Arial" w:cs="Arial"/>
                                <w:color w:val="000000" w:themeColor="text1"/>
                                <w:sz w:val="20"/>
                              </w:rPr>
                              <w:t>NCM1</w:t>
                            </w:r>
                          </w:p>
                        </w:txbxContent>
                      </v:textbox>
                      <w10:wrap anchory="page"/>
                    </v:shape>
                  </w:pict>
                </mc:Fallback>
              </mc:AlternateContent>
            </w:r>
            <w:r w:rsidRPr="001427AF">
              <w:rPr>
                <w:rFonts w:ascii="Arial" w:hAnsi="Arial" w:cs="Arial"/>
                <w:noProof/>
                <w:color w:val="auto"/>
                <w:sz w:val="20"/>
              </w:rPr>
              <mc:AlternateContent>
                <mc:Choice Requires="wps">
                  <w:drawing>
                    <wp:anchor distT="0" distB="0" distL="114300" distR="114300" simplePos="0" relativeHeight="251658255" behindDoc="0" locked="0" layoutInCell="1" allowOverlap="1" wp14:anchorId="6A078F0E" wp14:editId="44558267">
                      <wp:simplePos x="0" y="0"/>
                      <wp:positionH relativeFrom="column">
                        <wp:posOffset>66040</wp:posOffset>
                      </wp:positionH>
                      <wp:positionV relativeFrom="paragraph">
                        <wp:posOffset>559435</wp:posOffset>
                      </wp:positionV>
                      <wp:extent cx="800100" cy="264795"/>
                      <wp:effectExtent l="0" t="0" r="19050" b="20955"/>
                      <wp:wrapSquare wrapText="bothSides"/>
                      <wp:docPr id="552384109" name="Rectangle 552384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0100" cy="264795"/>
                              </a:xfrm>
                              <a:prstGeom prst="rect">
                                <a:avLst/>
                              </a:prstGeom>
                              <a:solidFill>
                                <a:srgbClr val="4472C4"/>
                              </a:solidFill>
                              <a:ln w="12700" cap="flat" cmpd="sng" algn="ctr">
                                <a:solidFill>
                                  <a:sysClr val="windowText" lastClr="000000"/>
                                </a:solidFill>
                                <a:prstDash val="solid"/>
                                <a:miter lim="800000"/>
                              </a:ln>
                              <a:effectLst/>
                            </wps:spPr>
                            <wps:txbx>
                              <w:txbxContent>
                                <w:p w14:paraId="52F96748" w14:textId="77777777" w:rsidR="009E5FD3" w:rsidRPr="00B21E85" w:rsidRDefault="009E5FD3" w:rsidP="009E5FD3">
                                  <w:pPr>
                                    <w:jc w:val="center"/>
                                    <w:rPr>
                                      <w:color w:val="FFFFFF" w:themeColor="background1"/>
                                      <w:sz w:val="20"/>
                                    </w:rPr>
                                  </w:pPr>
                                  <w:r w:rsidRPr="0075399B">
                                    <w:rPr>
                                      <w:rFonts w:ascii="Arial" w:hAnsi="Arial" w:cs="Arial"/>
                                      <w:color w:val="FFFFFF" w:themeColor="background1"/>
                                      <w:sz w:val="20"/>
                                    </w:rPr>
                                    <w:t>NCM1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78F0E" id="Rectangle 552384109" o:spid="_x0000_s1032" alt="&quot;&quot;" style="position:absolute;margin-left:5.2pt;margin-top:44.05pt;width:63pt;height:20.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" fillcolor="#4472c4" strokecolor="windowText" strokeweight="1pt">
                      <v:textbox>
                        <w:txbxContent>
                          <w:p w14:paraId="52F96748" w14:textId="77777777" w:rsidR="009E5FD3" w:rsidRPr="00B21E85" w:rsidRDefault="009E5FD3" w:rsidP="009E5FD3">
                            <w:pPr>
                              <w:jc w:val="center"/>
                              <w:rPr>
                                <w:color w:val="FFFFFF" w:themeColor="background1"/>
                                <w:sz w:val="20"/>
                              </w:rPr>
                            </w:pPr>
                            <w:r w:rsidRPr="0075399B">
                              <w:rPr>
                                <w:rFonts w:ascii="Arial" w:hAnsi="Arial" w:cs="Arial"/>
                                <w:color w:val="FFFFFF" w:themeColor="background1"/>
                                <w:sz w:val="20"/>
                              </w:rPr>
                              <w:t>NCM1</w:t>
                            </w:r>
                          </w:p>
                        </w:txbxContent>
                      </v:textbox>
                      <w10:wrap type="square"/>
                    </v:rect>
                  </w:pict>
                </mc:Fallback>
              </mc:AlternateContent>
            </w:r>
          </w:p>
        </w:tc>
        <w:tc>
          <w:tcPr>
            <w:tcW w:w="2034" w:type="dxa"/>
          </w:tcPr>
          <w:p w14:paraId="1C51DC63" w14:textId="77777777" w:rsidR="009E5FD3" w:rsidRPr="001427AF" w:rsidRDefault="009E5FD3">
            <w:pPr>
              <w:spacing w:line="240" w:lineRule="auto"/>
              <w:rPr>
                <w:rFonts w:ascii="Arial" w:hAnsi="Arial" w:cs="Arial"/>
                <w:color w:val="auto"/>
                <w:sz w:val="20"/>
                <w:szCs w:val="20"/>
              </w:rPr>
            </w:pPr>
          </w:p>
        </w:tc>
        <w:tc>
          <w:tcPr>
            <w:tcW w:w="2034" w:type="dxa"/>
          </w:tcPr>
          <w:p w14:paraId="0B808C86" w14:textId="77777777" w:rsidR="009E5FD3" w:rsidRPr="001427AF" w:rsidRDefault="009E5FD3">
            <w:pPr>
              <w:spacing w:line="240" w:lineRule="auto"/>
              <w:rPr>
                <w:rFonts w:ascii="Arial" w:hAnsi="Arial" w:cs="Arial"/>
                <w:color w:val="auto"/>
                <w:sz w:val="20"/>
                <w:szCs w:val="20"/>
              </w:rPr>
            </w:pPr>
          </w:p>
        </w:tc>
        <w:tc>
          <w:tcPr>
            <w:tcW w:w="2034" w:type="dxa"/>
          </w:tcPr>
          <w:p w14:paraId="5D9B99E4"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56" behindDoc="0" locked="0" layoutInCell="1" allowOverlap="1" wp14:anchorId="32C3BBF2" wp14:editId="671E63A3">
                      <wp:simplePos x="0" y="0"/>
                      <wp:positionH relativeFrom="column">
                        <wp:posOffset>273050</wp:posOffset>
                      </wp:positionH>
                      <wp:positionV relativeFrom="paragraph">
                        <wp:posOffset>558800</wp:posOffset>
                      </wp:positionV>
                      <wp:extent cx="694690" cy="264795"/>
                      <wp:effectExtent l="0" t="0" r="10160" b="20955"/>
                      <wp:wrapSquare wrapText="bothSides"/>
                      <wp:docPr id="1497350832" name="Rectangle 14973508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4690" cy="264795"/>
                              </a:xfrm>
                              <a:prstGeom prst="rect">
                                <a:avLst/>
                              </a:prstGeom>
                              <a:solidFill>
                                <a:srgbClr val="4472C4"/>
                              </a:solidFill>
                              <a:ln w="12700" cap="flat" cmpd="sng" algn="ctr">
                                <a:solidFill>
                                  <a:sysClr val="windowText" lastClr="000000"/>
                                </a:solidFill>
                                <a:prstDash val="solid"/>
                                <a:miter lim="800000"/>
                              </a:ln>
                              <a:effectLst/>
                            </wps:spPr>
                            <wps:txbx>
                              <w:txbxContent>
                                <w:p w14:paraId="44FC14C4" w14:textId="77777777" w:rsidR="009E5FD3" w:rsidRPr="0035710B" w:rsidRDefault="009E5FD3" w:rsidP="009E5FD3">
                                  <w:pPr>
                                    <w:jc w:val="center"/>
                                    <w:rPr>
                                      <w:color w:val="FFFFFF" w:themeColor="background1"/>
                                      <w:sz w:val="20"/>
                                    </w:rPr>
                                  </w:pPr>
                                  <w:r w:rsidRPr="0075399B">
                                    <w:rPr>
                                      <w:rFonts w:ascii="Arial" w:hAnsi="Arial" w:cs="Arial"/>
                                      <w:color w:val="FFFFFF" w:themeColor="background1"/>
                                      <w:sz w:val="20"/>
                                    </w:rPr>
                                    <w:t>NCM3B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3BBF2" id="Rectangle 1497350832" o:spid="_x0000_s1033" alt="&quot;&quot;" style="position:absolute;margin-left:21.5pt;margin-top:44pt;width:54.7pt;height:20.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" fillcolor="#4472c4" strokecolor="windowText" strokeweight="1pt">
                      <v:textbox>
                        <w:txbxContent>
                          <w:p w14:paraId="44FC14C4" w14:textId="77777777" w:rsidR="009E5FD3" w:rsidRPr="0035710B" w:rsidRDefault="009E5FD3" w:rsidP="009E5FD3">
                            <w:pPr>
                              <w:jc w:val="center"/>
                              <w:rPr>
                                <w:color w:val="FFFFFF" w:themeColor="background1"/>
                                <w:sz w:val="20"/>
                              </w:rPr>
                            </w:pPr>
                            <w:r w:rsidRPr="0075399B">
                              <w:rPr>
                                <w:rFonts w:ascii="Arial" w:hAnsi="Arial" w:cs="Arial"/>
                                <w:color w:val="FFFFFF" w:themeColor="background1"/>
                                <w:sz w:val="20"/>
                              </w:rPr>
                              <w:t>NCM3B</w:t>
                            </w:r>
                          </w:p>
                        </w:txbxContent>
                      </v:textbox>
                      <w10:wrap type="square"/>
                    </v:rect>
                  </w:pict>
                </mc:Fallback>
              </mc:AlternateContent>
            </w:r>
            <w:r w:rsidRPr="001427AF">
              <w:rPr>
                <w:rFonts w:ascii="Arial" w:hAnsi="Arial" w:cs="Arial"/>
                <w:noProof/>
                <w:color w:val="auto"/>
                <w:sz w:val="20"/>
              </w:rPr>
              <mc:AlternateContent>
                <mc:Choice Requires="wps">
                  <w:drawing>
                    <wp:anchor distT="0" distB="0" distL="114300" distR="114300" simplePos="0" relativeHeight="251658254" behindDoc="0" locked="0" layoutInCell="1" allowOverlap="1" wp14:anchorId="287954DF" wp14:editId="7A214305">
                      <wp:simplePos x="0" y="0"/>
                      <wp:positionH relativeFrom="column">
                        <wp:posOffset>-2614930</wp:posOffset>
                      </wp:positionH>
                      <wp:positionV relativeFrom="page">
                        <wp:posOffset>-5080</wp:posOffset>
                      </wp:positionV>
                      <wp:extent cx="3800475" cy="533400"/>
                      <wp:effectExtent l="19050" t="19050" r="47625" b="38100"/>
                      <wp:wrapNone/>
                      <wp:docPr id="567187783" name="Arrow: Left-Right 5671877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00475" cy="533400"/>
                              </a:xfrm>
                              <a:prstGeom prst="leftRightArrow">
                                <a:avLst/>
                              </a:prstGeom>
                              <a:solidFill>
                                <a:srgbClr val="ED7D31"/>
                              </a:solidFill>
                              <a:ln w="12700" cap="flat" cmpd="sng" algn="ctr">
                                <a:solidFill>
                                  <a:sysClr val="windowText" lastClr="000000"/>
                                </a:solidFill>
                                <a:prstDash val="solid"/>
                                <a:miter lim="800000"/>
                              </a:ln>
                              <a:effectLst/>
                            </wps:spPr>
                            <wps:txbx>
                              <w:txbxContent>
                                <w:p w14:paraId="15B5745A" w14:textId="77777777" w:rsidR="009E5FD3" w:rsidRPr="0075399B" w:rsidRDefault="009E5FD3" w:rsidP="009E5FD3">
                                  <w:pPr>
                                    <w:jc w:val="center"/>
                                    <w:rPr>
                                      <w:rFonts w:ascii="Arial" w:hAnsi="Arial" w:cs="Arial"/>
                                      <w:color w:val="000000" w:themeColor="text1"/>
                                      <w:sz w:val="20"/>
                                    </w:rPr>
                                  </w:pPr>
                                  <w:r w:rsidRPr="0075399B">
                                    <w:rPr>
                                      <w:rFonts w:ascii="Arial" w:hAnsi="Arial" w:cs="Arial"/>
                                      <w:color w:val="000000" w:themeColor="text1"/>
                                      <w:sz w:val="20"/>
                                    </w:rPr>
                                    <w:t>NCM3 in year 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954DF" id="Arrow: Left-Right 567187783" o:spid="_x0000_s1034" type="#_x0000_t69" alt="&quot;&quot;" style="position:absolute;margin-left:-205.9pt;margin-top:-.4pt;width:299.25pt;height:4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" adj="1516" fillcolor="#ed7d31" strokecolor="windowText" strokeweight="1pt">
                      <v:textbox>
                        <w:txbxContent>
                          <w:p w14:paraId="15B5745A" w14:textId="77777777" w:rsidR="009E5FD3" w:rsidRPr="0075399B" w:rsidRDefault="009E5FD3" w:rsidP="009E5FD3">
                            <w:pPr>
                              <w:jc w:val="center"/>
                              <w:rPr>
                                <w:rFonts w:ascii="Arial" w:hAnsi="Arial" w:cs="Arial"/>
                                <w:color w:val="000000" w:themeColor="text1"/>
                                <w:sz w:val="20"/>
                              </w:rPr>
                            </w:pPr>
                            <w:r w:rsidRPr="0075399B">
                              <w:rPr>
                                <w:rFonts w:ascii="Arial" w:hAnsi="Arial" w:cs="Arial"/>
                                <w:color w:val="000000" w:themeColor="text1"/>
                                <w:sz w:val="20"/>
                              </w:rPr>
                              <w:t>NCM3 in year taken</w:t>
                            </w:r>
                          </w:p>
                        </w:txbxContent>
                      </v:textbox>
                      <w10:wrap anchory="page"/>
                    </v:shape>
                  </w:pict>
                </mc:Fallback>
              </mc:AlternateContent>
            </w:r>
          </w:p>
        </w:tc>
      </w:tr>
    </w:tbl>
    <w:p w14:paraId="7B634D42" w14:textId="77777777" w:rsidR="009E5FD3" w:rsidRPr="001427AF" w:rsidRDefault="009E5FD3" w:rsidP="009E5FD3">
      <w:pPr>
        <w:spacing w:line="240" w:lineRule="auto"/>
        <w:rPr>
          <w:rFonts w:ascii="Arial" w:hAnsi="Arial" w:cs="Arial"/>
        </w:rPr>
      </w:pPr>
    </w:p>
    <w:p w14:paraId="2B97C49B" w14:textId="77777777" w:rsidR="009E5FD3" w:rsidRPr="001427AF" w:rsidRDefault="009E5FD3" w:rsidP="009E5FD3">
      <w:pPr>
        <w:pStyle w:val="Default"/>
        <w:rPr>
          <w:rFonts w:ascii="Arial" w:hAnsi="Arial" w:cs="Arial"/>
          <w:b/>
          <w:bCs/>
        </w:rPr>
      </w:pPr>
      <w:r w:rsidRPr="001427AF">
        <w:rPr>
          <w:rFonts w:ascii="Arial" w:hAnsi="Arial" w:cs="Arial"/>
          <w:b/>
          <w:bCs/>
        </w:rPr>
        <w:t>Accelerated Math Pathway:</w:t>
      </w:r>
      <w:r w:rsidRPr="001427AF">
        <w:rPr>
          <w:rFonts w:ascii="Arial" w:hAnsi="Arial" w:cs="Arial"/>
        </w:rPr>
        <w:t xml:space="preserve"> Test administration is expected in the grade level(s)/course(s) where students are in membership. Students who transfer from private, out-of-state, or homeschools and are awarded credit for a course will follow the path based on the grade level the credit is attributed.</w:t>
      </w:r>
    </w:p>
    <w:p w14:paraId="785E29E0" w14:textId="77777777" w:rsidR="009E5FD3" w:rsidRPr="001427AF" w:rsidRDefault="009E5FD3" w:rsidP="009E5FD3">
      <w:pPr>
        <w:pStyle w:val="Default"/>
        <w:rPr>
          <w:rFonts w:ascii="Arial" w:hAnsi="Arial" w:cs="Arial"/>
          <w:b/>
          <w:bCs/>
        </w:rPr>
      </w:pPr>
    </w:p>
    <w:p w14:paraId="4F795FB9" w14:textId="77777777" w:rsidR="009E5FD3" w:rsidRPr="001427AF" w:rsidRDefault="009E5FD3" w:rsidP="001514C3">
      <w:pPr>
        <w:pStyle w:val="Heading2"/>
      </w:pPr>
      <w:bookmarkStart w:id="768" w:name="_Toc225405004"/>
      <w:r w:rsidRPr="001427AF">
        <w:t>Students in membership in NC Math 1 in grade 8</w:t>
      </w:r>
      <w:bookmarkEnd w:id="768"/>
      <w:r w:rsidRPr="001427AF">
        <w:t xml:space="preserve"> </w:t>
      </w:r>
    </w:p>
    <w:p w14:paraId="7E5A2507" w14:textId="77777777" w:rsidR="009E5FD3" w:rsidRPr="001427AF" w:rsidRDefault="009E5FD3" w:rsidP="00CA5853">
      <w:pPr>
        <w:pStyle w:val="Default"/>
        <w:numPr>
          <w:ilvl w:val="0"/>
          <w:numId w:val="124"/>
        </w:numPr>
        <w:ind w:left="360"/>
        <w:rPr>
          <w:rFonts w:ascii="Arial" w:hAnsi="Arial" w:cs="Arial"/>
        </w:rPr>
      </w:pPr>
      <w:r w:rsidRPr="001427AF">
        <w:rPr>
          <w:rFonts w:ascii="Arial" w:hAnsi="Arial" w:cs="Arial"/>
        </w:rPr>
        <w:t xml:space="preserve">NC Math 1- Test is included as the mathematics proficiency measure (SPG) in grade 8. Accountability growth is included in the tested year (grade 8), not the banked year. The test is used to determine 95% participation rates and long-term goals (grade 8). </w:t>
      </w:r>
    </w:p>
    <w:p w14:paraId="634B822A" w14:textId="77777777" w:rsidR="009E5FD3" w:rsidRPr="001427AF" w:rsidRDefault="009E5FD3" w:rsidP="00CA5853">
      <w:pPr>
        <w:pStyle w:val="Default"/>
        <w:numPr>
          <w:ilvl w:val="0"/>
          <w:numId w:val="124"/>
        </w:numPr>
        <w:ind w:left="360"/>
        <w:rPr>
          <w:rFonts w:ascii="Arial" w:hAnsi="Arial" w:cs="Arial"/>
        </w:rPr>
      </w:pPr>
      <w:r w:rsidRPr="001427AF">
        <w:rPr>
          <w:rFonts w:ascii="Arial" w:hAnsi="Arial" w:cs="Arial"/>
        </w:rPr>
        <w:lastRenderedPageBreak/>
        <w:t>NC Math 3- Test is included as the mathematics proficiency measure (SPG) in the year the test is taken. Accountability growth is included in the tested year (grades 9-1</w:t>
      </w:r>
      <w:r w:rsidRPr="001427AF" w:rsidDel="004527ED">
        <w:rPr>
          <w:rFonts w:ascii="Arial" w:hAnsi="Arial" w:cs="Arial"/>
        </w:rPr>
        <w:t>1</w:t>
      </w:r>
      <w:r w:rsidRPr="001427AF">
        <w:rPr>
          <w:rFonts w:ascii="Arial" w:hAnsi="Arial" w:cs="Arial"/>
        </w:rPr>
        <w:t xml:space="preserve">), not the banked year. The test is used to determine 95% participation rates and long-term goals (grade 11). </w:t>
      </w:r>
    </w:p>
    <w:p w14:paraId="62CD7294" w14:textId="77777777" w:rsidR="009E5FD3" w:rsidRPr="001427AF" w:rsidRDefault="009E5FD3" w:rsidP="009E5FD3">
      <w:pPr>
        <w:spacing w:line="240" w:lineRule="auto"/>
        <w:ind w:left="-720"/>
        <w:rPr>
          <w:rFonts w:ascii="Arial" w:hAnsi="Arial" w:cs="Arial"/>
          <w:sz w:val="20"/>
        </w:rPr>
      </w:pPr>
    </w:p>
    <w:p w14:paraId="7EB17220" w14:textId="338FB212" w:rsidR="009E5FD3" w:rsidRPr="001427AF" w:rsidRDefault="009E5FD3" w:rsidP="009E5FD3">
      <w:pPr>
        <w:spacing w:line="240" w:lineRule="auto"/>
        <w:rPr>
          <w:rFonts w:ascii="Arial" w:hAnsi="Arial" w:cs="Arial"/>
          <w:color w:val="auto"/>
          <w:sz w:val="20"/>
        </w:rPr>
      </w:pPr>
      <w:r w:rsidRPr="001427AF">
        <w:rPr>
          <w:rFonts w:ascii="Arial" w:hAnsi="Arial" w:cs="Arial"/>
          <w:sz w:val="20"/>
        </w:rPr>
        <w:t xml:space="preserve">TABLE 8.5.3. Accelerated mathematics pathway </w:t>
      </w:r>
      <w:r w:rsidR="00E11E52" w:rsidRPr="001427AF">
        <w:rPr>
          <w:rFonts w:ascii="Arial" w:hAnsi="Arial" w:cs="Arial"/>
          <w:sz w:val="20"/>
        </w:rPr>
        <w:t>–</w:t>
      </w:r>
      <w:r w:rsidRPr="001427AF">
        <w:rPr>
          <w:rFonts w:ascii="Arial" w:hAnsi="Arial" w:cs="Arial"/>
          <w:sz w:val="20"/>
        </w:rPr>
        <w:t xml:space="preserve"> </w:t>
      </w:r>
      <w:r w:rsidR="00E11E52" w:rsidRPr="001427AF">
        <w:rPr>
          <w:rFonts w:ascii="Arial" w:hAnsi="Arial" w:cs="Arial"/>
          <w:sz w:val="20"/>
        </w:rPr>
        <w:t xml:space="preserve">students </w:t>
      </w:r>
      <w:r w:rsidR="00FB2BB5" w:rsidRPr="001427AF">
        <w:rPr>
          <w:rFonts w:ascii="Arial" w:hAnsi="Arial" w:cs="Arial"/>
          <w:color w:val="auto"/>
          <w:sz w:val="20"/>
        </w:rPr>
        <w:t>that</w:t>
      </w:r>
      <w:r w:rsidRPr="001427AF">
        <w:rPr>
          <w:rFonts w:ascii="Arial" w:hAnsi="Arial" w:cs="Arial"/>
          <w:color w:val="auto"/>
          <w:sz w:val="20"/>
        </w:rPr>
        <w:t xml:space="preserve"> took NC Math 1 in grade 8 and repeat NC Math 1 in grade 9 (Follow policy on Repeating a Course for Credit for testing requirement CCRE-001)</w:t>
      </w:r>
    </w:p>
    <w:tbl>
      <w:tblPr>
        <w:tblStyle w:val="TableGrid4"/>
        <w:tblW w:w="85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ecorative table, informatioin is in the text. "/>
      </w:tblPr>
      <w:tblGrid>
        <w:gridCol w:w="2425"/>
        <w:gridCol w:w="2034"/>
        <w:gridCol w:w="2034"/>
        <w:gridCol w:w="2034"/>
      </w:tblGrid>
      <w:tr w:rsidR="009E5FD3" w:rsidRPr="001427AF" w14:paraId="75C883F0" w14:textId="77777777" w:rsidTr="0093533F">
        <w:trPr>
          <w:trHeight w:val="267"/>
        </w:trPr>
        <w:tc>
          <w:tcPr>
            <w:tcW w:w="2425" w:type="dxa"/>
          </w:tcPr>
          <w:p w14:paraId="78743812"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8</w:t>
            </w:r>
          </w:p>
        </w:tc>
        <w:tc>
          <w:tcPr>
            <w:tcW w:w="2034" w:type="dxa"/>
          </w:tcPr>
          <w:p w14:paraId="1D9813E3"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9</w:t>
            </w:r>
          </w:p>
        </w:tc>
        <w:tc>
          <w:tcPr>
            <w:tcW w:w="2034" w:type="dxa"/>
          </w:tcPr>
          <w:p w14:paraId="6E3F9CFD"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10</w:t>
            </w:r>
          </w:p>
        </w:tc>
        <w:tc>
          <w:tcPr>
            <w:tcW w:w="2034" w:type="dxa"/>
          </w:tcPr>
          <w:p w14:paraId="19769896"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11</w:t>
            </w:r>
          </w:p>
        </w:tc>
      </w:tr>
      <w:tr w:rsidR="009E5FD3" w:rsidRPr="001427AF" w14:paraId="7FBB6651" w14:textId="77777777" w:rsidTr="0093533F">
        <w:trPr>
          <w:trHeight w:val="1268"/>
        </w:trPr>
        <w:tc>
          <w:tcPr>
            <w:tcW w:w="2425" w:type="dxa"/>
          </w:tcPr>
          <w:p w14:paraId="287A7909"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50" behindDoc="0" locked="0" layoutInCell="1" allowOverlap="1" wp14:anchorId="5ED12B13" wp14:editId="311564FB">
                      <wp:simplePos x="0" y="0"/>
                      <wp:positionH relativeFrom="column">
                        <wp:posOffset>161290</wp:posOffset>
                      </wp:positionH>
                      <wp:positionV relativeFrom="paragraph">
                        <wp:posOffset>603885</wp:posOffset>
                      </wp:positionV>
                      <wp:extent cx="636270" cy="264795"/>
                      <wp:effectExtent l="0" t="0" r="11430" b="20955"/>
                      <wp:wrapSquare wrapText="bothSides"/>
                      <wp:docPr id="223468818" name="Rectangle 2234688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6270" cy="264795"/>
                              </a:xfrm>
                              <a:prstGeom prst="rect">
                                <a:avLst/>
                              </a:prstGeom>
                              <a:solidFill>
                                <a:srgbClr val="4472C4"/>
                              </a:solidFill>
                              <a:ln w="12700" cap="flat" cmpd="sng" algn="ctr">
                                <a:solidFill>
                                  <a:sysClr val="windowText" lastClr="000000"/>
                                </a:solidFill>
                                <a:prstDash val="solid"/>
                                <a:miter lim="800000"/>
                              </a:ln>
                              <a:effectLst/>
                            </wps:spPr>
                            <wps:txbx>
                              <w:txbxContent>
                                <w:p w14:paraId="6D3D6FAB" w14:textId="77777777" w:rsidR="009E5FD3" w:rsidRPr="00410113" w:rsidRDefault="009E5FD3" w:rsidP="009E5FD3">
                                  <w:pPr>
                                    <w:jc w:val="center"/>
                                    <w:rPr>
                                      <w:rFonts w:ascii="Arial" w:hAnsi="Arial" w:cs="Arial"/>
                                      <w:color w:val="FFFFFF" w:themeColor="background1"/>
                                      <w:sz w:val="20"/>
                                    </w:rPr>
                                  </w:pPr>
                                  <w:r w:rsidRPr="00410113">
                                    <w:rPr>
                                      <w:rFonts w:ascii="Arial" w:hAnsi="Arial" w:cs="Arial"/>
                                      <w:color w:val="FFFFFF" w:themeColor="background1"/>
                                      <w:sz w:val="20"/>
                                    </w:rPr>
                                    <w:t>NCM1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12B13" id="Rectangle 223468818" o:spid="_x0000_s1035" alt="&quot;&quot;" style="position:absolute;margin-left:12.7pt;margin-top:47.55pt;width:50.1pt;height:20.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" fillcolor="#4472c4" strokecolor="windowText" strokeweight="1pt">
                      <v:textbox>
                        <w:txbxContent>
                          <w:p w14:paraId="6D3D6FAB" w14:textId="77777777" w:rsidR="009E5FD3" w:rsidRPr="00410113" w:rsidRDefault="009E5FD3" w:rsidP="009E5FD3">
                            <w:pPr>
                              <w:jc w:val="center"/>
                              <w:rPr>
                                <w:rFonts w:ascii="Arial" w:hAnsi="Arial" w:cs="Arial"/>
                                <w:color w:val="FFFFFF" w:themeColor="background1"/>
                                <w:sz w:val="20"/>
                              </w:rPr>
                            </w:pPr>
                            <w:r w:rsidRPr="00410113">
                              <w:rPr>
                                <w:rFonts w:ascii="Arial" w:hAnsi="Arial" w:cs="Arial"/>
                                <w:color w:val="FFFFFF" w:themeColor="background1"/>
                                <w:sz w:val="20"/>
                              </w:rPr>
                              <w:t>NCM1</w:t>
                            </w:r>
                          </w:p>
                        </w:txbxContent>
                      </v:textbox>
                      <w10:wrap type="square"/>
                    </v:rect>
                  </w:pict>
                </mc:Fallback>
              </mc:AlternateContent>
            </w:r>
            <w:r w:rsidRPr="001427AF">
              <w:rPr>
                <w:rFonts w:ascii="Arial" w:hAnsi="Arial" w:cs="Arial"/>
                <w:noProof/>
                <w:color w:val="auto"/>
                <w:szCs w:val="24"/>
              </w:rPr>
              <mc:AlternateContent>
                <mc:Choice Requires="wps">
                  <w:drawing>
                    <wp:anchor distT="0" distB="0" distL="114300" distR="114300" simplePos="0" relativeHeight="251658248" behindDoc="0" locked="0" layoutInCell="1" allowOverlap="1" wp14:anchorId="39176E20" wp14:editId="0EF29048">
                      <wp:simplePos x="0" y="0"/>
                      <wp:positionH relativeFrom="column">
                        <wp:posOffset>27940</wp:posOffset>
                      </wp:positionH>
                      <wp:positionV relativeFrom="paragraph">
                        <wp:posOffset>86360</wp:posOffset>
                      </wp:positionV>
                      <wp:extent cx="895350" cy="420624"/>
                      <wp:effectExtent l="0" t="0" r="19050" b="17780"/>
                      <wp:wrapNone/>
                      <wp:docPr id="504370039" name="Flowchart: Connector 5043700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95350" cy="420624"/>
                              </a:xfrm>
                              <a:prstGeom prst="flowChartConnector">
                                <a:avLst/>
                              </a:prstGeom>
                              <a:solidFill>
                                <a:srgbClr val="ED7D31"/>
                              </a:solidFill>
                              <a:ln w="12700" cap="flat" cmpd="sng" algn="ctr">
                                <a:solidFill>
                                  <a:sysClr val="windowText" lastClr="000000"/>
                                </a:solidFill>
                                <a:prstDash val="solid"/>
                                <a:miter lim="800000"/>
                              </a:ln>
                              <a:effectLst/>
                            </wps:spPr>
                            <wps:txbx>
                              <w:txbxContent>
                                <w:p w14:paraId="68F1DE31" w14:textId="77777777" w:rsidR="009E5FD3" w:rsidRPr="002F703B" w:rsidRDefault="009E5FD3" w:rsidP="009E5FD3">
                                  <w:pPr>
                                    <w:jc w:val="center"/>
                                    <w:rPr>
                                      <w:color w:val="000000" w:themeColor="text1"/>
                                      <w:sz w:val="20"/>
                                    </w:rPr>
                                  </w:pPr>
                                  <w:r w:rsidRPr="0075399B">
                                    <w:rPr>
                                      <w:rFonts w:ascii="Arial" w:hAnsi="Arial" w:cs="Arial"/>
                                      <w:color w:val="000000" w:themeColor="text1"/>
                                      <w:sz w:val="20"/>
                                    </w:rPr>
                                    <w:t>NCM1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6E20" id="Flowchart: Connector 504370039" o:spid="_x0000_s1036" type="#_x0000_t120" alt="&quot;&quot;" style="position:absolute;margin-left:2.2pt;margin-top:6.8pt;width:70.5pt;height:33.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" fillcolor="#ed7d31" strokecolor="windowText" strokeweight="1pt">
                      <v:stroke joinstyle="miter"/>
                      <v:textbox>
                        <w:txbxContent>
                          <w:p w14:paraId="68F1DE31" w14:textId="77777777" w:rsidR="009E5FD3" w:rsidRPr="002F703B" w:rsidRDefault="009E5FD3" w:rsidP="009E5FD3">
                            <w:pPr>
                              <w:jc w:val="center"/>
                              <w:rPr>
                                <w:color w:val="000000" w:themeColor="text1"/>
                                <w:sz w:val="20"/>
                              </w:rPr>
                            </w:pPr>
                            <w:r w:rsidRPr="0075399B">
                              <w:rPr>
                                <w:rFonts w:ascii="Arial" w:hAnsi="Arial" w:cs="Arial"/>
                                <w:color w:val="000000" w:themeColor="text1"/>
                                <w:sz w:val="20"/>
                              </w:rPr>
                              <w:t>NCM1</w:t>
                            </w:r>
                          </w:p>
                        </w:txbxContent>
                      </v:textbox>
                    </v:shape>
                  </w:pict>
                </mc:Fallback>
              </mc:AlternateContent>
            </w:r>
          </w:p>
        </w:tc>
        <w:tc>
          <w:tcPr>
            <w:tcW w:w="2034" w:type="dxa"/>
          </w:tcPr>
          <w:p w14:paraId="7D822901"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52" behindDoc="0" locked="0" layoutInCell="1" allowOverlap="1" wp14:anchorId="40DA7351" wp14:editId="6831336E">
                      <wp:simplePos x="0" y="0"/>
                      <wp:positionH relativeFrom="column">
                        <wp:posOffset>25400</wp:posOffset>
                      </wp:positionH>
                      <wp:positionV relativeFrom="paragraph">
                        <wp:posOffset>99695</wp:posOffset>
                      </wp:positionV>
                      <wp:extent cx="955040" cy="420624"/>
                      <wp:effectExtent l="0" t="0" r="16510" b="17780"/>
                      <wp:wrapNone/>
                      <wp:docPr id="1180020654" name="Flowchart: Connector 1180020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55040" cy="420624"/>
                              </a:xfrm>
                              <a:prstGeom prst="flowChartConnector">
                                <a:avLst/>
                              </a:prstGeom>
                              <a:solidFill>
                                <a:srgbClr val="ED7D31"/>
                              </a:solidFill>
                              <a:ln w="12700" cap="flat" cmpd="sng" algn="ctr">
                                <a:solidFill>
                                  <a:sysClr val="windowText" lastClr="000000"/>
                                </a:solidFill>
                                <a:prstDash val="solid"/>
                                <a:miter lim="800000"/>
                              </a:ln>
                              <a:effectLst/>
                            </wps:spPr>
                            <wps:txbx>
                              <w:txbxContent>
                                <w:p w14:paraId="21E5ED5F" w14:textId="77777777" w:rsidR="009E5FD3" w:rsidRPr="00B857E2" w:rsidRDefault="009E5FD3" w:rsidP="009E5FD3">
                                  <w:pPr>
                                    <w:jc w:val="center"/>
                                    <w:rPr>
                                      <w:rFonts w:ascii="Arial" w:hAnsi="Arial" w:cs="Arial"/>
                                      <w:color w:val="000000" w:themeColor="text1"/>
                                      <w:sz w:val="20"/>
                                    </w:rPr>
                                  </w:pPr>
                                  <w:r w:rsidRPr="00B857E2">
                                    <w:rPr>
                                      <w:rFonts w:ascii="Arial" w:hAnsi="Arial" w:cs="Arial"/>
                                      <w:color w:val="000000" w:themeColor="text1"/>
                                      <w:sz w:val="20"/>
                                    </w:rPr>
                                    <w:t>NCM1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A7351" id="Flowchart: Connector 1180020654" o:spid="_x0000_s1037" type="#_x0000_t120" alt="&quot;&quot;" style="position:absolute;margin-left:2pt;margin-top:7.85pt;width:75.2pt;height:33.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" fillcolor="#ed7d31" strokecolor="windowText" strokeweight="1pt">
                      <v:stroke joinstyle="miter"/>
                      <v:textbox>
                        <w:txbxContent>
                          <w:p w14:paraId="21E5ED5F" w14:textId="77777777" w:rsidR="009E5FD3" w:rsidRPr="00B857E2" w:rsidRDefault="009E5FD3" w:rsidP="009E5FD3">
                            <w:pPr>
                              <w:jc w:val="center"/>
                              <w:rPr>
                                <w:rFonts w:ascii="Arial" w:hAnsi="Arial" w:cs="Arial"/>
                                <w:color w:val="000000" w:themeColor="text1"/>
                                <w:sz w:val="20"/>
                              </w:rPr>
                            </w:pPr>
                            <w:r w:rsidRPr="00B857E2">
                              <w:rPr>
                                <w:rFonts w:ascii="Arial" w:hAnsi="Arial" w:cs="Arial"/>
                                <w:color w:val="000000" w:themeColor="text1"/>
                                <w:sz w:val="20"/>
                              </w:rPr>
                              <w:t>NCM1</w:t>
                            </w:r>
                          </w:p>
                        </w:txbxContent>
                      </v:textbox>
                    </v:shape>
                  </w:pict>
                </mc:Fallback>
              </mc:AlternateContent>
            </w:r>
          </w:p>
        </w:tc>
        <w:tc>
          <w:tcPr>
            <w:tcW w:w="2034" w:type="dxa"/>
          </w:tcPr>
          <w:p w14:paraId="056C0A4C"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49" behindDoc="0" locked="0" layoutInCell="1" allowOverlap="1" wp14:anchorId="273880FB" wp14:editId="6DAF2861">
                      <wp:simplePos x="0" y="0"/>
                      <wp:positionH relativeFrom="column">
                        <wp:posOffset>-61595</wp:posOffset>
                      </wp:positionH>
                      <wp:positionV relativeFrom="paragraph">
                        <wp:posOffset>26035</wp:posOffset>
                      </wp:positionV>
                      <wp:extent cx="2524125" cy="533400"/>
                      <wp:effectExtent l="19050" t="19050" r="47625" b="38100"/>
                      <wp:wrapNone/>
                      <wp:docPr id="296861870" name="Arrow: Left-Right 2968618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24125" cy="533400"/>
                              </a:xfrm>
                              <a:prstGeom prst="leftRightArrow">
                                <a:avLst/>
                              </a:prstGeom>
                              <a:solidFill>
                                <a:srgbClr val="ED7D31"/>
                              </a:solidFill>
                              <a:ln w="12700" cap="flat" cmpd="sng" algn="ctr">
                                <a:solidFill>
                                  <a:sysClr val="windowText" lastClr="000000"/>
                                </a:solidFill>
                                <a:prstDash val="solid"/>
                                <a:miter lim="800000"/>
                              </a:ln>
                              <a:effectLst/>
                            </wps:spPr>
                            <wps:txbx>
                              <w:txbxContent>
                                <w:p w14:paraId="0CD01AC0" w14:textId="77777777" w:rsidR="009E5FD3" w:rsidRPr="0075399B" w:rsidRDefault="009E5FD3" w:rsidP="009E5FD3">
                                  <w:pPr>
                                    <w:jc w:val="center"/>
                                    <w:rPr>
                                      <w:rFonts w:ascii="Arial" w:hAnsi="Arial" w:cs="Arial"/>
                                      <w:color w:val="000000" w:themeColor="text1"/>
                                      <w:sz w:val="20"/>
                                    </w:rPr>
                                  </w:pPr>
                                  <w:r w:rsidRPr="0075399B">
                                    <w:rPr>
                                      <w:rFonts w:ascii="Arial" w:hAnsi="Arial" w:cs="Arial"/>
                                      <w:color w:val="000000" w:themeColor="text1"/>
                                      <w:sz w:val="20"/>
                                    </w:rPr>
                                    <w:t>NCM3 in year taken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880FB" id="Arrow: Left-Right 296861870" o:spid="_x0000_s1038" type="#_x0000_t69" alt="&quot;&quot;" style="position:absolute;margin-left:-4.85pt;margin-top:2.05pt;width:198.75pt;height:4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" adj="2282" fillcolor="#ed7d31" strokecolor="windowText" strokeweight="1pt">
                      <v:textbox>
                        <w:txbxContent>
                          <w:p w14:paraId="0CD01AC0" w14:textId="77777777" w:rsidR="009E5FD3" w:rsidRPr="0075399B" w:rsidRDefault="009E5FD3" w:rsidP="009E5FD3">
                            <w:pPr>
                              <w:jc w:val="center"/>
                              <w:rPr>
                                <w:rFonts w:ascii="Arial" w:hAnsi="Arial" w:cs="Arial"/>
                                <w:color w:val="000000" w:themeColor="text1"/>
                                <w:sz w:val="20"/>
                              </w:rPr>
                            </w:pPr>
                            <w:r w:rsidRPr="0075399B">
                              <w:rPr>
                                <w:rFonts w:ascii="Arial" w:hAnsi="Arial" w:cs="Arial"/>
                                <w:color w:val="000000" w:themeColor="text1"/>
                                <w:sz w:val="20"/>
                              </w:rPr>
                              <w:t>NCM3 in year taken</w:t>
                            </w:r>
                          </w:p>
                        </w:txbxContent>
                      </v:textbox>
                    </v:shape>
                  </w:pict>
                </mc:Fallback>
              </mc:AlternateContent>
            </w:r>
          </w:p>
        </w:tc>
        <w:tc>
          <w:tcPr>
            <w:tcW w:w="2034" w:type="dxa"/>
          </w:tcPr>
          <w:p w14:paraId="1CD3ADB3"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51" behindDoc="0" locked="0" layoutInCell="1" allowOverlap="1" wp14:anchorId="7ABE804C" wp14:editId="01E9A5E9">
                      <wp:simplePos x="0" y="0"/>
                      <wp:positionH relativeFrom="column">
                        <wp:posOffset>273685</wp:posOffset>
                      </wp:positionH>
                      <wp:positionV relativeFrom="paragraph">
                        <wp:posOffset>659765</wp:posOffset>
                      </wp:positionV>
                      <wp:extent cx="701675" cy="264795"/>
                      <wp:effectExtent l="0" t="0" r="22225" b="20955"/>
                      <wp:wrapSquare wrapText="bothSides"/>
                      <wp:docPr id="2104167809" name="Rectangle 21041678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1675" cy="264795"/>
                              </a:xfrm>
                              <a:prstGeom prst="rect">
                                <a:avLst/>
                              </a:prstGeom>
                              <a:solidFill>
                                <a:srgbClr val="4472C4"/>
                              </a:solidFill>
                              <a:ln w="12700" cap="flat" cmpd="sng" algn="ctr">
                                <a:solidFill>
                                  <a:sysClr val="windowText" lastClr="000000"/>
                                </a:solidFill>
                                <a:prstDash val="solid"/>
                                <a:miter lim="800000"/>
                              </a:ln>
                              <a:effectLst/>
                            </wps:spPr>
                            <wps:txbx>
                              <w:txbxContent>
                                <w:p w14:paraId="269EE4EF" w14:textId="77777777" w:rsidR="009E5FD3" w:rsidRPr="00660DA6" w:rsidRDefault="009E5FD3" w:rsidP="009E5FD3">
                                  <w:pPr>
                                    <w:jc w:val="center"/>
                                    <w:rPr>
                                      <w:color w:val="FFFFFF" w:themeColor="background1"/>
                                      <w:sz w:val="20"/>
                                    </w:rPr>
                                  </w:pPr>
                                  <w:r w:rsidRPr="0075399B">
                                    <w:rPr>
                                      <w:rFonts w:ascii="Arial" w:hAnsi="Arial" w:cs="Arial"/>
                                      <w:color w:val="FFFFFF" w:themeColor="background1"/>
                                      <w:sz w:val="20"/>
                                    </w:rPr>
                                    <w:t>NCM3B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E804C" id="Rectangle 2104167809" o:spid="_x0000_s1039" alt="&quot;&quot;" style="position:absolute;margin-left:21.55pt;margin-top:51.95pt;width:55.25pt;height:20.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" fillcolor="#4472c4" strokecolor="windowText" strokeweight="1pt">
                      <v:textbox>
                        <w:txbxContent>
                          <w:p w14:paraId="269EE4EF" w14:textId="77777777" w:rsidR="009E5FD3" w:rsidRPr="00660DA6" w:rsidRDefault="009E5FD3" w:rsidP="009E5FD3">
                            <w:pPr>
                              <w:jc w:val="center"/>
                              <w:rPr>
                                <w:color w:val="FFFFFF" w:themeColor="background1"/>
                                <w:sz w:val="20"/>
                              </w:rPr>
                            </w:pPr>
                            <w:r w:rsidRPr="0075399B">
                              <w:rPr>
                                <w:rFonts w:ascii="Arial" w:hAnsi="Arial" w:cs="Arial"/>
                                <w:color w:val="FFFFFF" w:themeColor="background1"/>
                                <w:sz w:val="20"/>
                              </w:rPr>
                              <w:t>NCM3B</w:t>
                            </w:r>
                          </w:p>
                        </w:txbxContent>
                      </v:textbox>
                      <w10:wrap type="square"/>
                    </v:rect>
                  </w:pict>
                </mc:Fallback>
              </mc:AlternateContent>
            </w:r>
          </w:p>
        </w:tc>
      </w:tr>
    </w:tbl>
    <w:p w14:paraId="53513DC4" w14:textId="77777777" w:rsidR="009E5FD3" w:rsidRPr="001427AF" w:rsidRDefault="009E5FD3" w:rsidP="009E5FD3">
      <w:pPr>
        <w:spacing w:line="240" w:lineRule="auto"/>
        <w:ind w:left="-720"/>
        <w:rPr>
          <w:rFonts w:ascii="Arial" w:hAnsi="Arial" w:cs="Arial"/>
          <w:sz w:val="20"/>
        </w:rPr>
      </w:pPr>
    </w:p>
    <w:p w14:paraId="6EBB6A48" w14:textId="77777777" w:rsidR="009E5FD3" w:rsidRPr="001427AF" w:rsidRDefault="009E5FD3" w:rsidP="001514C3">
      <w:pPr>
        <w:pStyle w:val="Heading2"/>
      </w:pPr>
      <w:bookmarkStart w:id="769" w:name="_Toc225405005"/>
      <w:r w:rsidRPr="001427AF">
        <w:t>Students who took NC Math 1 in grade 8 and repeat NC Math 1 in grade 9 (Follow policy on Repeating a Course for Credit for testing requirement CCRE-001)</w:t>
      </w:r>
      <w:bookmarkEnd w:id="769"/>
      <w:r w:rsidRPr="001427AF">
        <w:t xml:space="preserve"> </w:t>
      </w:r>
    </w:p>
    <w:p w14:paraId="26E94372" w14:textId="77777777" w:rsidR="009E5FD3" w:rsidRPr="001427AF" w:rsidRDefault="009E5FD3" w:rsidP="00CA5853">
      <w:pPr>
        <w:pStyle w:val="Default"/>
        <w:numPr>
          <w:ilvl w:val="0"/>
          <w:numId w:val="154"/>
        </w:numPr>
        <w:rPr>
          <w:rFonts w:ascii="Arial" w:hAnsi="Arial" w:cs="Arial"/>
        </w:rPr>
      </w:pPr>
      <w:r w:rsidRPr="001427AF">
        <w:rPr>
          <w:rFonts w:ascii="Arial" w:hAnsi="Arial" w:cs="Arial"/>
        </w:rPr>
        <w:t>NC Math 1- Test is included as the mathematics proficiency measure (SPG) in the year the test is taken (grade 8 or grade 9). Accountability growth is included in the tested year (grade 8 or grade 9), not the banked year. The test is used to determine 95% participation rates and long-term goals (grade 8).</w:t>
      </w:r>
    </w:p>
    <w:p w14:paraId="5DCD267B" w14:textId="77777777" w:rsidR="009E5FD3" w:rsidRPr="001427AF" w:rsidRDefault="009E5FD3" w:rsidP="00CA5853">
      <w:pPr>
        <w:pStyle w:val="Default"/>
        <w:numPr>
          <w:ilvl w:val="0"/>
          <w:numId w:val="154"/>
        </w:numPr>
        <w:rPr>
          <w:rFonts w:ascii="Arial" w:hAnsi="Arial" w:cs="Arial"/>
        </w:rPr>
      </w:pPr>
      <w:r w:rsidRPr="001427AF">
        <w:rPr>
          <w:rFonts w:ascii="Arial" w:hAnsi="Arial" w:cs="Arial"/>
        </w:rPr>
        <w:t xml:space="preserve">NC Math 3- Test is included as the mathematics proficiency measure (SPG) in the year the test is taken (grade 10 or grade 11). Accountability growth is included in the tested year (grade 10 or 11), not the banked year. The test is used to determine 95% participation rates and long-term goals (grade 11). </w:t>
      </w:r>
    </w:p>
    <w:p w14:paraId="224A341F" w14:textId="77777777" w:rsidR="009E5FD3" w:rsidRPr="001427AF" w:rsidRDefault="009E5FD3" w:rsidP="009E5FD3">
      <w:pPr>
        <w:pStyle w:val="Default"/>
        <w:ind w:left="720"/>
        <w:rPr>
          <w:rFonts w:ascii="Arial" w:hAnsi="Arial" w:cs="Arial"/>
        </w:rPr>
      </w:pPr>
    </w:p>
    <w:p w14:paraId="526A1C4F" w14:textId="0AC56FB9" w:rsidR="009E5FD3" w:rsidRPr="001427AF" w:rsidRDefault="009E5FD3" w:rsidP="009E5FD3">
      <w:pPr>
        <w:spacing w:line="240" w:lineRule="auto"/>
        <w:rPr>
          <w:rFonts w:ascii="Arial" w:hAnsi="Arial" w:cs="Arial"/>
          <w:sz w:val="20"/>
        </w:rPr>
      </w:pPr>
      <w:r w:rsidRPr="001427AF">
        <w:rPr>
          <w:rFonts w:ascii="Arial" w:hAnsi="Arial" w:cs="Arial"/>
          <w:sz w:val="20"/>
        </w:rPr>
        <w:t xml:space="preserve">TABLE 8.5.4. Accelerated mathematics pathway - </w:t>
      </w:r>
      <w:r w:rsidR="003D0DF0" w:rsidRPr="001427AF">
        <w:rPr>
          <w:rFonts w:ascii="Arial" w:hAnsi="Arial" w:cs="Arial"/>
          <w:sz w:val="20"/>
        </w:rPr>
        <w:t>s</w:t>
      </w:r>
      <w:r w:rsidRPr="001427AF">
        <w:rPr>
          <w:rFonts w:ascii="Arial" w:hAnsi="Arial" w:cs="Arial"/>
          <w:color w:val="auto"/>
          <w:sz w:val="20"/>
        </w:rPr>
        <w:t xml:space="preserve">tudents in membership in NC Math 1 in </w:t>
      </w:r>
      <w:r w:rsidRPr="001427AF">
        <w:rPr>
          <w:rFonts w:ascii="Arial" w:hAnsi="Arial" w:cs="Arial"/>
          <w:bCs/>
          <w:color w:val="auto"/>
          <w:sz w:val="20"/>
        </w:rPr>
        <w:t>grade 7</w:t>
      </w:r>
    </w:p>
    <w:tbl>
      <w:tblPr>
        <w:tblStyle w:val="TableGrid3"/>
        <w:tblW w:w="89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ecorative table, informatioin is in the text. "/>
      </w:tblPr>
      <w:tblGrid>
        <w:gridCol w:w="2106"/>
        <w:gridCol w:w="1744"/>
        <w:gridCol w:w="1677"/>
        <w:gridCol w:w="1676"/>
        <w:gridCol w:w="1738"/>
      </w:tblGrid>
      <w:tr w:rsidR="009E5FD3" w:rsidRPr="001427AF" w14:paraId="701163E4" w14:textId="77777777" w:rsidTr="0093533F">
        <w:trPr>
          <w:trHeight w:val="282"/>
        </w:trPr>
        <w:tc>
          <w:tcPr>
            <w:tcW w:w="2106" w:type="dxa"/>
          </w:tcPr>
          <w:p w14:paraId="4BCCEAD9"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7</w:t>
            </w:r>
          </w:p>
        </w:tc>
        <w:tc>
          <w:tcPr>
            <w:tcW w:w="1744" w:type="dxa"/>
          </w:tcPr>
          <w:p w14:paraId="0F5A731B"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8</w:t>
            </w:r>
          </w:p>
        </w:tc>
        <w:tc>
          <w:tcPr>
            <w:tcW w:w="1677" w:type="dxa"/>
          </w:tcPr>
          <w:p w14:paraId="1BFE9858"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9</w:t>
            </w:r>
          </w:p>
        </w:tc>
        <w:tc>
          <w:tcPr>
            <w:tcW w:w="1676" w:type="dxa"/>
          </w:tcPr>
          <w:p w14:paraId="11273107"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10</w:t>
            </w:r>
          </w:p>
        </w:tc>
        <w:tc>
          <w:tcPr>
            <w:tcW w:w="1738" w:type="dxa"/>
          </w:tcPr>
          <w:p w14:paraId="279090D8"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11</w:t>
            </w:r>
          </w:p>
        </w:tc>
      </w:tr>
      <w:tr w:rsidR="009E5FD3" w:rsidRPr="001427AF" w14:paraId="77EFD3E5" w14:textId="77777777" w:rsidTr="0093533F">
        <w:trPr>
          <w:trHeight w:val="2316"/>
        </w:trPr>
        <w:tc>
          <w:tcPr>
            <w:tcW w:w="2106" w:type="dxa"/>
          </w:tcPr>
          <w:p w14:paraId="66320F39"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58" behindDoc="0" locked="0" layoutInCell="1" allowOverlap="1" wp14:anchorId="16B829B5" wp14:editId="0E719CC6">
                      <wp:simplePos x="0" y="0"/>
                      <wp:positionH relativeFrom="column">
                        <wp:posOffset>118745</wp:posOffset>
                      </wp:positionH>
                      <wp:positionV relativeFrom="paragraph">
                        <wp:posOffset>1115695</wp:posOffset>
                      </wp:positionV>
                      <wp:extent cx="566420" cy="264795"/>
                      <wp:effectExtent l="0" t="0" r="24130" b="20955"/>
                      <wp:wrapSquare wrapText="bothSides"/>
                      <wp:docPr id="2080008353" name="Rectangle 2080008353" descr="P2671C6T38TB20#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6420" cy="264795"/>
                              </a:xfrm>
                              <a:prstGeom prst="rect">
                                <a:avLst/>
                              </a:prstGeom>
                              <a:solidFill>
                                <a:srgbClr val="4472C4"/>
                              </a:solidFill>
                              <a:ln w="12700" cap="flat" cmpd="sng" algn="ctr">
                                <a:solidFill>
                                  <a:sysClr val="windowText" lastClr="000000"/>
                                </a:solidFill>
                                <a:prstDash val="solid"/>
                                <a:miter lim="800000"/>
                              </a:ln>
                              <a:effectLst/>
                            </wps:spPr>
                            <wps:txbx>
                              <w:txbxContent>
                                <w:p w14:paraId="38C16C9B" w14:textId="77777777" w:rsidR="009E5FD3" w:rsidRPr="0030103D" w:rsidRDefault="009E5FD3" w:rsidP="009E5FD3">
                                  <w:pPr>
                                    <w:jc w:val="center"/>
                                    <w:rPr>
                                      <w:rFonts w:ascii="Arial" w:hAnsi="Arial" w:cs="Arial"/>
                                    </w:rPr>
                                  </w:pPr>
                                  <w:r w:rsidRPr="0013628F">
                                    <w:rPr>
                                      <w:color w:val="FFFFFF" w:themeColor="background1"/>
                                      <w:sz w:val="20"/>
                                    </w:rPr>
                                    <w:t>EOG7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829B5" id="Rectangle 2080008353" o:spid="_x0000_s1040" alt="P2671C6T38TB20#y1" style="position:absolute;margin-left:9.35pt;margin-top:87.85pt;width:44.6pt;height:20.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" fillcolor="#4472c4" strokecolor="windowText" strokeweight="1pt">
                      <v:textbox>
                        <w:txbxContent>
                          <w:p w14:paraId="38C16C9B" w14:textId="77777777" w:rsidR="009E5FD3" w:rsidRPr="0030103D" w:rsidRDefault="009E5FD3" w:rsidP="009E5FD3">
                            <w:pPr>
                              <w:jc w:val="center"/>
                              <w:rPr>
                                <w:rFonts w:ascii="Arial" w:hAnsi="Arial" w:cs="Arial"/>
                              </w:rPr>
                            </w:pPr>
                            <w:r w:rsidRPr="0013628F">
                              <w:rPr>
                                <w:color w:val="FFFFFF" w:themeColor="background1"/>
                                <w:sz w:val="20"/>
                              </w:rPr>
                              <w:t>EOG7</w:t>
                            </w:r>
                          </w:p>
                        </w:txbxContent>
                      </v:textbox>
                      <w10:wrap type="square"/>
                    </v:rect>
                  </w:pict>
                </mc:Fallback>
              </mc:AlternateContent>
            </w:r>
            <w:r w:rsidRPr="001427AF">
              <w:rPr>
                <w:rFonts w:ascii="Arial" w:hAnsi="Arial" w:cs="Arial"/>
                <w:noProof/>
                <w:color w:val="auto"/>
                <w:sz w:val="20"/>
              </w:rPr>
              <mc:AlternateContent>
                <mc:Choice Requires="wps">
                  <w:drawing>
                    <wp:anchor distT="0" distB="0" distL="114300" distR="114300" simplePos="0" relativeHeight="251658261" behindDoc="0" locked="0" layoutInCell="1" allowOverlap="1" wp14:anchorId="47D3290D" wp14:editId="38C5E5CC">
                      <wp:simplePos x="0" y="0"/>
                      <wp:positionH relativeFrom="column">
                        <wp:posOffset>-31115</wp:posOffset>
                      </wp:positionH>
                      <wp:positionV relativeFrom="paragraph">
                        <wp:posOffset>587375</wp:posOffset>
                      </wp:positionV>
                      <wp:extent cx="904240" cy="457200"/>
                      <wp:effectExtent l="0" t="0" r="10160" b="19050"/>
                      <wp:wrapSquare wrapText="bothSides"/>
                      <wp:docPr id="761154983" name="Flowchart: Connector 7611549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4240" cy="457200"/>
                              </a:xfrm>
                              <a:prstGeom prst="flowChartConnector">
                                <a:avLst/>
                              </a:prstGeom>
                              <a:solidFill>
                                <a:srgbClr val="FFFF00"/>
                              </a:solidFill>
                              <a:ln w="12700" cap="flat" cmpd="sng" algn="ctr">
                                <a:solidFill>
                                  <a:sysClr val="windowText" lastClr="000000"/>
                                </a:solidFill>
                                <a:prstDash val="solid"/>
                                <a:miter lim="800000"/>
                              </a:ln>
                              <a:effectLst/>
                            </wps:spPr>
                            <wps:txbx>
                              <w:txbxContent>
                                <w:p w14:paraId="6F705098" w14:textId="77777777" w:rsidR="009E5FD3" w:rsidRPr="0013628F" w:rsidRDefault="009E5FD3" w:rsidP="009E5FD3">
                                  <w:pPr>
                                    <w:jc w:val="center"/>
                                    <w:rPr>
                                      <w:color w:val="000000" w:themeColor="text1"/>
                                      <w:sz w:val="20"/>
                                    </w:rPr>
                                  </w:pPr>
                                  <w:r w:rsidRPr="0030103D">
                                    <w:rPr>
                                      <w:rFonts w:ascii="Arial" w:hAnsi="Arial" w:cs="Arial"/>
                                      <w:color w:val="000000" w:themeColor="text1"/>
                                      <w:sz w:val="20"/>
                                    </w:rPr>
                                    <w:t>NCM1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3290D" id="Flowchart: Connector 761154983" o:spid="_x0000_s1041" type="#_x0000_t120" alt="&quot;&quot;" style="position:absolute;margin-left:-2.45pt;margin-top:46.25pt;width:71.2pt;height:3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" fillcolor="yellow" strokecolor="windowText" strokeweight="1pt">
                      <v:stroke joinstyle="miter"/>
                      <v:textbox>
                        <w:txbxContent>
                          <w:p w14:paraId="6F705098" w14:textId="77777777" w:rsidR="009E5FD3" w:rsidRPr="0013628F" w:rsidRDefault="009E5FD3" w:rsidP="009E5FD3">
                            <w:pPr>
                              <w:jc w:val="center"/>
                              <w:rPr>
                                <w:color w:val="000000" w:themeColor="text1"/>
                                <w:sz w:val="20"/>
                              </w:rPr>
                            </w:pPr>
                            <w:r w:rsidRPr="0030103D">
                              <w:rPr>
                                <w:rFonts w:ascii="Arial" w:hAnsi="Arial" w:cs="Arial"/>
                                <w:color w:val="000000" w:themeColor="text1"/>
                                <w:sz w:val="20"/>
                              </w:rPr>
                              <w:t>NCM1</w:t>
                            </w:r>
                          </w:p>
                        </w:txbxContent>
                      </v:textbox>
                      <w10:wrap type="square"/>
                    </v:shape>
                  </w:pict>
                </mc:Fallback>
              </mc:AlternateContent>
            </w:r>
            <w:r w:rsidRPr="001427AF">
              <w:rPr>
                <w:rFonts w:ascii="Arial" w:hAnsi="Arial" w:cs="Arial"/>
                <w:noProof/>
                <w:color w:val="auto"/>
                <w:sz w:val="20"/>
              </w:rPr>
              <mc:AlternateContent>
                <mc:Choice Requires="wps">
                  <w:drawing>
                    <wp:anchor distT="0" distB="0" distL="114300" distR="114300" simplePos="0" relativeHeight="251658257" behindDoc="0" locked="0" layoutInCell="1" allowOverlap="1" wp14:anchorId="02E63279" wp14:editId="1724059F">
                      <wp:simplePos x="0" y="0"/>
                      <wp:positionH relativeFrom="column">
                        <wp:posOffset>14605</wp:posOffset>
                      </wp:positionH>
                      <wp:positionV relativeFrom="page">
                        <wp:posOffset>19050</wp:posOffset>
                      </wp:positionV>
                      <wp:extent cx="838200" cy="501650"/>
                      <wp:effectExtent l="19050" t="19050" r="38100" b="12700"/>
                      <wp:wrapSquare wrapText="bothSides"/>
                      <wp:docPr id="1227271566" name="Pentagon 12272715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200" cy="501650"/>
                              </a:xfrm>
                              <a:prstGeom prst="pentagon">
                                <a:avLst/>
                              </a:prstGeom>
                              <a:solidFill>
                                <a:srgbClr val="ED7D31"/>
                              </a:solidFill>
                              <a:ln w="12700" cap="flat" cmpd="sng" algn="ctr">
                                <a:solidFill>
                                  <a:sysClr val="windowText" lastClr="000000"/>
                                </a:solidFill>
                                <a:prstDash val="solid"/>
                                <a:miter lim="800000"/>
                              </a:ln>
                              <a:effectLst/>
                            </wps:spPr>
                            <wps:txbx>
                              <w:txbxContent>
                                <w:p w14:paraId="42D0D2B3" w14:textId="77777777" w:rsidR="009E5FD3" w:rsidRPr="00410113" w:rsidRDefault="009E5FD3" w:rsidP="009E5FD3">
                                  <w:pPr>
                                    <w:ind w:right="-33"/>
                                    <w:jc w:val="center"/>
                                    <w:rPr>
                                      <w:rFonts w:ascii="Arial" w:hAnsi="Arial" w:cs="Arial"/>
                                      <w:color w:val="000000" w:themeColor="text1"/>
                                      <w:sz w:val="18"/>
                                      <w:szCs w:val="18"/>
                                    </w:rPr>
                                  </w:pPr>
                                  <w:r w:rsidRPr="00410113">
                                    <w:rPr>
                                      <w:rFonts w:ascii="Arial" w:hAnsi="Arial" w:cs="Arial"/>
                                      <w:color w:val="000000" w:themeColor="text1"/>
                                      <w:sz w:val="18"/>
                                      <w:szCs w:val="18"/>
                                    </w:rPr>
                                    <w:t>EOG7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63279" id="Pentagon 1227271566" o:spid="_x0000_s1042" type="#_x0000_t56" alt="&quot;&quot;" style="position:absolute;margin-left:1.15pt;margin-top:1.5pt;width:66pt;height:39.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" fillcolor="#ed7d31" strokecolor="windowText" strokeweight="1pt">
                      <v:textbox>
                        <w:txbxContent>
                          <w:p w14:paraId="42D0D2B3" w14:textId="77777777" w:rsidR="009E5FD3" w:rsidRPr="00410113" w:rsidRDefault="009E5FD3" w:rsidP="009E5FD3">
                            <w:pPr>
                              <w:ind w:right="-33"/>
                              <w:jc w:val="center"/>
                              <w:rPr>
                                <w:rFonts w:ascii="Arial" w:hAnsi="Arial" w:cs="Arial"/>
                                <w:color w:val="000000" w:themeColor="text1"/>
                                <w:sz w:val="18"/>
                                <w:szCs w:val="18"/>
                              </w:rPr>
                            </w:pPr>
                            <w:r w:rsidRPr="00410113">
                              <w:rPr>
                                <w:rFonts w:ascii="Arial" w:hAnsi="Arial" w:cs="Arial"/>
                                <w:color w:val="000000" w:themeColor="text1"/>
                                <w:sz w:val="18"/>
                                <w:szCs w:val="18"/>
                              </w:rPr>
                              <w:t>EOG7</w:t>
                            </w:r>
                          </w:p>
                        </w:txbxContent>
                      </v:textbox>
                      <w10:wrap type="square" anchory="page"/>
                    </v:shape>
                  </w:pict>
                </mc:Fallback>
              </mc:AlternateContent>
            </w:r>
          </w:p>
        </w:tc>
        <w:tc>
          <w:tcPr>
            <w:tcW w:w="1744" w:type="dxa"/>
          </w:tcPr>
          <w:p w14:paraId="297EDF0A"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59" behindDoc="0" locked="0" layoutInCell="1" allowOverlap="1" wp14:anchorId="0E0C743B" wp14:editId="72170D96">
                      <wp:simplePos x="0" y="0"/>
                      <wp:positionH relativeFrom="column">
                        <wp:posOffset>-15063</wp:posOffset>
                      </wp:positionH>
                      <wp:positionV relativeFrom="page">
                        <wp:posOffset>31089</wp:posOffset>
                      </wp:positionV>
                      <wp:extent cx="882595" cy="496846"/>
                      <wp:effectExtent l="0" t="0" r="13335" b="17780"/>
                      <wp:wrapNone/>
                      <wp:docPr id="480668193" name="Flowchart: Connector 480668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82595" cy="496846"/>
                              </a:xfrm>
                              <a:prstGeom prst="flowChartConnector">
                                <a:avLst/>
                              </a:prstGeom>
                              <a:solidFill>
                                <a:srgbClr val="ED7D31"/>
                              </a:solidFill>
                              <a:ln w="12700" cap="flat" cmpd="sng" algn="ctr">
                                <a:solidFill>
                                  <a:sysClr val="windowText" lastClr="000000"/>
                                </a:solidFill>
                                <a:prstDash val="solid"/>
                                <a:miter lim="800000"/>
                              </a:ln>
                              <a:effectLst/>
                            </wps:spPr>
                            <wps:txbx>
                              <w:txbxContent>
                                <w:p w14:paraId="6030040D" w14:textId="77777777" w:rsidR="009E5FD3" w:rsidRPr="0024178E" w:rsidRDefault="009E5FD3" w:rsidP="009E5FD3">
                                  <w:pPr>
                                    <w:ind w:right="-52"/>
                                    <w:jc w:val="center"/>
                                    <w:rPr>
                                      <w:color w:val="000000" w:themeColor="text1"/>
                                      <w:sz w:val="20"/>
                                    </w:rPr>
                                  </w:pPr>
                                  <w:r w:rsidRPr="0030103D">
                                    <w:rPr>
                                      <w:rFonts w:ascii="Arial" w:hAnsi="Arial" w:cs="Arial"/>
                                      <w:color w:val="000000" w:themeColor="text1"/>
                                      <w:sz w:val="20"/>
                                    </w:rPr>
                                    <w:t>NCM1B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C743B" id="Flowchart: Connector 480668193" o:spid="_x0000_s1043" type="#_x0000_t120" alt="&quot;&quot;" style="position:absolute;margin-left:-1.2pt;margin-top:2.45pt;width:69.5pt;height:39.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" fillcolor="#ed7d31" strokecolor="windowText" strokeweight="1pt">
                      <v:stroke joinstyle="miter"/>
                      <v:textbox>
                        <w:txbxContent>
                          <w:p w14:paraId="6030040D" w14:textId="77777777" w:rsidR="009E5FD3" w:rsidRPr="0024178E" w:rsidRDefault="009E5FD3" w:rsidP="009E5FD3">
                            <w:pPr>
                              <w:ind w:right="-52"/>
                              <w:jc w:val="center"/>
                              <w:rPr>
                                <w:color w:val="000000" w:themeColor="text1"/>
                                <w:sz w:val="20"/>
                              </w:rPr>
                            </w:pPr>
                            <w:r w:rsidRPr="0030103D">
                              <w:rPr>
                                <w:rFonts w:ascii="Arial" w:hAnsi="Arial" w:cs="Arial"/>
                                <w:color w:val="000000" w:themeColor="text1"/>
                                <w:sz w:val="20"/>
                              </w:rPr>
                              <w:t>NCM1B</w:t>
                            </w:r>
                          </w:p>
                        </w:txbxContent>
                      </v:textbox>
                      <w10:wrap anchory="page"/>
                    </v:shape>
                  </w:pict>
                </mc:Fallback>
              </mc:AlternateContent>
            </w:r>
            <w:r w:rsidRPr="001427AF">
              <w:rPr>
                <w:rFonts w:ascii="Arial" w:hAnsi="Arial" w:cs="Arial"/>
                <w:noProof/>
                <w:color w:val="auto"/>
                <w:sz w:val="20"/>
              </w:rPr>
              <mc:AlternateContent>
                <mc:Choice Requires="wps">
                  <w:drawing>
                    <wp:anchor distT="0" distB="0" distL="114300" distR="114300" simplePos="0" relativeHeight="251658260" behindDoc="0" locked="0" layoutInCell="1" allowOverlap="1" wp14:anchorId="69239B3D" wp14:editId="5B022957">
                      <wp:simplePos x="0" y="0"/>
                      <wp:positionH relativeFrom="column">
                        <wp:posOffset>45618</wp:posOffset>
                      </wp:positionH>
                      <wp:positionV relativeFrom="paragraph">
                        <wp:posOffset>1094410</wp:posOffset>
                      </wp:positionV>
                      <wp:extent cx="825500" cy="264795"/>
                      <wp:effectExtent l="0" t="0" r="12700" b="20955"/>
                      <wp:wrapSquare wrapText="bothSides"/>
                      <wp:docPr id="1954087872" name="Rectangle 19540878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500" cy="264795"/>
                              </a:xfrm>
                              <a:prstGeom prst="rect">
                                <a:avLst/>
                              </a:prstGeom>
                              <a:solidFill>
                                <a:srgbClr val="4472C4"/>
                              </a:solidFill>
                              <a:ln w="12700" cap="flat" cmpd="sng" algn="ctr">
                                <a:solidFill>
                                  <a:sysClr val="windowText" lastClr="000000"/>
                                </a:solidFill>
                                <a:prstDash val="solid"/>
                                <a:miter lim="800000"/>
                              </a:ln>
                              <a:effectLst/>
                            </wps:spPr>
                            <wps:txbx>
                              <w:txbxContent>
                                <w:p w14:paraId="2D185D8F" w14:textId="77777777" w:rsidR="009E5FD3" w:rsidRPr="0013628F" w:rsidRDefault="009E5FD3" w:rsidP="009E5FD3">
                                  <w:pPr>
                                    <w:jc w:val="center"/>
                                    <w:rPr>
                                      <w:color w:val="FFFFFF" w:themeColor="background1"/>
                                      <w:sz w:val="20"/>
                                    </w:rPr>
                                  </w:pPr>
                                  <w:r w:rsidRPr="0030103D">
                                    <w:rPr>
                                      <w:rFonts w:ascii="Arial" w:hAnsi="Arial" w:cs="Arial"/>
                                      <w:color w:val="FFFFFF" w:themeColor="background1"/>
                                      <w:sz w:val="20"/>
                                    </w:rPr>
                                    <w:t>NCM1B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39B3D" id="Rectangle 1954087872" o:spid="_x0000_s1044" alt="&quot;&quot;" style="position:absolute;margin-left:3.6pt;margin-top:86.15pt;width:65pt;height:20.8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" fillcolor="#4472c4" strokecolor="windowText" strokeweight="1pt">
                      <v:textbox>
                        <w:txbxContent>
                          <w:p w14:paraId="2D185D8F" w14:textId="77777777" w:rsidR="009E5FD3" w:rsidRPr="0013628F" w:rsidRDefault="009E5FD3" w:rsidP="009E5FD3">
                            <w:pPr>
                              <w:jc w:val="center"/>
                              <w:rPr>
                                <w:color w:val="FFFFFF" w:themeColor="background1"/>
                                <w:sz w:val="20"/>
                              </w:rPr>
                            </w:pPr>
                            <w:r w:rsidRPr="0030103D">
                              <w:rPr>
                                <w:rFonts w:ascii="Arial" w:hAnsi="Arial" w:cs="Arial"/>
                                <w:color w:val="FFFFFF" w:themeColor="background1"/>
                                <w:sz w:val="20"/>
                              </w:rPr>
                              <w:t>NCM1B</w:t>
                            </w:r>
                          </w:p>
                        </w:txbxContent>
                      </v:textbox>
                      <w10:wrap type="square"/>
                    </v:rect>
                  </w:pict>
                </mc:Fallback>
              </mc:AlternateContent>
            </w:r>
          </w:p>
        </w:tc>
        <w:tc>
          <w:tcPr>
            <w:tcW w:w="1677" w:type="dxa"/>
          </w:tcPr>
          <w:p w14:paraId="033F5A9A" w14:textId="77777777" w:rsidR="009E5FD3" w:rsidRPr="001427AF" w:rsidRDefault="009E5FD3">
            <w:pPr>
              <w:spacing w:line="240" w:lineRule="auto"/>
              <w:rPr>
                <w:rFonts w:ascii="Arial" w:hAnsi="Arial" w:cs="Arial"/>
                <w:color w:val="auto"/>
                <w:sz w:val="20"/>
                <w:szCs w:val="20"/>
              </w:rPr>
            </w:pPr>
            <w:r w:rsidRPr="001427AF">
              <w:rPr>
                <w:rFonts w:ascii="Arial" w:hAnsi="Arial" w:cs="Arial"/>
                <w:noProof/>
                <w:color w:val="auto"/>
                <w:sz w:val="20"/>
              </w:rPr>
              <mc:AlternateContent>
                <mc:Choice Requires="wps">
                  <w:drawing>
                    <wp:anchor distT="0" distB="0" distL="114300" distR="114300" simplePos="0" relativeHeight="251658262" behindDoc="0" locked="0" layoutInCell="1" allowOverlap="1" wp14:anchorId="336F1029" wp14:editId="54E16D74">
                      <wp:simplePos x="0" y="0"/>
                      <wp:positionH relativeFrom="column">
                        <wp:posOffset>-32523</wp:posOffset>
                      </wp:positionH>
                      <wp:positionV relativeFrom="paragraph">
                        <wp:posOffset>590881</wp:posOffset>
                      </wp:positionV>
                      <wp:extent cx="978010" cy="848563"/>
                      <wp:effectExtent l="0" t="0" r="12700" b="27940"/>
                      <wp:wrapNone/>
                      <wp:docPr id="282861445" name="Octagon 282861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78010" cy="848563"/>
                              </a:xfrm>
                              <a:prstGeom prst="octagon">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CA13F0" w14:textId="77777777" w:rsidR="009E5FD3" w:rsidRPr="0030103D" w:rsidRDefault="009E5FD3" w:rsidP="009E5FD3">
                                  <w:pPr>
                                    <w:jc w:val="center"/>
                                    <w:rPr>
                                      <w:rFonts w:ascii="Arial" w:hAnsi="Arial" w:cs="Arial"/>
                                      <w:sz w:val="16"/>
                                      <w:szCs w:val="16"/>
                                    </w:rPr>
                                  </w:pPr>
                                  <w:r w:rsidRPr="0030103D">
                                    <w:rPr>
                                      <w:rFonts w:ascii="Arial" w:hAnsi="Arial" w:cs="Arial"/>
                                      <w:sz w:val="16"/>
                                      <w:szCs w:val="16"/>
                                    </w:rPr>
                                    <w:t>If NCM3 taken prior to grade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F1029"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82861445" o:spid="_x0000_s1045" type="#_x0000_t10" alt="&quot;&quot;" style="position:absolute;margin-left:-2.55pt;margin-top:46.55pt;width:77pt;height:66.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" fillcolor="#ed7d31 [3205]" strokecolor="#1f3763 [1604]" strokeweight="1pt">
                      <v:textbox>
                        <w:txbxContent>
                          <w:p w14:paraId="1ACA13F0" w14:textId="77777777" w:rsidR="009E5FD3" w:rsidRPr="0030103D" w:rsidRDefault="009E5FD3" w:rsidP="009E5FD3">
                            <w:pPr>
                              <w:jc w:val="center"/>
                              <w:rPr>
                                <w:rFonts w:ascii="Arial" w:hAnsi="Arial" w:cs="Arial"/>
                                <w:sz w:val="16"/>
                                <w:szCs w:val="16"/>
                              </w:rPr>
                            </w:pPr>
                            <w:r w:rsidRPr="0030103D">
                              <w:rPr>
                                <w:rFonts w:ascii="Arial" w:hAnsi="Arial" w:cs="Arial"/>
                                <w:sz w:val="16"/>
                                <w:szCs w:val="16"/>
                              </w:rPr>
                              <w:t>If NCM3 taken prior to grade 9</w:t>
                            </w:r>
                          </w:p>
                        </w:txbxContent>
                      </v:textbox>
                    </v:shape>
                  </w:pict>
                </mc:Fallback>
              </mc:AlternateContent>
            </w:r>
            <w:r w:rsidRPr="001427AF">
              <w:rPr>
                <w:rFonts w:ascii="Arial" w:hAnsi="Arial" w:cs="Arial"/>
                <w:noProof/>
                <w:color w:val="auto"/>
                <w:sz w:val="20"/>
              </w:rPr>
              <mc:AlternateContent>
                <mc:Choice Requires="wps">
                  <w:drawing>
                    <wp:anchor distT="0" distB="0" distL="114300" distR="114300" simplePos="0" relativeHeight="251658263" behindDoc="0" locked="0" layoutInCell="1" allowOverlap="1" wp14:anchorId="1395F62C" wp14:editId="269F8F3D">
                      <wp:simplePos x="0" y="0"/>
                      <wp:positionH relativeFrom="column">
                        <wp:posOffset>-3886</wp:posOffset>
                      </wp:positionH>
                      <wp:positionV relativeFrom="paragraph">
                        <wp:posOffset>31266</wp:posOffset>
                      </wp:positionV>
                      <wp:extent cx="2828925" cy="558851"/>
                      <wp:effectExtent l="19050" t="19050" r="47625" b="31750"/>
                      <wp:wrapNone/>
                      <wp:docPr id="756031151" name="Arrow: Left-Right 756031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28925" cy="558851"/>
                              </a:xfrm>
                              <a:prstGeom prst="leftRightArrow">
                                <a:avLst/>
                              </a:prstGeom>
                              <a:solidFill>
                                <a:srgbClr val="ED7D31"/>
                              </a:solidFill>
                              <a:ln w="12700" cap="flat" cmpd="sng" algn="ctr">
                                <a:solidFill>
                                  <a:sysClr val="windowText" lastClr="000000"/>
                                </a:solidFill>
                                <a:prstDash val="solid"/>
                                <a:miter lim="800000"/>
                              </a:ln>
                              <a:effectLst/>
                            </wps:spPr>
                            <wps:txbx>
                              <w:txbxContent>
                                <w:p w14:paraId="556BA19F" w14:textId="77777777" w:rsidR="009E5FD3" w:rsidRPr="0030103D" w:rsidRDefault="009E5FD3" w:rsidP="009E5FD3">
                                  <w:pPr>
                                    <w:jc w:val="center"/>
                                    <w:rPr>
                                      <w:rFonts w:ascii="Arial" w:hAnsi="Arial" w:cs="Arial"/>
                                      <w:color w:val="000000" w:themeColor="text1"/>
                                      <w:sz w:val="16"/>
                                      <w:szCs w:val="16"/>
                                    </w:rPr>
                                  </w:pPr>
                                  <w:r w:rsidRPr="0030103D">
                                    <w:rPr>
                                      <w:rFonts w:ascii="Arial" w:hAnsi="Arial" w:cs="Arial"/>
                                      <w:color w:val="000000" w:themeColor="text1"/>
                                      <w:sz w:val="16"/>
                                      <w:szCs w:val="16"/>
                                    </w:rPr>
                                    <w:t>NCM3 in year taken, if not taken prior to grade nine</w:t>
                                  </w:r>
                                </w:p>
                                <w:p w14:paraId="1D243CE3" w14:textId="77777777" w:rsidR="009E5FD3" w:rsidRPr="0030103D" w:rsidRDefault="009E5FD3" w:rsidP="009E5FD3">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5F62C" id="Arrow: Left-Right 756031151" o:spid="_x0000_s1046" type="#_x0000_t69" alt="&quot;&quot;" style="position:absolute;margin-left:-.3pt;margin-top:2.45pt;width:222.75pt;height:44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" adj="2134" fillcolor="#ed7d31" strokecolor="windowText" strokeweight="1pt">
                      <v:textbox>
                        <w:txbxContent>
                          <w:p w14:paraId="556BA19F" w14:textId="77777777" w:rsidR="009E5FD3" w:rsidRPr="0030103D" w:rsidRDefault="009E5FD3" w:rsidP="009E5FD3">
                            <w:pPr>
                              <w:jc w:val="center"/>
                              <w:rPr>
                                <w:rFonts w:ascii="Arial" w:hAnsi="Arial" w:cs="Arial"/>
                                <w:color w:val="000000" w:themeColor="text1"/>
                                <w:sz w:val="16"/>
                                <w:szCs w:val="16"/>
                              </w:rPr>
                            </w:pPr>
                            <w:r w:rsidRPr="0030103D">
                              <w:rPr>
                                <w:rFonts w:ascii="Arial" w:hAnsi="Arial" w:cs="Arial"/>
                                <w:color w:val="000000" w:themeColor="text1"/>
                                <w:sz w:val="16"/>
                                <w:szCs w:val="16"/>
                              </w:rPr>
                              <w:t>NCM3 in year taken, if not taken prior to grade nine</w:t>
                            </w:r>
                          </w:p>
                          <w:p w14:paraId="1D243CE3" w14:textId="77777777" w:rsidR="009E5FD3" w:rsidRPr="0030103D" w:rsidRDefault="009E5FD3" w:rsidP="009E5FD3">
                            <w:pPr>
                              <w:jc w:val="center"/>
                              <w:rPr>
                                <w:rFonts w:ascii="Arial" w:hAnsi="Arial" w:cs="Arial"/>
                              </w:rPr>
                            </w:pPr>
                          </w:p>
                        </w:txbxContent>
                      </v:textbox>
                    </v:shape>
                  </w:pict>
                </mc:Fallback>
              </mc:AlternateContent>
            </w:r>
          </w:p>
        </w:tc>
        <w:tc>
          <w:tcPr>
            <w:tcW w:w="1676" w:type="dxa"/>
          </w:tcPr>
          <w:p w14:paraId="308382DD" w14:textId="77777777" w:rsidR="009E5FD3" w:rsidRPr="001427AF" w:rsidRDefault="009E5FD3">
            <w:pPr>
              <w:spacing w:line="240" w:lineRule="auto"/>
              <w:rPr>
                <w:rFonts w:ascii="Arial" w:hAnsi="Arial" w:cs="Arial"/>
                <w:color w:val="auto"/>
                <w:sz w:val="20"/>
                <w:szCs w:val="20"/>
              </w:rPr>
            </w:pPr>
          </w:p>
        </w:tc>
        <w:tc>
          <w:tcPr>
            <w:tcW w:w="1738" w:type="dxa"/>
          </w:tcPr>
          <w:p w14:paraId="4040259D" w14:textId="5E41A12A" w:rsidR="009E5FD3" w:rsidRPr="001427AF" w:rsidRDefault="00696CE7">
            <w:pPr>
              <w:spacing w:line="240" w:lineRule="auto"/>
              <w:rPr>
                <w:rFonts w:ascii="Arial" w:hAnsi="Arial" w:cs="Arial"/>
                <w:color w:val="auto"/>
                <w:sz w:val="20"/>
                <w:szCs w:val="20"/>
              </w:rPr>
            </w:pPr>
            <w:r w:rsidRPr="001427AF">
              <w:rPr>
                <w:rFonts w:ascii="Arial" w:hAnsi="Arial" w:cs="Arial"/>
                <w:noProof/>
                <w:color w:val="auto"/>
                <w:szCs w:val="24"/>
              </w:rPr>
              <mc:AlternateContent>
                <mc:Choice Requires="wps">
                  <w:drawing>
                    <wp:anchor distT="0" distB="0" distL="114300" distR="114300" simplePos="0" relativeHeight="251658276" behindDoc="0" locked="0" layoutInCell="1" allowOverlap="1" wp14:anchorId="16D0BFB2" wp14:editId="7D17ACDC">
                      <wp:simplePos x="0" y="0"/>
                      <wp:positionH relativeFrom="column">
                        <wp:posOffset>9525</wp:posOffset>
                      </wp:positionH>
                      <wp:positionV relativeFrom="paragraph">
                        <wp:posOffset>1113155</wp:posOffset>
                      </wp:positionV>
                      <wp:extent cx="701675" cy="264795"/>
                      <wp:effectExtent l="0" t="0" r="22225" b="20955"/>
                      <wp:wrapSquare wrapText="bothSides"/>
                      <wp:docPr id="1381030047" name="Rectangle 13810300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1675" cy="264795"/>
                              </a:xfrm>
                              <a:prstGeom prst="rect">
                                <a:avLst/>
                              </a:prstGeom>
                              <a:solidFill>
                                <a:srgbClr val="4472C4"/>
                              </a:solidFill>
                              <a:ln w="12700" cap="flat" cmpd="sng" algn="ctr">
                                <a:solidFill>
                                  <a:sysClr val="windowText" lastClr="000000"/>
                                </a:solidFill>
                                <a:prstDash val="solid"/>
                                <a:miter lim="800000"/>
                              </a:ln>
                              <a:effectLst/>
                            </wps:spPr>
                            <wps:txbx>
                              <w:txbxContent>
                                <w:p w14:paraId="05A8BB01" w14:textId="77777777" w:rsidR="00696CE7" w:rsidRPr="00410113" w:rsidRDefault="00696CE7" w:rsidP="00696CE7">
                                  <w:pPr>
                                    <w:jc w:val="center"/>
                                    <w:rPr>
                                      <w:rFonts w:ascii="Arial" w:hAnsi="Arial" w:cs="Arial"/>
                                      <w:color w:val="FFFFFF" w:themeColor="background1"/>
                                      <w:sz w:val="20"/>
                                    </w:rPr>
                                  </w:pPr>
                                  <w:r w:rsidRPr="00410113">
                                    <w:rPr>
                                      <w:rFonts w:ascii="Arial" w:hAnsi="Arial" w:cs="Arial"/>
                                      <w:color w:val="FFFFFF" w:themeColor="background1"/>
                                      <w:sz w:val="20"/>
                                    </w:rPr>
                                    <w:t>NCM3B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BFB2" id="Rectangle 1381030047" o:spid="_x0000_s1047" alt="&quot;&quot;" style="position:absolute;margin-left:.75pt;margin-top:87.65pt;width:55.25pt;height:20.8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" fillcolor="#4472c4" strokecolor="windowText" strokeweight="1pt">
                      <v:textbox>
                        <w:txbxContent>
                          <w:p w14:paraId="05A8BB01" w14:textId="77777777" w:rsidR="00696CE7" w:rsidRPr="00410113" w:rsidRDefault="00696CE7" w:rsidP="00696CE7">
                            <w:pPr>
                              <w:jc w:val="center"/>
                              <w:rPr>
                                <w:rFonts w:ascii="Arial" w:hAnsi="Arial" w:cs="Arial"/>
                                <w:color w:val="FFFFFF" w:themeColor="background1"/>
                                <w:sz w:val="20"/>
                              </w:rPr>
                            </w:pPr>
                            <w:r w:rsidRPr="00410113">
                              <w:rPr>
                                <w:rFonts w:ascii="Arial" w:hAnsi="Arial" w:cs="Arial"/>
                                <w:color w:val="FFFFFF" w:themeColor="background1"/>
                                <w:sz w:val="20"/>
                              </w:rPr>
                              <w:t>NCM3B</w:t>
                            </w:r>
                          </w:p>
                        </w:txbxContent>
                      </v:textbox>
                      <w10:wrap type="square"/>
                    </v:rect>
                  </w:pict>
                </mc:Fallback>
              </mc:AlternateContent>
            </w:r>
          </w:p>
        </w:tc>
      </w:tr>
    </w:tbl>
    <w:p w14:paraId="46A0EC8E" w14:textId="77777777" w:rsidR="009E5FD3" w:rsidRPr="001427AF" w:rsidRDefault="009E5FD3" w:rsidP="009E5FD3">
      <w:pPr>
        <w:spacing w:line="240" w:lineRule="auto"/>
        <w:ind w:left="-720"/>
        <w:rPr>
          <w:rFonts w:ascii="Arial" w:hAnsi="Arial" w:cs="Arial"/>
          <w:sz w:val="20"/>
        </w:rPr>
      </w:pPr>
    </w:p>
    <w:p w14:paraId="269FE0E0" w14:textId="77777777" w:rsidR="009E5FD3" w:rsidRPr="001427AF" w:rsidRDefault="009E5FD3" w:rsidP="001514C3">
      <w:pPr>
        <w:pStyle w:val="Heading2"/>
      </w:pPr>
      <w:bookmarkStart w:id="770" w:name="_Toc225405006"/>
      <w:r w:rsidRPr="001427AF">
        <w:t>Students in membership in NC Math 1 in grade 7</w:t>
      </w:r>
      <w:bookmarkEnd w:id="770"/>
      <w:r w:rsidRPr="001427AF">
        <w:t xml:space="preserve"> </w:t>
      </w:r>
    </w:p>
    <w:p w14:paraId="5E82AA52" w14:textId="77777777" w:rsidR="009E5FD3" w:rsidRPr="001427AF" w:rsidRDefault="009E5FD3" w:rsidP="00CA5853">
      <w:pPr>
        <w:pStyle w:val="Default"/>
        <w:numPr>
          <w:ilvl w:val="0"/>
          <w:numId w:val="155"/>
        </w:numPr>
        <w:rPr>
          <w:rFonts w:ascii="Arial" w:hAnsi="Arial" w:cs="Arial"/>
        </w:rPr>
      </w:pPr>
      <w:r w:rsidRPr="001427AF">
        <w:rPr>
          <w:rFonts w:ascii="Arial" w:hAnsi="Arial" w:cs="Arial"/>
        </w:rPr>
        <w:t>EOG grade 7- Test is included as the mathematics proficiency measure (SPG) in the year the test is taken (grade 7). Accountability growth is included in the tested year (grade 7). The test is used to determine 95% participation rates and long-term goals (grade 7).</w:t>
      </w:r>
    </w:p>
    <w:p w14:paraId="55CCE76D" w14:textId="70278624" w:rsidR="009E5FD3" w:rsidRPr="001427AF" w:rsidRDefault="009E5FD3" w:rsidP="00CA5853">
      <w:pPr>
        <w:pStyle w:val="Default"/>
        <w:numPr>
          <w:ilvl w:val="0"/>
          <w:numId w:val="155"/>
        </w:numPr>
        <w:rPr>
          <w:rFonts w:ascii="Arial" w:hAnsi="Arial" w:cs="Arial"/>
        </w:rPr>
      </w:pPr>
      <w:r w:rsidRPr="001427AF">
        <w:rPr>
          <w:rFonts w:ascii="Arial" w:hAnsi="Arial" w:cs="Arial"/>
        </w:rPr>
        <w:t xml:space="preserve">NC Math 1- Test taken but is not used in current year (grade 7) mathematics proficiency measure (SPG). Test used in current </w:t>
      </w:r>
      <w:r w:rsidR="004F39C7" w:rsidRPr="001427AF">
        <w:rPr>
          <w:rFonts w:ascii="Arial" w:hAnsi="Arial" w:cs="Arial"/>
        </w:rPr>
        <w:t>year’s</w:t>
      </w:r>
      <w:r w:rsidRPr="001427AF">
        <w:rPr>
          <w:rFonts w:ascii="Arial" w:hAnsi="Arial" w:cs="Arial"/>
        </w:rPr>
        <w:t xml:space="preserve"> accountability growth (grade 7). The test is included as the mathematics grade 8 proficiency measure (SPG), when student is in grade 8. Accountability growth is included in the tested year </w:t>
      </w:r>
      <w:r w:rsidRPr="001427AF">
        <w:rPr>
          <w:rFonts w:ascii="Arial" w:hAnsi="Arial" w:cs="Arial"/>
        </w:rPr>
        <w:lastRenderedPageBreak/>
        <w:t xml:space="preserve">(grade 7), not the banked year. The test is used to determine 95% participation rates and long-term goals (grade 8). </w:t>
      </w:r>
    </w:p>
    <w:p w14:paraId="30D7200F" w14:textId="77777777" w:rsidR="009E5FD3" w:rsidRPr="001427AF" w:rsidRDefault="009E5FD3" w:rsidP="00CA5853">
      <w:pPr>
        <w:pStyle w:val="Default"/>
        <w:numPr>
          <w:ilvl w:val="0"/>
          <w:numId w:val="155"/>
        </w:numPr>
        <w:rPr>
          <w:rFonts w:ascii="Arial" w:hAnsi="Arial" w:cs="Arial"/>
        </w:rPr>
      </w:pPr>
      <w:r w:rsidRPr="001427AF">
        <w:rPr>
          <w:rFonts w:ascii="Arial" w:hAnsi="Arial" w:cs="Arial"/>
        </w:rPr>
        <w:t xml:space="preserve">NC Math 3- Test is included as the mathematics proficiency measure (SPG) in the year taken if not taken prior to grade 9. Accountability growth is included in the tested year (grades 9-11), not the banked year. Test is included as the mathematics proficiency measure (SPG) in grade 9 if NC Math 3 was taken prior to grade 9. Accountability growth is included in the tested year (grades 9-11), not the banked year. The test is used to determine 95% participation rates and long-term goals (grade 11). </w:t>
      </w:r>
    </w:p>
    <w:p w14:paraId="47F5A2A9" w14:textId="77777777" w:rsidR="009E5FD3" w:rsidRPr="001427AF" w:rsidRDefault="009E5FD3" w:rsidP="009E5FD3">
      <w:pPr>
        <w:spacing w:line="240" w:lineRule="auto"/>
        <w:ind w:left="-720"/>
        <w:rPr>
          <w:rFonts w:ascii="Arial" w:hAnsi="Arial" w:cs="Arial"/>
          <w:sz w:val="20"/>
        </w:rPr>
      </w:pPr>
    </w:p>
    <w:p w14:paraId="356E049D" w14:textId="49220261" w:rsidR="009E5FD3" w:rsidRPr="001427AF" w:rsidRDefault="009E5FD3" w:rsidP="009E5FD3">
      <w:pPr>
        <w:spacing w:line="240" w:lineRule="auto"/>
        <w:rPr>
          <w:rFonts w:ascii="Arial" w:hAnsi="Arial" w:cs="Arial"/>
          <w:sz w:val="20"/>
        </w:rPr>
      </w:pPr>
      <w:r w:rsidRPr="001427AF">
        <w:rPr>
          <w:rFonts w:ascii="Arial" w:hAnsi="Arial" w:cs="Arial"/>
          <w:sz w:val="20"/>
        </w:rPr>
        <w:t xml:space="preserve">TABLE 8.5.5. Accelerated mathematics pathway </w:t>
      </w:r>
      <w:r w:rsidR="003D0DF0" w:rsidRPr="001427AF">
        <w:rPr>
          <w:rFonts w:ascii="Arial" w:hAnsi="Arial" w:cs="Arial"/>
          <w:sz w:val="20"/>
        </w:rPr>
        <w:t>–</w:t>
      </w:r>
      <w:r w:rsidRPr="001427AF">
        <w:rPr>
          <w:rFonts w:ascii="Arial" w:hAnsi="Arial" w:cs="Arial"/>
          <w:sz w:val="20"/>
        </w:rPr>
        <w:t xml:space="preserve"> </w:t>
      </w:r>
      <w:r w:rsidR="003D0DF0" w:rsidRPr="001427AF">
        <w:rPr>
          <w:rFonts w:ascii="Arial" w:hAnsi="Arial" w:cs="Arial"/>
          <w:sz w:val="20"/>
        </w:rPr>
        <w:t xml:space="preserve">students </w:t>
      </w:r>
      <w:r w:rsidRPr="001427AF">
        <w:rPr>
          <w:rFonts w:ascii="Arial" w:hAnsi="Arial" w:cs="Arial"/>
          <w:color w:val="auto"/>
          <w:sz w:val="20"/>
        </w:rPr>
        <w:t xml:space="preserve">in membership in NC Math 1 in </w:t>
      </w:r>
      <w:r w:rsidRPr="001427AF">
        <w:rPr>
          <w:rFonts w:ascii="Arial" w:hAnsi="Arial" w:cs="Arial"/>
          <w:bCs/>
          <w:color w:val="auto"/>
          <w:sz w:val="20"/>
        </w:rPr>
        <w:t>grade 6</w:t>
      </w:r>
    </w:p>
    <w:tbl>
      <w:tblPr>
        <w:tblStyle w:val="TableGrid3"/>
        <w:tblW w:w="9408"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ecorative table, informatioin is in the text. "/>
      </w:tblPr>
      <w:tblGrid>
        <w:gridCol w:w="1901"/>
        <w:gridCol w:w="1806"/>
        <w:gridCol w:w="1551"/>
        <w:gridCol w:w="1322"/>
        <w:gridCol w:w="1321"/>
        <w:gridCol w:w="1507"/>
      </w:tblGrid>
      <w:tr w:rsidR="009E5FD3" w:rsidRPr="001427AF" w14:paraId="657EA173" w14:textId="77777777" w:rsidTr="0093533F">
        <w:trPr>
          <w:trHeight w:val="274"/>
        </w:trPr>
        <w:tc>
          <w:tcPr>
            <w:tcW w:w="1901" w:type="dxa"/>
          </w:tcPr>
          <w:p w14:paraId="58B3BEFE"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6</w:t>
            </w:r>
          </w:p>
        </w:tc>
        <w:tc>
          <w:tcPr>
            <w:tcW w:w="1806" w:type="dxa"/>
          </w:tcPr>
          <w:p w14:paraId="02B30CD0"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7</w:t>
            </w:r>
          </w:p>
        </w:tc>
        <w:tc>
          <w:tcPr>
            <w:tcW w:w="1551" w:type="dxa"/>
          </w:tcPr>
          <w:p w14:paraId="29FF48AD"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8</w:t>
            </w:r>
          </w:p>
        </w:tc>
        <w:tc>
          <w:tcPr>
            <w:tcW w:w="1322" w:type="dxa"/>
          </w:tcPr>
          <w:p w14:paraId="4193E8C5"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9</w:t>
            </w:r>
          </w:p>
        </w:tc>
        <w:tc>
          <w:tcPr>
            <w:tcW w:w="1321" w:type="dxa"/>
          </w:tcPr>
          <w:p w14:paraId="6255A8D4"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10</w:t>
            </w:r>
          </w:p>
        </w:tc>
        <w:tc>
          <w:tcPr>
            <w:tcW w:w="1507" w:type="dxa"/>
          </w:tcPr>
          <w:p w14:paraId="0B3AB000" w14:textId="77777777" w:rsidR="009E5FD3" w:rsidRPr="001427AF" w:rsidRDefault="009E5FD3">
            <w:pPr>
              <w:spacing w:line="240" w:lineRule="auto"/>
              <w:jc w:val="center"/>
              <w:rPr>
                <w:rFonts w:ascii="Arial" w:hAnsi="Arial" w:cs="Arial"/>
                <w:color w:val="auto"/>
                <w:sz w:val="20"/>
                <w:szCs w:val="20"/>
              </w:rPr>
            </w:pPr>
            <w:r w:rsidRPr="001427AF">
              <w:rPr>
                <w:rFonts w:ascii="Arial" w:hAnsi="Arial" w:cs="Arial"/>
                <w:color w:val="auto"/>
                <w:sz w:val="20"/>
                <w:szCs w:val="20"/>
              </w:rPr>
              <w:t>Grade 11</w:t>
            </w:r>
          </w:p>
        </w:tc>
      </w:tr>
      <w:tr w:rsidR="009E5FD3" w:rsidRPr="001427AF" w14:paraId="1E1EFF7E" w14:textId="77777777" w:rsidTr="0093533F">
        <w:trPr>
          <w:trHeight w:val="2123"/>
        </w:trPr>
        <w:tc>
          <w:tcPr>
            <w:tcW w:w="1901" w:type="dxa"/>
          </w:tcPr>
          <w:p w14:paraId="4604B47C"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66" behindDoc="0" locked="0" layoutInCell="1" allowOverlap="1" wp14:anchorId="6E8DD1D3" wp14:editId="08B50661">
                      <wp:simplePos x="0" y="0"/>
                      <wp:positionH relativeFrom="column">
                        <wp:posOffset>85725</wp:posOffset>
                      </wp:positionH>
                      <wp:positionV relativeFrom="paragraph">
                        <wp:posOffset>1065530</wp:posOffset>
                      </wp:positionV>
                      <wp:extent cx="862965" cy="264795"/>
                      <wp:effectExtent l="0" t="0" r="13335" b="20955"/>
                      <wp:wrapSquare wrapText="bothSides"/>
                      <wp:docPr id="1690133450" name="Rectangle 16901334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2965" cy="264795"/>
                              </a:xfrm>
                              <a:prstGeom prst="rect">
                                <a:avLst/>
                              </a:prstGeom>
                              <a:solidFill>
                                <a:srgbClr val="4472C4"/>
                              </a:solidFill>
                              <a:ln w="12700" cap="flat" cmpd="sng" algn="ctr">
                                <a:solidFill>
                                  <a:sysClr val="windowText" lastClr="000000"/>
                                </a:solidFill>
                                <a:prstDash val="solid"/>
                                <a:miter lim="800000"/>
                              </a:ln>
                              <a:effectLst/>
                            </wps:spPr>
                            <wps:txbx>
                              <w:txbxContent>
                                <w:p w14:paraId="12408811" w14:textId="77777777" w:rsidR="009E5FD3" w:rsidRPr="00B5539A" w:rsidRDefault="009E5FD3" w:rsidP="009E5FD3">
                                  <w:pPr>
                                    <w:jc w:val="center"/>
                                    <w:rPr>
                                      <w:rFonts w:ascii="Arial" w:hAnsi="Arial" w:cs="Arial"/>
                                      <w:sz w:val="20"/>
                                    </w:rPr>
                                  </w:pPr>
                                  <w:r w:rsidRPr="00B5539A">
                                    <w:rPr>
                                      <w:rFonts w:ascii="Arial" w:hAnsi="Arial" w:cs="Arial"/>
                                      <w:color w:val="FFFFFF" w:themeColor="background1"/>
                                      <w:sz w:val="20"/>
                                    </w:rPr>
                                    <w:t xml:space="preserve">EOG 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DD1D3" id="Rectangle 1690133450" o:spid="_x0000_s1048" alt="&quot;&quot;" style="position:absolute;margin-left:6.75pt;margin-top:83.9pt;width:67.95pt;height:20.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" fillcolor="#4472c4" strokecolor="windowText" strokeweight="1pt">
                      <v:textbox>
                        <w:txbxContent>
                          <w:p w14:paraId="12408811" w14:textId="77777777" w:rsidR="009E5FD3" w:rsidRPr="00B5539A" w:rsidRDefault="009E5FD3" w:rsidP="009E5FD3">
                            <w:pPr>
                              <w:jc w:val="center"/>
                              <w:rPr>
                                <w:rFonts w:ascii="Arial" w:hAnsi="Arial" w:cs="Arial"/>
                                <w:sz w:val="20"/>
                              </w:rPr>
                            </w:pPr>
                            <w:r w:rsidRPr="00B5539A">
                              <w:rPr>
                                <w:rFonts w:ascii="Arial" w:hAnsi="Arial" w:cs="Arial"/>
                                <w:color w:val="FFFFFF" w:themeColor="background1"/>
                                <w:sz w:val="20"/>
                              </w:rPr>
                              <w:t xml:space="preserve">EOG 6 </w:t>
                            </w:r>
                          </w:p>
                        </w:txbxContent>
                      </v:textbox>
                      <w10:wrap type="square"/>
                    </v:rect>
                  </w:pict>
                </mc:Fallback>
              </mc:AlternateContent>
            </w:r>
            <w:r w:rsidRPr="001427AF">
              <w:rPr>
                <w:rFonts w:ascii="Arial" w:hAnsi="Arial" w:cs="Arial"/>
                <w:noProof/>
                <w:color w:val="auto"/>
                <w:szCs w:val="24"/>
              </w:rPr>
              <mc:AlternateContent>
                <mc:Choice Requires="wps">
                  <w:drawing>
                    <wp:anchor distT="0" distB="0" distL="114300" distR="114300" simplePos="0" relativeHeight="251658265" behindDoc="0" locked="0" layoutInCell="1" allowOverlap="1" wp14:anchorId="04DCD797" wp14:editId="7695A85A">
                      <wp:simplePos x="0" y="0"/>
                      <wp:positionH relativeFrom="column">
                        <wp:posOffset>49530</wp:posOffset>
                      </wp:positionH>
                      <wp:positionV relativeFrom="paragraph">
                        <wp:posOffset>568960</wp:posOffset>
                      </wp:positionV>
                      <wp:extent cx="916940" cy="390525"/>
                      <wp:effectExtent l="0" t="0" r="16510" b="28575"/>
                      <wp:wrapSquare wrapText="bothSides"/>
                      <wp:docPr id="429812330" name="Flowchart: Connector 429812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6940" cy="390525"/>
                              </a:xfrm>
                              <a:prstGeom prst="flowChartConnector">
                                <a:avLst/>
                              </a:prstGeom>
                              <a:solidFill>
                                <a:srgbClr val="FFFF00"/>
                              </a:solidFill>
                              <a:ln w="12700" cap="flat" cmpd="sng" algn="ctr">
                                <a:solidFill>
                                  <a:sysClr val="windowText" lastClr="000000"/>
                                </a:solidFill>
                                <a:prstDash val="solid"/>
                                <a:miter lim="800000"/>
                              </a:ln>
                              <a:effectLst/>
                            </wps:spPr>
                            <wps:txbx>
                              <w:txbxContent>
                                <w:p w14:paraId="50B09F1C" w14:textId="77777777" w:rsidR="009E5FD3" w:rsidRPr="00C936CF" w:rsidRDefault="009E5FD3" w:rsidP="009E5FD3">
                                  <w:pPr>
                                    <w:jc w:val="center"/>
                                    <w:rPr>
                                      <w:color w:val="000000" w:themeColor="text1"/>
                                      <w:sz w:val="20"/>
                                    </w:rPr>
                                  </w:pPr>
                                  <w:r w:rsidRPr="00E751A7">
                                    <w:rPr>
                                      <w:rFonts w:ascii="Arial" w:hAnsi="Arial" w:cs="Arial"/>
                                      <w:color w:val="000000" w:themeColor="text1"/>
                                      <w:sz w:val="20"/>
                                    </w:rPr>
                                    <w:t>NCM1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CD797" id="Flowchart: Connector 429812330" o:spid="_x0000_s1049" type="#_x0000_t120" alt="&quot;&quot;" style="position:absolute;margin-left:3.9pt;margin-top:44.8pt;width:72.2pt;height:30.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" fillcolor="yellow" strokecolor="windowText" strokeweight="1pt">
                      <v:stroke joinstyle="miter"/>
                      <v:textbox>
                        <w:txbxContent>
                          <w:p w14:paraId="50B09F1C" w14:textId="77777777" w:rsidR="009E5FD3" w:rsidRPr="00C936CF" w:rsidRDefault="009E5FD3" w:rsidP="009E5FD3">
                            <w:pPr>
                              <w:jc w:val="center"/>
                              <w:rPr>
                                <w:color w:val="000000" w:themeColor="text1"/>
                                <w:sz w:val="20"/>
                              </w:rPr>
                            </w:pPr>
                            <w:r w:rsidRPr="00E751A7">
                              <w:rPr>
                                <w:rFonts w:ascii="Arial" w:hAnsi="Arial" w:cs="Arial"/>
                                <w:color w:val="000000" w:themeColor="text1"/>
                                <w:sz w:val="20"/>
                              </w:rPr>
                              <w:t>NCM1</w:t>
                            </w:r>
                          </w:p>
                        </w:txbxContent>
                      </v:textbox>
                      <w10:wrap type="square"/>
                    </v:shape>
                  </w:pict>
                </mc:Fallback>
              </mc:AlternateContent>
            </w:r>
            <w:r w:rsidRPr="001427AF">
              <w:rPr>
                <w:rFonts w:ascii="Arial" w:hAnsi="Arial" w:cs="Arial"/>
                <w:noProof/>
                <w:color w:val="auto"/>
                <w:szCs w:val="24"/>
              </w:rPr>
              <mc:AlternateContent>
                <mc:Choice Requires="wps">
                  <w:drawing>
                    <wp:anchor distT="0" distB="0" distL="114300" distR="114300" simplePos="0" relativeHeight="251658264" behindDoc="0" locked="0" layoutInCell="1" allowOverlap="1" wp14:anchorId="7CFC653A" wp14:editId="17AF2AD7">
                      <wp:simplePos x="0" y="0"/>
                      <wp:positionH relativeFrom="column">
                        <wp:posOffset>45719</wp:posOffset>
                      </wp:positionH>
                      <wp:positionV relativeFrom="page">
                        <wp:posOffset>64135</wp:posOffset>
                      </wp:positionV>
                      <wp:extent cx="962025" cy="457200"/>
                      <wp:effectExtent l="19050" t="19050" r="28575" b="19050"/>
                      <wp:wrapSquare wrapText="bothSides"/>
                      <wp:docPr id="557771647" name="Pentagon 5577716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2025" cy="457200"/>
                              </a:xfrm>
                              <a:prstGeom prst="pentagon">
                                <a:avLst/>
                              </a:prstGeom>
                              <a:solidFill>
                                <a:srgbClr val="ED7D31"/>
                              </a:solidFill>
                              <a:ln w="12700" cap="flat" cmpd="sng" algn="ctr">
                                <a:solidFill>
                                  <a:sysClr val="windowText" lastClr="000000"/>
                                </a:solidFill>
                                <a:prstDash val="solid"/>
                                <a:miter lim="800000"/>
                              </a:ln>
                              <a:effectLst/>
                            </wps:spPr>
                            <wps:txbx>
                              <w:txbxContent>
                                <w:p w14:paraId="22D4D216" w14:textId="77777777" w:rsidR="009E5FD3" w:rsidRPr="00E751A7" w:rsidRDefault="009E5FD3" w:rsidP="009E5FD3">
                                  <w:pPr>
                                    <w:jc w:val="center"/>
                                    <w:rPr>
                                      <w:rFonts w:ascii="Arial" w:hAnsi="Arial" w:cs="Arial"/>
                                      <w:color w:val="000000" w:themeColor="text1"/>
                                      <w:sz w:val="20"/>
                                    </w:rPr>
                                  </w:pPr>
                                  <w:r w:rsidRPr="00E751A7">
                                    <w:rPr>
                                      <w:rFonts w:ascii="Arial" w:hAnsi="Arial" w:cs="Arial"/>
                                      <w:color w:val="000000" w:themeColor="text1"/>
                                      <w:sz w:val="20"/>
                                    </w:rPr>
                                    <w:t>EOG6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653A" id="Pentagon 557771647" o:spid="_x0000_s1050" type="#_x0000_t56" alt="&quot;&quot;" style="position:absolute;margin-left:3.6pt;margin-top:5.05pt;width:75.75pt;height:3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" fillcolor="#ed7d31" strokecolor="windowText" strokeweight="1pt">
                      <v:textbox>
                        <w:txbxContent>
                          <w:p w14:paraId="22D4D216" w14:textId="77777777" w:rsidR="009E5FD3" w:rsidRPr="00E751A7" w:rsidRDefault="009E5FD3" w:rsidP="009E5FD3">
                            <w:pPr>
                              <w:jc w:val="center"/>
                              <w:rPr>
                                <w:rFonts w:ascii="Arial" w:hAnsi="Arial" w:cs="Arial"/>
                                <w:color w:val="000000" w:themeColor="text1"/>
                                <w:sz w:val="20"/>
                              </w:rPr>
                            </w:pPr>
                            <w:r w:rsidRPr="00E751A7">
                              <w:rPr>
                                <w:rFonts w:ascii="Arial" w:hAnsi="Arial" w:cs="Arial"/>
                                <w:color w:val="000000" w:themeColor="text1"/>
                                <w:sz w:val="20"/>
                              </w:rPr>
                              <w:t>EOG6</w:t>
                            </w:r>
                          </w:p>
                        </w:txbxContent>
                      </v:textbox>
                      <w10:wrap type="square" anchory="page"/>
                    </v:shape>
                  </w:pict>
                </mc:Fallback>
              </mc:AlternateContent>
            </w:r>
          </w:p>
        </w:tc>
        <w:tc>
          <w:tcPr>
            <w:tcW w:w="1806" w:type="dxa"/>
          </w:tcPr>
          <w:p w14:paraId="3D8CCE9E"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71" behindDoc="0" locked="0" layoutInCell="1" allowOverlap="1" wp14:anchorId="7AE46CAA" wp14:editId="6536E66E">
                      <wp:simplePos x="0" y="0"/>
                      <wp:positionH relativeFrom="column">
                        <wp:posOffset>45085</wp:posOffset>
                      </wp:positionH>
                      <wp:positionV relativeFrom="page">
                        <wp:posOffset>61925</wp:posOffset>
                      </wp:positionV>
                      <wp:extent cx="971550" cy="457200"/>
                      <wp:effectExtent l="19050" t="19050" r="19050" b="19050"/>
                      <wp:wrapSquare wrapText="bothSides"/>
                      <wp:docPr id="30945218" name="Pentagon 309452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71550" cy="457200"/>
                              </a:xfrm>
                              <a:prstGeom prst="pentagon">
                                <a:avLst/>
                              </a:prstGeom>
                              <a:solidFill>
                                <a:srgbClr val="ED7D31"/>
                              </a:solidFill>
                              <a:ln w="12700" cap="flat" cmpd="sng" algn="ctr">
                                <a:solidFill>
                                  <a:sysClr val="windowText" lastClr="000000"/>
                                </a:solidFill>
                                <a:prstDash val="solid"/>
                                <a:miter lim="800000"/>
                              </a:ln>
                              <a:effectLst/>
                            </wps:spPr>
                            <wps:txbx>
                              <w:txbxContent>
                                <w:p w14:paraId="598C5275" w14:textId="77777777" w:rsidR="009E5FD3" w:rsidRPr="00C936CF" w:rsidRDefault="009E5FD3" w:rsidP="009E5FD3">
                                  <w:pPr>
                                    <w:jc w:val="center"/>
                                    <w:rPr>
                                      <w:color w:val="000000" w:themeColor="text1"/>
                                      <w:sz w:val="20"/>
                                    </w:rPr>
                                  </w:pPr>
                                  <w:r w:rsidRPr="00E751A7">
                                    <w:rPr>
                                      <w:rFonts w:ascii="Arial" w:hAnsi="Arial" w:cs="Arial"/>
                                      <w:color w:val="000000" w:themeColor="text1"/>
                                      <w:sz w:val="20"/>
                                    </w:rPr>
                                    <w:t>EOG7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46CAA" id="Pentagon 30945218" o:spid="_x0000_s1051" type="#_x0000_t56" alt="&quot;&quot;" style="position:absolute;margin-left:3.55pt;margin-top:4.9pt;width:76.5pt;height:3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" fillcolor="#ed7d31" strokecolor="windowText" strokeweight="1pt">
                      <v:textbox>
                        <w:txbxContent>
                          <w:p w14:paraId="598C5275" w14:textId="77777777" w:rsidR="009E5FD3" w:rsidRPr="00C936CF" w:rsidRDefault="009E5FD3" w:rsidP="009E5FD3">
                            <w:pPr>
                              <w:jc w:val="center"/>
                              <w:rPr>
                                <w:color w:val="000000" w:themeColor="text1"/>
                                <w:sz w:val="20"/>
                              </w:rPr>
                            </w:pPr>
                            <w:r w:rsidRPr="00E751A7">
                              <w:rPr>
                                <w:rFonts w:ascii="Arial" w:hAnsi="Arial" w:cs="Arial"/>
                                <w:color w:val="000000" w:themeColor="text1"/>
                                <w:sz w:val="20"/>
                              </w:rPr>
                              <w:t>EOG7</w:t>
                            </w:r>
                          </w:p>
                        </w:txbxContent>
                      </v:textbox>
                      <w10:wrap type="square" anchory="page"/>
                    </v:shape>
                  </w:pict>
                </mc:Fallback>
              </mc:AlternateContent>
            </w:r>
            <w:r w:rsidRPr="001427AF">
              <w:rPr>
                <w:rFonts w:ascii="Arial" w:hAnsi="Arial" w:cs="Arial"/>
                <w:noProof/>
                <w:color w:val="auto"/>
                <w:szCs w:val="24"/>
              </w:rPr>
              <mc:AlternateContent>
                <mc:Choice Requires="wps">
                  <w:drawing>
                    <wp:anchor distT="0" distB="0" distL="114300" distR="114300" simplePos="0" relativeHeight="251658267" behindDoc="0" locked="0" layoutInCell="1" allowOverlap="1" wp14:anchorId="60848F27" wp14:editId="1E8AB628">
                      <wp:simplePos x="0" y="0"/>
                      <wp:positionH relativeFrom="column">
                        <wp:posOffset>86995</wp:posOffset>
                      </wp:positionH>
                      <wp:positionV relativeFrom="paragraph">
                        <wp:posOffset>1065530</wp:posOffset>
                      </wp:positionV>
                      <wp:extent cx="855345" cy="266700"/>
                      <wp:effectExtent l="0" t="0" r="20955" b="19050"/>
                      <wp:wrapSquare wrapText="bothSides"/>
                      <wp:docPr id="1415691036" name="Rectangle 14156910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5345" cy="266700"/>
                              </a:xfrm>
                              <a:prstGeom prst="rect">
                                <a:avLst/>
                              </a:prstGeom>
                              <a:solidFill>
                                <a:srgbClr val="4472C4"/>
                              </a:solidFill>
                              <a:ln w="12700" cap="flat" cmpd="sng" algn="ctr">
                                <a:solidFill>
                                  <a:sysClr val="windowText" lastClr="000000"/>
                                </a:solidFill>
                                <a:prstDash val="solid"/>
                                <a:miter lim="800000"/>
                              </a:ln>
                              <a:effectLst/>
                            </wps:spPr>
                            <wps:txbx>
                              <w:txbxContent>
                                <w:p w14:paraId="774442BE" w14:textId="77777777" w:rsidR="009E5FD3" w:rsidRPr="00E751A7" w:rsidRDefault="009E5FD3" w:rsidP="009E5FD3">
                                  <w:pPr>
                                    <w:jc w:val="center"/>
                                    <w:rPr>
                                      <w:rFonts w:ascii="Arial" w:hAnsi="Arial" w:cs="Arial"/>
                                      <w:sz w:val="20"/>
                                    </w:rPr>
                                  </w:pPr>
                                  <w:r w:rsidRPr="000D7119">
                                    <w:rPr>
                                      <w:rFonts w:ascii="Arial" w:hAnsi="Arial" w:cs="Arial"/>
                                      <w:color w:val="FFFFFF" w:themeColor="background1"/>
                                      <w:sz w:val="20"/>
                                    </w:rPr>
                                    <w:t>EOG</w:t>
                                  </w:r>
                                  <w:r w:rsidRPr="00C936CF">
                                    <w:rPr>
                                      <w:color w:val="FFFFFF" w:themeColor="background1"/>
                                      <w:sz w:val="20"/>
                                    </w:rPr>
                                    <w:t xml:space="preserv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48F27" id="Rectangle 1415691036" o:spid="_x0000_s1052" alt="&quot;&quot;" style="position:absolute;margin-left:6.85pt;margin-top:83.9pt;width:67.35pt;height:21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" fillcolor="#4472c4" strokecolor="windowText" strokeweight="1pt">
                      <v:textbox>
                        <w:txbxContent>
                          <w:p w14:paraId="774442BE" w14:textId="77777777" w:rsidR="009E5FD3" w:rsidRPr="00E751A7" w:rsidRDefault="009E5FD3" w:rsidP="009E5FD3">
                            <w:pPr>
                              <w:jc w:val="center"/>
                              <w:rPr>
                                <w:rFonts w:ascii="Arial" w:hAnsi="Arial" w:cs="Arial"/>
                                <w:sz w:val="20"/>
                              </w:rPr>
                            </w:pPr>
                            <w:r w:rsidRPr="000D7119">
                              <w:rPr>
                                <w:rFonts w:ascii="Arial" w:hAnsi="Arial" w:cs="Arial"/>
                                <w:color w:val="FFFFFF" w:themeColor="background1"/>
                                <w:sz w:val="20"/>
                              </w:rPr>
                              <w:t>EOG</w:t>
                            </w:r>
                            <w:r w:rsidRPr="00C936CF">
                              <w:rPr>
                                <w:color w:val="FFFFFF" w:themeColor="background1"/>
                                <w:sz w:val="20"/>
                              </w:rPr>
                              <w:t xml:space="preserve"> 7</w:t>
                            </w:r>
                          </w:p>
                        </w:txbxContent>
                      </v:textbox>
                      <w10:wrap type="square"/>
                    </v:rect>
                  </w:pict>
                </mc:Fallback>
              </mc:AlternateContent>
            </w:r>
          </w:p>
        </w:tc>
        <w:tc>
          <w:tcPr>
            <w:tcW w:w="1551" w:type="dxa"/>
          </w:tcPr>
          <w:p w14:paraId="5DDF4782"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70" behindDoc="0" locked="0" layoutInCell="1" allowOverlap="1" wp14:anchorId="0DA332A3" wp14:editId="192AAB2B">
                      <wp:simplePos x="0" y="0"/>
                      <wp:positionH relativeFrom="column">
                        <wp:posOffset>-1905</wp:posOffset>
                      </wp:positionH>
                      <wp:positionV relativeFrom="paragraph">
                        <wp:posOffset>1067435</wp:posOffset>
                      </wp:positionV>
                      <wp:extent cx="804545" cy="264795"/>
                      <wp:effectExtent l="0" t="0" r="14605" b="20955"/>
                      <wp:wrapSquare wrapText="bothSides"/>
                      <wp:docPr id="1802775223" name="Rectangle 18027752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545" cy="264795"/>
                              </a:xfrm>
                              <a:prstGeom prst="rect">
                                <a:avLst/>
                              </a:prstGeom>
                              <a:solidFill>
                                <a:srgbClr val="4472C4"/>
                              </a:solidFill>
                              <a:ln w="12700" cap="flat" cmpd="sng" algn="ctr">
                                <a:solidFill>
                                  <a:sysClr val="windowText" lastClr="000000"/>
                                </a:solidFill>
                                <a:prstDash val="solid"/>
                                <a:miter lim="800000"/>
                              </a:ln>
                              <a:effectLst/>
                            </wps:spPr>
                            <wps:txbx>
                              <w:txbxContent>
                                <w:p w14:paraId="10C176FA" w14:textId="77777777" w:rsidR="009E5FD3" w:rsidRPr="00894C56" w:rsidRDefault="009E5FD3" w:rsidP="009E5FD3">
                                  <w:pPr>
                                    <w:jc w:val="center"/>
                                    <w:rPr>
                                      <w:color w:val="FFFFFF" w:themeColor="background1"/>
                                      <w:sz w:val="20"/>
                                    </w:rPr>
                                  </w:pPr>
                                  <w:r w:rsidRPr="00B5539A">
                                    <w:rPr>
                                      <w:rFonts w:ascii="Arial" w:hAnsi="Arial" w:cs="Arial"/>
                                      <w:color w:val="FFFFFF" w:themeColor="background1"/>
                                      <w:sz w:val="20"/>
                                    </w:rPr>
                                    <w:t>NCM1B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332A3" id="Rectangle 1802775223" o:spid="_x0000_s1053" alt="&quot;&quot;" style="position:absolute;margin-left:-.15pt;margin-top:84.05pt;width:63.35pt;height:20.8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" fillcolor="#4472c4" strokecolor="windowText" strokeweight="1pt">
                      <v:textbox>
                        <w:txbxContent>
                          <w:p w14:paraId="10C176FA" w14:textId="77777777" w:rsidR="009E5FD3" w:rsidRPr="00894C56" w:rsidRDefault="009E5FD3" w:rsidP="009E5FD3">
                            <w:pPr>
                              <w:jc w:val="center"/>
                              <w:rPr>
                                <w:color w:val="FFFFFF" w:themeColor="background1"/>
                                <w:sz w:val="20"/>
                              </w:rPr>
                            </w:pPr>
                            <w:r w:rsidRPr="00B5539A">
                              <w:rPr>
                                <w:rFonts w:ascii="Arial" w:hAnsi="Arial" w:cs="Arial"/>
                                <w:color w:val="FFFFFF" w:themeColor="background1"/>
                                <w:sz w:val="20"/>
                              </w:rPr>
                              <w:t>NCM1B</w:t>
                            </w:r>
                          </w:p>
                        </w:txbxContent>
                      </v:textbox>
                      <w10:wrap type="square"/>
                    </v:rect>
                  </w:pict>
                </mc:Fallback>
              </mc:AlternateContent>
            </w:r>
            <w:r w:rsidRPr="001427AF">
              <w:rPr>
                <w:rFonts w:ascii="Arial" w:hAnsi="Arial" w:cs="Arial"/>
                <w:noProof/>
                <w:color w:val="auto"/>
                <w:szCs w:val="24"/>
              </w:rPr>
              <mc:AlternateContent>
                <mc:Choice Requires="wps">
                  <w:drawing>
                    <wp:anchor distT="0" distB="0" distL="114300" distR="114300" simplePos="0" relativeHeight="251658268" behindDoc="0" locked="0" layoutInCell="1" allowOverlap="1" wp14:anchorId="77902F91" wp14:editId="2F1F778F">
                      <wp:simplePos x="0" y="0"/>
                      <wp:positionH relativeFrom="column">
                        <wp:posOffset>-5079</wp:posOffset>
                      </wp:positionH>
                      <wp:positionV relativeFrom="page">
                        <wp:posOffset>46990</wp:posOffset>
                      </wp:positionV>
                      <wp:extent cx="857250" cy="420370"/>
                      <wp:effectExtent l="0" t="0" r="19050" b="17780"/>
                      <wp:wrapNone/>
                      <wp:docPr id="1793503585" name="Flowchart: Connector 1793503585" descr="P2693C9T39TB30#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7250" cy="420370"/>
                              </a:xfrm>
                              <a:prstGeom prst="flowChartConnector">
                                <a:avLst/>
                              </a:prstGeom>
                              <a:solidFill>
                                <a:srgbClr val="ED7D31"/>
                              </a:solidFill>
                              <a:ln w="12700" cap="flat" cmpd="sng" algn="ctr">
                                <a:solidFill>
                                  <a:sysClr val="windowText" lastClr="000000"/>
                                </a:solidFill>
                                <a:prstDash val="solid"/>
                                <a:miter lim="800000"/>
                              </a:ln>
                              <a:effectLst/>
                            </wps:spPr>
                            <wps:txbx>
                              <w:txbxContent>
                                <w:p w14:paraId="68FE0359" w14:textId="77777777" w:rsidR="009E5FD3" w:rsidRPr="00570AD5" w:rsidRDefault="009E5FD3" w:rsidP="009E5FD3">
                                  <w:pPr>
                                    <w:jc w:val="center"/>
                                    <w:rPr>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02F91" id="Flowchart: Connector 1793503585" o:spid="_x0000_s1054" type="#_x0000_t120" alt="P2693C9T39TB30#y1" style="position:absolute;margin-left:-.4pt;margin-top:3.7pt;width:67.5pt;height:33.1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" fillcolor="#ed7d31" strokecolor="windowText" strokeweight="1pt">
                      <v:stroke joinstyle="miter"/>
                      <v:textbox>
                        <w:txbxContent>
                          <w:p w14:paraId="68FE0359" w14:textId="77777777" w:rsidR="009E5FD3" w:rsidRPr="00570AD5" w:rsidRDefault="009E5FD3" w:rsidP="009E5FD3">
                            <w:pPr>
                              <w:jc w:val="center"/>
                              <w:rPr>
                                <w:color w:val="000000" w:themeColor="text1"/>
                                <w:szCs w:val="24"/>
                              </w:rPr>
                            </w:pPr>
                          </w:p>
                        </w:txbxContent>
                      </v:textbox>
                      <w10:wrap anchory="page"/>
                    </v:shape>
                  </w:pict>
                </mc:Fallback>
              </mc:AlternateContent>
            </w:r>
            <w:r w:rsidRPr="001427AF">
              <w:rPr>
                <w:rFonts w:ascii="Arial" w:hAnsi="Arial" w:cs="Arial"/>
                <w:noProof/>
                <w:color w:val="auto"/>
                <w:szCs w:val="24"/>
              </w:rPr>
              <mc:AlternateContent>
                <mc:Choice Requires="wps">
                  <w:drawing>
                    <wp:anchor distT="0" distB="0" distL="114300" distR="114300" simplePos="0" relativeHeight="251658269" behindDoc="0" locked="0" layoutInCell="1" allowOverlap="1" wp14:anchorId="01E5A759" wp14:editId="2494F2F7">
                      <wp:simplePos x="0" y="0"/>
                      <wp:positionH relativeFrom="column">
                        <wp:posOffset>-36195</wp:posOffset>
                      </wp:positionH>
                      <wp:positionV relativeFrom="paragraph">
                        <wp:posOffset>517525</wp:posOffset>
                      </wp:positionV>
                      <wp:extent cx="914400" cy="484505"/>
                      <wp:effectExtent l="0" t="0" r="19050" b="10795"/>
                      <wp:wrapNone/>
                      <wp:docPr id="926776917" name="Rectangle 9267769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484505"/>
                              </a:xfrm>
                              <a:prstGeom prst="rect">
                                <a:avLst/>
                              </a:prstGeom>
                              <a:solidFill>
                                <a:srgbClr val="FFFF00"/>
                              </a:solidFill>
                              <a:ln w="12700" cap="flat" cmpd="sng" algn="ctr">
                                <a:solidFill>
                                  <a:sysClr val="windowText" lastClr="000000"/>
                                </a:solidFill>
                                <a:prstDash val="solid"/>
                                <a:miter lim="800000"/>
                              </a:ln>
                              <a:effectLst/>
                            </wps:spPr>
                            <wps:txbx>
                              <w:txbxContent>
                                <w:p w14:paraId="73D365D0" w14:textId="77777777" w:rsidR="009E5FD3" w:rsidRPr="00E751A7" w:rsidRDefault="009E5FD3" w:rsidP="009E5FD3">
                                  <w:pPr>
                                    <w:jc w:val="center"/>
                                    <w:rPr>
                                      <w:rFonts w:ascii="Arial" w:hAnsi="Arial" w:cs="Arial"/>
                                      <w:color w:val="000000" w:themeColor="text1"/>
                                      <w:sz w:val="20"/>
                                    </w:rPr>
                                  </w:pPr>
                                  <w:r w:rsidRPr="00E751A7">
                                    <w:rPr>
                                      <w:rFonts w:ascii="Arial" w:hAnsi="Arial" w:cs="Arial"/>
                                      <w:color w:val="000000" w:themeColor="text1"/>
                                      <w:sz w:val="20"/>
                                    </w:rPr>
                                    <w:t>NCM3 if in membership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5A759" id="Rectangle 926776917" o:spid="_x0000_s1055" alt="&quot;&quot;" style="position:absolute;margin-left:-2.85pt;margin-top:40.75pt;width:1in;height:38.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" fillcolor="yellow" strokecolor="windowText" strokeweight="1pt">
                      <v:textbox>
                        <w:txbxContent>
                          <w:p w14:paraId="73D365D0" w14:textId="77777777" w:rsidR="009E5FD3" w:rsidRPr="00E751A7" w:rsidRDefault="009E5FD3" w:rsidP="009E5FD3">
                            <w:pPr>
                              <w:jc w:val="center"/>
                              <w:rPr>
                                <w:rFonts w:ascii="Arial" w:hAnsi="Arial" w:cs="Arial"/>
                                <w:color w:val="000000" w:themeColor="text1"/>
                                <w:sz w:val="20"/>
                              </w:rPr>
                            </w:pPr>
                            <w:r w:rsidRPr="00E751A7">
                              <w:rPr>
                                <w:rFonts w:ascii="Arial" w:hAnsi="Arial" w:cs="Arial"/>
                                <w:color w:val="000000" w:themeColor="text1"/>
                                <w:sz w:val="20"/>
                              </w:rPr>
                              <w:t>NCM3 if in membership</w:t>
                            </w:r>
                          </w:p>
                        </w:txbxContent>
                      </v:textbox>
                    </v:rect>
                  </w:pict>
                </mc:Fallback>
              </mc:AlternateContent>
            </w:r>
            <w:r w:rsidRPr="001427AF">
              <w:rPr>
                <w:rFonts w:ascii="Arial" w:hAnsi="Arial" w:cs="Arial"/>
                <w:noProof/>
                <w:color w:val="auto"/>
                <w:szCs w:val="24"/>
              </w:rPr>
              <mc:AlternateContent>
                <mc:Choice Requires="wps">
                  <w:drawing>
                    <wp:anchor distT="0" distB="0" distL="114300" distR="114300" simplePos="0" relativeHeight="251658274" behindDoc="0" locked="0" layoutInCell="1" allowOverlap="1" wp14:anchorId="75752525" wp14:editId="6B3A0B8B">
                      <wp:simplePos x="0" y="0"/>
                      <wp:positionH relativeFrom="column">
                        <wp:posOffset>106680</wp:posOffset>
                      </wp:positionH>
                      <wp:positionV relativeFrom="paragraph">
                        <wp:posOffset>139065</wp:posOffset>
                      </wp:positionV>
                      <wp:extent cx="692150" cy="241300"/>
                      <wp:effectExtent l="0" t="0" r="0" b="6350"/>
                      <wp:wrapNone/>
                      <wp:docPr id="951835179" name="Text Box 9518351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92150" cy="241300"/>
                              </a:xfrm>
                              <a:prstGeom prst="rect">
                                <a:avLst/>
                              </a:prstGeom>
                              <a:solidFill>
                                <a:srgbClr val="ED7D31"/>
                              </a:solidFill>
                              <a:ln w="6350">
                                <a:noFill/>
                              </a:ln>
                            </wps:spPr>
                            <wps:txbx>
                              <w:txbxContent>
                                <w:p w14:paraId="0FF5DFC4" w14:textId="77777777" w:rsidR="009E5FD3" w:rsidRPr="00570AD5" w:rsidRDefault="009E5FD3" w:rsidP="009E5FD3">
                                  <w:r w:rsidRPr="00E751A7">
                                    <w:rPr>
                                      <w:rFonts w:ascii="Arial" w:hAnsi="Arial" w:cs="Arial"/>
                                      <w:sz w:val="20"/>
                                    </w:rPr>
                                    <w:t>NCM1B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752525" id="_x0000_t202" coordsize="21600,21600" o:spt="202" path="m,l,21600r21600,l21600,xe">
                      <v:stroke joinstyle="miter"/>
                      <v:path gradientshapeok="t" o:connecttype="rect"/>
                    </v:shapetype>
                    <v:shape id="Text Box 951835179" o:spid="_x0000_s1056" type="#_x0000_t202" alt="&quot;&quot;" style="position:absolute;margin-left:8.4pt;margin-top:10.95pt;width:54.5pt;height:19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" fillcolor="#ed7d31" stroked="f" strokeweight=".5pt">
                      <v:textbox>
                        <w:txbxContent>
                          <w:p w14:paraId="0FF5DFC4" w14:textId="77777777" w:rsidR="009E5FD3" w:rsidRPr="00570AD5" w:rsidRDefault="009E5FD3" w:rsidP="009E5FD3">
                            <w:r w:rsidRPr="00E751A7">
                              <w:rPr>
                                <w:rFonts w:ascii="Arial" w:hAnsi="Arial" w:cs="Arial"/>
                                <w:sz w:val="20"/>
                              </w:rPr>
                              <w:t>NCM1B</w:t>
                            </w:r>
                          </w:p>
                        </w:txbxContent>
                      </v:textbox>
                    </v:shape>
                  </w:pict>
                </mc:Fallback>
              </mc:AlternateContent>
            </w:r>
          </w:p>
        </w:tc>
        <w:tc>
          <w:tcPr>
            <w:tcW w:w="1322" w:type="dxa"/>
          </w:tcPr>
          <w:p w14:paraId="59C72456"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75" behindDoc="0" locked="0" layoutInCell="1" allowOverlap="1" wp14:anchorId="7F2B9600" wp14:editId="16CF0B2B">
                      <wp:simplePos x="0" y="0"/>
                      <wp:positionH relativeFrom="column">
                        <wp:posOffset>-34950</wp:posOffset>
                      </wp:positionH>
                      <wp:positionV relativeFrom="paragraph">
                        <wp:posOffset>590575</wp:posOffset>
                      </wp:positionV>
                      <wp:extent cx="817245" cy="828675"/>
                      <wp:effectExtent l="0" t="0" r="20955" b="28575"/>
                      <wp:wrapNone/>
                      <wp:docPr id="98886952" name="Octagon 988869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7245" cy="828675"/>
                              </a:xfrm>
                              <a:prstGeom prst="octagon">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9617C6" w14:textId="77777777" w:rsidR="009E5FD3" w:rsidRPr="00B5539A" w:rsidRDefault="009E5FD3" w:rsidP="009E5FD3">
                                  <w:pPr>
                                    <w:spacing w:line="240" w:lineRule="auto"/>
                                    <w:jc w:val="center"/>
                                    <w:rPr>
                                      <w:rFonts w:ascii="Arial" w:hAnsi="Arial" w:cs="Arial"/>
                                      <w:sz w:val="16"/>
                                      <w:szCs w:val="16"/>
                                    </w:rPr>
                                  </w:pPr>
                                  <w:r w:rsidRPr="00B5539A">
                                    <w:rPr>
                                      <w:rFonts w:ascii="Arial" w:hAnsi="Arial" w:cs="Arial"/>
                                      <w:sz w:val="16"/>
                                      <w:szCs w:val="16"/>
                                    </w:rPr>
                                    <w:t>If NCM3 taken prior to grade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B9600" id="Octagon 98886952" o:spid="_x0000_s1057" type="#_x0000_t10" alt="&quot;&quot;" style="position:absolute;margin-left:-2.75pt;margin-top:46.5pt;width:64.35pt;height:65.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" fillcolor="#ed7d31 [3205]" strokecolor="#1f3763 [1604]" strokeweight="1pt">
                      <v:textbox>
                        <w:txbxContent>
                          <w:p w14:paraId="669617C6" w14:textId="77777777" w:rsidR="009E5FD3" w:rsidRPr="00B5539A" w:rsidRDefault="009E5FD3" w:rsidP="009E5FD3">
                            <w:pPr>
                              <w:spacing w:line="240" w:lineRule="auto"/>
                              <w:jc w:val="center"/>
                              <w:rPr>
                                <w:rFonts w:ascii="Arial" w:hAnsi="Arial" w:cs="Arial"/>
                                <w:sz w:val="16"/>
                                <w:szCs w:val="16"/>
                              </w:rPr>
                            </w:pPr>
                            <w:r w:rsidRPr="00B5539A">
                              <w:rPr>
                                <w:rFonts w:ascii="Arial" w:hAnsi="Arial" w:cs="Arial"/>
                                <w:sz w:val="16"/>
                                <w:szCs w:val="16"/>
                              </w:rPr>
                              <w:t>If NCM3 taken prior to grade 9</w:t>
                            </w:r>
                          </w:p>
                        </w:txbxContent>
                      </v:textbox>
                    </v:shape>
                  </w:pict>
                </mc:Fallback>
              </mc:AlternateContent>
            </w:r>
          </w:p>
        </w:tc>
        <w:tc>
          <w:tcPr>
            <w:tcW w:w="1321" w:type="dxa"/>
          </w:tcPr>
          <w:p w14:paraId="47C9D67A" w14:textId="77777777" w:rsidR="009E5FD3" w:rsidRPr="001427AF" w:rsidRDefault="009E5FD3">
            <w:pPr>
              <w:spacing w:line="240" w:lineRule="auto"/>
              <w:rPr>
                <w:rFonts w:ascii="Arial" w:hAnsi="Arial" w:cs="Arial"/>
                <w:color w:val="auto"/>
                <w:szCs w:val="24"/>
              </w:rPr>
            </w:pPr>
          </w:p>
        </w:tc>
        <w:tc>
          <w:tcPr>
            <w:tcW w:w="1507" w:type="dxa"/>
          </w:tcPr>
          <w:p w14:paraId="2535DAFE" w14:textId="77777777" w:rsidR="009E5FD3" w:rsidRPr="001427AF" w:rsidRDefault="009E5FD3">
            <w:pPr>
              <w:spacing w:line="240" w:lineRule="auto"/>
              <w:rPr>
                <w:rFonts w:ascii="Arial" w:hAnsi="Arial" w:cs="Arial"/>
                <w:color w:val="auto"/>
                <w:szCs w:val="24"/>
              </w:rPr>
            </w:pPr>
            <w:r w:rsidRPr="001427AF">
              <w:rPr>
                <w:rFonts w:ascii="Arial" w:hAnsi="Arial" w:cs="Arial"/>
                <w:noProof/>
                <w:color w:val="auto"/>
                <w:szCs w:val="24"/>
              </w:rPr>
              <mc:AlternateContent>
                <mc:Choice Requires="wps">
                  <w:drawing>
                    <wp:anchor distT="0" distB="0" distL="114300" distR="114300" simplePos="0" relativeHeight="251658272" behindDoc="0" locked="0" layoutInCell="1" allowOverlap="1" wp14:anchorId="4F1A7352" wp14:editId="3BE32877">
                      <wp:simplePos x="0" y="0"/>
                      <wp:positionH relativeFrom="column">
                        <wp:posOffset>-1717345</wp:posOffset>
                      </wp:positionH>
                      <wp:positionV relativeFrom="paragraph">
                        <wp:posOffset>-4851</wp:posOffset>
                      </wp:positionV>
                      <wp:extent cx="2589276" cy="523875"/>
                      <wp:effectExtent l="19050" t="19050" r="40005" b="47625"/>
                      <wp:wrapNone/>
                      <wp:docPr id="1864114407" name="Arrow: Left-Right 18641144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89276" cy="523875"/>
                              </a:xfrm>
                              <a:prstGeom prst="leftRightArrow">
                                <a:avLst/>
                              </a:prstGeom>
                              <a:solidFill>
                                <a:srgbClr val="ED7D31"/>
                              </a:solidFill>
                              <a:ln w="12700" cap="flat" cmpd="sng" algn="ctr">
                                <a:solidFill>
                                  <a:sysClr val="windowText" lastClr="000000"/>
                                </a:solidFill>
                                <a:prstDash val="solid"/>
                                <a:miter lim="800000"/>
                              </a:ln>
                              <a:effectLst/>
                            </wps:spPr>
                            <wps:txbx>
                              <w:txbxContent>
                                <w:p w14:paraId="271B0243" w14:textId="77777777" w:rsidR="009E5FD3" w:rsidRPr="00B5539A" w:rsidRDefault="009E5FD3" w:rsidP="009E5FD3">
                                  <w:pPr>
                                    <w:jc w:val="center"/>
                                    <w:rPr>
                                      <w:rFonts w:ascii="Arial" w:hAnsi="Arial" w:cs="Arial"/>
                                      <w:color w:val="000000" w:themeColor="text1"/>
                                      <w:sz w:val="16"/>
                                      <w:szCs w:val="16"/>
                                    </w:rPr>
                                  </w:pPr>
                                  <w:r w:rsidRPr="00B5539A">
                                    <w:rPr>
                                      <w:rFonts w:ascii="Arial" w:hAnsi="Arial" w:cs="Arial"/>
                                      <w:color w:val="000000" w:themeColor="text1"/>
                                      <w:sz w:val="16"/>
                                      <w:szCs w:val="16"/>
                                    </w:rPr>
                                    <w:t>NCM3 in year taken, if not taken prior to grade nine</w:t>
                                  </w:r>
                                </w:p>
                                <w:p w14:paraId="52329D6E" w14:textId="77777777" w:rsidR="009E5FD3" w:rsidRDefault="009E5FD3" w:rsidP="009E5FD3">
                                  <w:pPr>
                                    <w:jc w:val="center"/>
                                  </w:pPr>
                                </w:p>
                                <w:p w14:paraId="7ACE5DAC" w14:textId="77777777" w:rsidR="009E5FD3" w:rsidRDefault="009E5FD3" w:rsidP="009E5F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A7352" id="Arrow: Left-Right 1864114407" o:spid="_x0000_s1058" type="#_x0000_t69" alt="&quot;&quot;" style="position:absolute;margin-left:-135.2pt;margin-top:-.4pt;width:203.9pt;height:41.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" adj="2185" fillcolor="#ed7d31" strokecolor="windowText" strokeweight="1pt">
                      <v:textbox>
                        <w:txbxContent>
                          <w:p w14:paraId="271B0243" w14:textId="77777777" w:rsidR="009E5FD3" w:rsidRPr="00B5539A" w:rsidRDefault="009E5FD3" w:rsidP="009E5FD3">
                            <w:pPr>
                              <w:jc w:val="center"/>
                              <w:rPr>
                                <w:rFonts w:ascii="Arial" w:hAnsi="Arial" w:cs="Arial"/>
                                <w:color w:val="000000" w:themeColor="text1"/>
                                <w:sz w:val="16"/>
                                <w:szCs w:val="16"/>
                              </w:rPr>
                            </w:pPr>
                            <w:r w:rsidRPr="00B5539A">
                              <w:rPr>
                                <w:rFonts w:ascii="Arial" w:hAnsi="Arial" w:cs="Arial"/>
                                <w:color w:val="000000" w:themeColor="text1"/>
                                <w:sz w:val="16"/>
                                <w:szCs w:val="16"/>
                              </w:rPr>
                              <w:t>NCM3 in year taken, if not taken prior to grade nine</w:t>
                            </w:r>
                          </w:p>
                          <w:p w14:paraId="52329D6E" w14:textId="77777777" w:rsidR="009E5FD3" w:rsidRDefault="009E5FD3" w:rsidP="009E5FD3">
                            <w:pPr>
                              <w:jc w:val="center"/>
                            </w:pPr>
                          </w:p>
                          <w:p w14:paraId="7ACE5DAC" w14:textId="77777777" w:rsidR="009E5FD3" w:rsidRDefault="009E5FD3" w:rsidP="009E5FD3">
                            <w:pPr>
                              <w:jc w:val="center"/>
                            </w:pPr>
                          </w:p>
                        </w:txbxContent>
                      </v:textbox>
                    </v:shape>
                  </w:pict>
                </mc:Fallback>
              </mc:AlternateContent>
            </w:r>
            <w:r w:rsidRPr="001427AF">
              <w:rPr>
                <w:rFonts w:ascii="Arial" w:hAnsi="Arial" w:cs="Arial"/>
                <w:noProof/>
                <w:color w:val="auto"/>
                <w:szCs w:val="24"/>
              </w:rPr>
              <mc:AlternateContent>
                <mc:Choice Requires="wps">
                  <w:drawing>
                    <wp:anchor distT="0" distB="0" distL="114300" distR="114300" simplePos="0" relativeHeight="251658273" behindDoc="0" locked="0" layoutInCell="1" allowOverlap="1" wp14:anchorId="21686E87" wp14:editId="4322EE61">
                      <wp:simplePos x="0" y="0"/>
                      <wp:positionH relativeFrom="column">
                        <wp:posOffset>83820</wp:posOffset>
                      </wp:positionH>
                      <wp:positionV relativeFrom="paragraph">
                        <wp:posOffset>1005205</wp:posOffset>
                      </wp:positionV>
                      <wp:extent cx="704850" cy="264795"/>
                      <wp:effectExtent l="0" t="0" r="19050" b="20955"/>
                      <wp:wrapSquare wrapText="bothSides"/>
                      <wp:docPr id="1271674058" name="Rectangle 12716740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850" cy="264795"/>
                              </a:xfrm>
                              <a:prstGeom prst="rect">
                                <a:avLst/>
                              </a:prstGeom>
                              <a:solidFill>
                                <a:srgbClr val="4472C4"/>
                              </a:solidFill>
                              <a:ln w="12700" cap="flat" cmpd="sng" algn="ctr">
                                <a:solidFill>
                                  <a:sysClr val="windowText" lastClr="000000"/>
                                </a:solidFill>
                                <a:prstDash val="solid"/>
                                <a:miter lim="800000"/>
                              </a:ln>
                              <a:effectLst/>
                            </wps:spPr>
                            <wps:txbx>
                              <w:txbxContent>
                                <w:p w14:paraId="59EC9215" w14:textId="77777777" w:rsidR="009E5FD3" w:rsidRPr="00B5539A" w:rsidRDefault="009E5FD3" w:rsidP="009E5FD3">
                                  <w:pPr>
                                    <w:jc w:val="center"/>
                                    <w:rPr>
                                      <w:rFonts w:ascii="Arial" w:hAnsi="Arial" w:cs="Arial"/>
                                      <w:color w:val="FFFFFF" w:themeColor="background1"/>
                                      <w:sz w:val="20"/>
                                    </w:rPr>
                                  </w:pPr>
                                  <w:r w:rsidRPr="00B5539A">
                                    <w:rPr>
                                      <w:rFonts w:ascii="Arial" w:hAnsi="Arial" w:cs="Arial"/>
                                      <w:color w:val="FFFFFF" w:themeColor="background1"/>
                                      <w:sz w:val="20"/>
                                    </w:rPr>
                                    <w:t>NCM3B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86E87" id="Rectangle 1271674058" o:spid="_x0000_s1059" alt="&quot;&quot;" style="position:absolute;margin-left:6.6pt;margin-top:79.15pt;width:55.5pt;height:20.8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" fillcolor="#4472c4" strokecolor="windowText" strokeweight="1pt">
                      <v:textbox>
                        <w:txbxContent>
                          <w:p w14:paraId="59EC9215" w14:textId="77777777" w:rsidR="009E5FD3" w:rsidRPr="00B5539A" w:rsidRDefault="009E5FD3" w:rsidP="009E5FD3">
                            <w:pPr>
                              <w:jc w:val="center"/>
                              <w:rPr>
                                <w:rFonts w:ascii="Arial" w:hAnsi="Arial" w:cs="Arial"/>
                                <w:color w:val="FFFFFF" w:themeColor="background1"/>
                                <w:sz w:val="20"/>
                              </w:rPr>
                            </w:pPr>
                            <w:r w:rsidRPr="00B5539A">
                              <w:rPr>
                                <w:rFonts w:ascii="Arial" w:hAnsi="Arial" w:cs="Arial"/>
                                <w:color w:val="FFFFFF" w:themeColor="background1"/>
                                <w:sz w:val="20"/>
                              </w:rPr>
                              <w:t>NCM3B</w:t>
                            </w:r>
                          </w:p>
                        </w:txbxContent>
                      </v:textbox>
                      <w10:wrap type="square"/>
                    </v:rect>
                  </w:pict>
                </mc:Fallback>
              </mc:AlternateContent>
            </w:r>
          </w:p>
        </w:tc>
      </w:tr>
    </w:tbl>
    <w:p w14:paraId="263C479D" w14:textId="77777777" w:rsidR="009E5FD3" w:rsidRPr="001427AF" w:rsidRDefault="009E5FD3" w:rsidP="009E5FD3">
      <w:pPr>
        <w:spacing w:line="240" w:lineRule="auto"/>
        <w:ind w:left="-720"/>
        <w:rPr>
          <w:rFonts w:ascii="Arial" w:hAnsi="Arial" w:cs="Arial"/>
          <w:sz w:val="20"/>
        </w:rPr>
      </w:pPr>
    </w:p>
    <w:p w14:paraId="71940668" w14:textId="77777777" w:rsidR="009E5FD3" w:rsidRPr="001427AF" w:rsidRDefault="009E5FD3" w:rsidP="001514C3">
      <w:pPr>
        <w:pStyle w:val="Heading2"/>
      </w:pPr>
      <w:bookmarkStart w:id="771" w:name="_Toc225405007"/>
      <w:r w:rsidRPr="001427AF">
        <w:t>Students in membership in NC Math 1 in grade 6</w:t>
      </w:r>
      <w:bookmarkEnd w:id="771"/>
      <w:r w:rsidRPr="001427AF">
        <w:t xml:space="preserve"> </w:t>
      </w:r>
    </w:p>
    <w:p w14:paraId="56C6C2B5" w14:textId="77777777" w:rsidR="009E5FD3" w:rsidRPr="001427AF" w:rsidRDefault="009E5FD3" w:rsidP="00CA5853">
      <w:pPr>
        <w:pStyle w:val="Default"/>
        <w:numPr>
          <w:ilvl w:val="0"/>
          <w:numId w:val="156"/>
        </w:numPr>
        <w:rPr>
          <w:rFonts w:ascii="Arial" w:hAnsi="Arial" w:cs="Arial"/>
        </w:rPr>
      </w:pPr>
      <w:r w:rsidRPr="001427AF">
        <w:rPr>
          <w:rFonts w:ascii="Arial" w:hAnsi="Arial" w:cs="Arial"/>
        </w:rPr>
        <w:t>EOG grade 6- Test is included as the mathematics proficiency measure (SPG) in the year the test is taken (grade 6). Accountability growth is included in the tested year (grade 6). The test is used to determine 95% participation rates and long-term goals (grade 6).</w:t>
      </w:r>
    </w:p>
    <w:p w14:paraId="22288E92" w14:textId="77777777" w:rsidR="009E5FD3" w:rsidRPr="001427AF" w:rsidRDefault="009E5FD3" w:rsidP="00CA5853">
      <w:pPr>
        <w:pStyle w:val="Default"/>
        <w:numPr>
          <w:ilvl w:val="0"/>
          <w:numId w:val="156"/>
        </w:numPr>
        <w:rPr>
          <w:rFonts w:ascii="Arial" w:hAnsi="Arial" w:cs="Arial"/>
        </w:rPr>
      </w:pPr>
      <w:r w:rsidRPr="001427AF">
        <w:rPr>
          <w:rFonts w:ascii="Arial" w:hAnsi="Arial" w:cs="Arial"/>
        </w:rPr>
        <w:t>EOG grade 7- Test is included as the mathematics proficiency measure (SPG) in the year the test is taken (grade 7). Accountability growth is included in the tested year (grade 7). The test is used to determine 95% participation rates and long-term goals (grade 7).</w:t>
      </w:r>
    </w:p>
    <w:p w14:paraId="08F23156" w14:textId="01401ECE" w:rsidR="009E5FD3" w:rsidRPr="001427AF" w:rsidRDefault="009E5FD3" w:rsidP="00CA5853">
      <w:pPr>
        <w:pStyle w:val="Default"/>
        <w:numPr>
          <w:ilvl w:val="0"/>
          <w:numId w:val="156"/>
        </w:numPr>
        <w:rPr>
          <w:rFonts w:ascii="Arial" w:hAnsi="Arial" w:cs="Arial"/>
        </w:rPr>
      </w:pPr>
      <w:r w:rsidRPr="001427AF">
        <w:rPr>
          <w:rFonts w:ascii="Arial" w:hAnsi="Arial" w:cs="Arial"/>
        </w:rPr>
        <w:t xml:space="preserve">NC Math 1- Test taken but is not used in current year (grade 6) mathematics proficiency measure (SPG). Test used in current </w:t>
      </w:r>
      <w:r w:rsidR="00113E2A" w:rsidRPr="001427AF">
        <w:rPr>
          <w:rFonts w:ascii="Arial" w:hAnsi="Arial" w:cs="Arial"/>
        </w:rPr>
        <w:t>year’s</w:t>
      </w:r>
      <w:r w:rsidRPr="001427AF">
        <w:rPr>
          <w:rFonts w:ascii="Arial" w:hAnsi="Arial" w:cs="Arial"/>
        </w:rPr>
        <w:t xml:space="preserve"> accountability growth (grade 6). The test is included as the mathematics grade 8 proficiency measure (SPG), when the student is in grade 8. Accountability growth is included in the tested year (grade 6), not the </w:t>
      </w:r>
      <w:proofErr w:type="gramStart"/>
      <w:r w:rsidRPr="001427AF">
        <w:rPr>
          <w:rFonts w:ascii="Arial" w:hAnsi="Arial" w:cs="Arial"/>
        </w:rPr>
        <w:t>banked</w:t>
      </w:r>
      <w:proofErr w:type="gramEnd"/>
      <w:r w:rsidRPr="001427AF">
        <w:rPr>
          <w:rFonts w:ascii="Arial" w:hAnsi="Arial" w:cs="Arial"/>
        </w:rPr>
        <w:t xml:space="preserve"> year. The test is used to determine 95% participation rates and long-term goals (grade 8). </w:t>
      </w:r>
    </w:p>
    <w:p w14:paraId="2450DF97" w14:textId="3B3B423F" w:rsidR="00B35386" w:rsidRPr="0089080A" w:rsidRDefault="009E5FD3" w:rsidP="00CA5853">
      <w:pPr>
        <w:pStyle w:val="Default"/>
        <w:numPr>
          <w:ilvl w:val="0"/>
          <w:numId w:val="156"/>
        </w:numPr>
        <w:rPr>
          <w:rFonts w:ascii="Arial" w:hAnsi="Arial" w:cs="Arial"/>
        </w:rPr>
      </w:pPr>
      <w:r w:rsidRPr="0089080A">
        <w:rPr>
          <w:rFonts w:ascii="Arial" w:hAnsi="Arial" w:cs="Arial"/>
        </w:rPr>
        <w:t xml:space="preserve">NC Math 3- If </w:t>
      </w:r>
      <w:r w:rsidR="0061626C" w:rsidRPr="0089080A">
        <w:rPr>
          <w:rFonts w:ascii="Arial" w:hAnsi="Arial" w:cs="Arial"/>
        </w:rPr>
        <w:t>a student</w:t>
      </w:r>
      <w:r w:rsidRPr="0089080A">
        <w:rPr>
          <w:rFonts w:ascii="Arial" w:hAnsi="Arial" w:cs="Arial"/>
        </w:rPr>
        <w:t xml:space="preserve"> is in NC Math 3 membership in grade 8, the test taken is not used in </w:t>
      </w:r>
      <w:r w:rsidR="00113E2A" w:rsidRPr="0089080A">
        <w:rPr>
          <w:rFonts w:ascii="Arial" w:hAnsi="Arial" w:cs="Arial"/>
        </w:rPr>
        <w:t>the current</w:t>
      </w:r>
      <w:r w:rsidRPr="0089080A">
        <w:rPr>
          <w:rFonts w:ascii="Arial" w:hAnsi="Arial" w:cs="Arial"/>
        </w:rPr>
        <w:t xml:space="preserve"> year mathematics proficiency measure (SPG). The test is used in </w:t>
      </w:r>
      <w:r w:rsidR="00113E2A" w:rsidRPr="0089080A">
        <w:rPr>
          <w:rFonts w:ascii="Arial" w:hAnsi="Arial" w:cs="Arial"/>
        </w:rPr>
        <w:t>the current</w:t>
      </w:r>
      <w:r w:rsidRPr="0089080A">
        <w:rPr>
          <w:rFonts w:ascii="Arial" w:hAnsi="Arial" w:cs="Arial"/>
        </w:rPr>
        <w:t xml:space="preserve"> </w:t>
      </w:r>
      <w:r w:rsidR="0061626C" w:rsidRPr="0089080A">
        <w:rPr>
          <w:rFonts w:ascii="Arial" w:hAnsi="Arial" w:cs="Arial"/>
        </w:rPr>
        <w:t>year’s</w:t>
      </w:r>
      <w:r w:rsidRPr="0089080A">
        <w:rPr>
          <w:rFonts w:ascii="Arial" w:hAnsi="Arial" w:cs="Arial"/>
        </w:rPr>
        <w:t xml:space="preserve"> accountability growth (grade 8). The test is included as the mathematics proficiency measure (SPG) in the year taken if not taken prior to grade 9. Accountability growth is included in the tested year (grades 9-11), not the banked year. Test is included as the mathematics proficiency measure (SPG) in grade 9 if NC Math 3 was taken prior to grade 9. Accountability growth is included in the tested year (grades 9-11), not the banked year. The test is used to determine 95% participation rates and long-term goals (grade 11). </w:t>
      </w:r>
    </w:p>
    <w:p w14:paraId="4CC6E29C" w14:textId="077208FB" w:rsidR="008D1463" w:rsidRPr="001427AF" w:rsidRDefault="00B35386" w:rsidP="00D32024">
      <w:pPr>
        <w:pStyle w:val="Heading1"/>
      </w:pPr>
      <w:bookmarkStart w:id="772" w:name="_Toc225405008"/>
      <w:r w:rsidRPr="001427AF">
        <w:lastRenderedPageBreak/>
        <w:t>F</w:t>
      </w:r>
      <w:r w:rsidR="0070004F" w:rsidRPr="001427AF">
        <w:t>ed</w:t>
      </w:r>
      <w:r w:rsidR="0060390B" w:rsidRPr="001427AF">
        <w:t>eral</w:t>
      </w:r>
      <w:r w:rsidR="00AB6251" w:rsidRPr="001427AF">
        <w:t xml:space="preserve"> and </w:t>
      </w:r>
      <w:bookmarkStart w:id="773" w:name="Section10"/>
      <w:r w:rsidR="0060390B" w:rsidRPr="001427AF">
        <w:t>State School Designations</w:t>
      </w:r>
      <w:bookmarkEnd w:id="721"/>
      <w:bookmarkEnd w:id="722"/>
      <w:bookmarkEnd w:id="723"/>
      <w:bookmarkEnd w:id="772"/>
      <w:r w:rsidR="007F4424" w:rsidRPr="001427AF">
        <w:fldChar w:fldCharType="begin"/>
      </w:r>
      <w:r w:rsidR="007F4424" w:rsidRPr="001427AF">
        <w:instrText xml:space="preserve"> XE "Identification of CSI and TSI Schools" </w:instrText>
      </w:r>
      <w:r w:rsidR="007F4424" w:rsidRPr="001427AF">
        <w:fldChar w:fldCharType="end"/>
      </w:r>
    </w:p>
    <w:bookmarkEnd w:id="773"/>
    <w:p w14:paraId="77F5B793" w14:textId="77777777" w:rsidR="0095387C" w:rsidRPr="001427AF" w:rsidRDefault="0095387C" w:rsidP="0095387C">
      <w:pPr>
        <w:pStyle w:val="paragraph"/>
        <w:spacing w:before="0" w:beforeAutospacing="0" w:after="0" w:afterAutospacing="0"/>
        <w:textAlignment w:val="baseline"/>
        <w:rPr>
          <w:rStyle w:val="normaltextrun"/>
          <w:rFonts w:ascii="Arial" w:hAnsi="Arial" w:cs="Arial"/>
        </w:rPr>
      </w:pPr>
    </w:p>
    <w:p w14:paraId="5463E6B4" w14:textId="5A1B6ACD" w:rsidR="00441DCE" w:rsidRPr="001427AF" w:rsidRDefault="00441DCE" w:rsidP="00441DCE">
      <w:pPr>
        <w:spacing w:line="240" w:lineRule="auto"/>
        <w:textAlignment w:val="baseline"/>
        <w:rPr>
          <w:rFonts w:ascii="Arial" w:hAnsi="Arial" w:cs="Arial"/>
          <w:color w:val="auto"/>
          <w:szCs w:val="24"/>
        </w:rPr>
      </w:pPr>
      <w:r w:rsidRPr="001427AF">
        <w:rPr>
          <w:rFonts w:ascii="Arial" w:hAnsi="Arial" w:cs="Arial"/>
          <w:color w:val="auto"/>
          <w:szCs w:val="24"/>
        </w:rPr>
        <w:t>The Office of Accountability and Testing develops Comprehensive Support and Improvement (CSI</w:t>
      </w:r>
      <w:r w:rsidR="00BE490E" w:rsidRPr="001427AF">
        <w:rPr>
          <w:rFonts w:ascii="Arial" w:hAnsi="Arial" w:cs="Arial"/>
          <w:color w:val="auto"/>
          <w:szCs w:val="24"/>
        </w:rPr>
        <w:t>),</w:t>
      </w:r>
      <w:r w:rsidRPr="001427AF">
        <w:rPr>
          <w:rFonts w:ascii="Arial" w:hAnsi="Arial" w:cs="Arial"/>
          <w:color w:val="auto"/>
          <w:szCs w:val="24"/>
        </w:rPr>
        <w:t xml:space="preserve"> and Targeted Support and Improvement (TSI) school designation lists annually. These lists are based on current and future data for the school until the September data correction window closes. Changes that happen throughout the year (school closures) </w:t>
      </w:r>
      <w:r w:rsidR="00A0124B">
        <w:rPr>
          <w:rFonts w:ascii="Arial" w:hAnsi="Arial" w:cs="Arial"/>
          <w:color w:val="auto"/>
          <w:szCs w:val="24"/>
        </w:rPr>
        <w:t>are</w:t>
      </w:r>
      <w:r w:rsidRPr="001427AF">
        <w:rPr>
          <w:rFonts w:ascii="Arial" w:hAnsi="Arial" w:cs="Arial"/>
          <w:color w:val="auto"/>
          <w:szCs w:val="24"/>
        </w:rPr>
        <w:t xml:space="preserve"> updated </w:t>
      </w:r>
      <w:proofErr w:type="gramStart"/>
      <w:r w:rsidR="00760D89">
        <w:rPr>
          <w:rFonts w:ascii="Arial" w:hAnsi="Arial" w:cs="Arial"/>
          <w:color w:val="auto"/>
          <w:szCs w:val="24"/>
        </w:rPr>
        <w:t>o</w:t>
      </w:r>
      <w:r w:rsidRPr="001427AF">
        <w:rPr>
          <w:rFonts w:ascii="Arial" w:hAnsi="Arial" w:cs="Arial"/>
          <w:color w:val="auto"/>
          <w:szCs w:val="24"/>
        </w:rPr>
        <w:t>n</w:t>
      </w:r>
      <w:proofErr w:type="gramEnd"/>
      <w:r w:rsidRPr="001427AF">
        <w:rPr>
          <w:rFonts w:ascii="Arial" w:hAnsi="Arial" w:cs="Arial"/>
          <w:color w:val="auto"/>
          <w:szCs w:val="24"/>
        </w:rPr>
        <w:t xml:space="preserve"> the next annual report. CSI and TSI designations are defined in the North Carolina ESSA State Plan. </w:t>
      </w:r>
    </w:p>
    <w:p w14:paraId="6FBC4745" w14:textId="77777777" w:rsidR="0081609B" w:rsidRPr="001427AF" w:rsidRDefault="0081609B" w:rsidP="00D254E9">
      <w:pPr>
        <w:spacing w:line="240" w:lineRule="auto"/>
        <w:textAlignment w:val="baseline"/>
        <w:rPr>
          <w:rFonts w:ascii="Arial" w:hAnsi="Arial" w:cs="Arial"/>
          <w:color w:val="auto"/>
          <w:szCs w:val="24"/>
        </w:rPr>
      </w:pPr>
    </w:p>
    <w:p w14:paraId="31B23942" w14:textId="5A9C2147" w:rsidR="00D254E9" w:rsidRPr="001427AF" w:rsidRDefault="00D254E9" w:rsidP="00D254E9">
      <w:pPr>
        <w:spacing w:line="240" w:lineRule="auto"/>
        <w:textAlignment w:val="baseline"/>
        <w:rPr>
          <w:rFonts w:ascii="Arial" w:hAnsi="Arial" w:cs="Arial"/>
          <w:color w:val="auto"/>
          <w:sz w:val="18"/>
          <w:szCs w:val="18"/>
        </w:rPr>
      </w:pPr>
      <w:r w:rsidRPr="001427AF">
        <w:rPr>
          <w:rFonts w:ascii="Arial" w:hAnsi="Arial" w:cs="Arial"/>
          <w:color w:val="auto"/>
          <w:szCs w:val="24"/>
        </w:rPr>
        <w:t xml:space="preserve">There are three categories of CSI schools and two categories of TSI schools. The identification criteria, first year of identification, frequency of identification, exit criteria, and timeline for applying exit criteria for each designation are detailed </w:t>
      </w:r>
      <w:r w:rsidR="006C72A1" w:rsidRPr="001427AF">
        <w:rPr>
          <w:rFonts w:ascii="Arial" w:hAnsi="Arial" w:cs="Arial"/>
          <w:color w:val="auto"/>
          <w:szCs w:val="24"/>
        </w:rPr>
        <w:t>in this section of the guide.</w:t>
      </w:r>
    </w:p>
    <w:p w14:paraId="1D4B6B40" w14:textId="77777777" w:rsidR="00D254E9" w:rsidRPr="001427AF" w:rsidRDefault="00D254E9" w:rsidP="00D254E9">
      <w:pPr>
        <w:spacing w:line="240" w:lineRule="auto"/>
        <w:textAlignment w:val="baseline"/>
        <w:rPr>
          <w:rFonts w:ascii="Arial" w:hAnsi="Arial" w:cs="Arial"/>
          <w:color w:val="auto"/>
          <w:szCs w:val="24"/>
        </w:rPr>
      </w:pPr>
    </w:p>
    <w:p w14:paraId="715E3AA8" w14:textId="2AC7D11B" w:rsidR="00D254E9" w:rsidRPr="001427AF" w:rsidRDefault="00D254E9" w:rsidP="08B3F054">
      <w:pPr>
        <w:spacing w:line="240" w:lineRule="auto"/>
        <w:textAlignment w:val="baseline"/>
        <w:rPr>
          <w:rFonts w:ascii="Arial" w:hAnsi="Arial" w:cs="Arial"/>
          <w:color w:val="auto"/>
        </w:rPr>
      </w:pPr>
      <w:r w:rsidRPr="001427AF">
        <w:rPr>
          <w:rFonts w:ascii="Arial" w:hAnsi="Arial" w:cs="Arial"/>
          <w:color w:val="auto"/>
        </w:rPr>
        <w:t>Note: Due to the COVID-19 pandemic and waivers from accountability for the 2019</w:t>
      </w:r>
      <w:r w:rsidR="006C72A1" w:rsidRPr="001427AF">
        <w:rPr>
          <w:rFonts w:ascii="Arial" w:hAnsi="Arial" w:cs="Arial"/>
          <w:color w:val="auto"/>
        </w:rPr>
        <w:t>–</w:t>
      </w:r>
      <w:r w:rsidRPr="001427AF">
        <w:rPr>
          <w:rFonts w:ascii="Arial" w:hAnsi="Arial" w:cs="Arial"/>
          <w:color w:val="auto"/>
        </w:rPr>
        <w:t>20 and 2020</w:t>
      </w:r>
      <w:r w:rsidR="006C72A1" w:rsidRPr="001427AF">
        <w:rPr>
          <w:rFonts w:ascii="Arial" w:hAnsi="Arial" w:cs="Arial"/>
          <w:color w:val="auto"/>
        </w:rPr>
        <w:t>–</w:t>
      </w:r>
      <w:r w:rsidRPr="001427AF">
        <w:rPr>
          <w:rFonts w:ascii="Arial" w:hAnsi="Arial" w:cs="Arial"/>
          <w:color w:val="auto"/>
        </w:rPr>
        <w:t>21 school years, timelines</w:t>
      </w:r>
      <w:r w:rsidR="006C72A1" w:rsidRPr="001427AF">
        <w:rPr>
          <w:rFonts w:ascii="Arial" w:hAnsi="Arial" w:cs="Arial"/>
          <w:color w:val="auto"/>
        </w:rPr>
        <w:t>,</w:t>
      </w:r>
      <w:r w:rsidRPr="001427AF">
        <w:rPr>
          <w:rFonts w:ascii="Arial" w:hAnsi="Arial" w:cs="Arial"/>
          <w:color w:val="auto"/>
        </w:rPr>
        <w:t xml:space="preserve"> identification</w:t>
      </w:r>
      <w:r w:rsidR="006C72A1" w:rsidRPr="001427AF">
        <w:rPr>
          <w:rFonts w:ascii="Arial" w:hAnsi="Arial" w:cs="Arial"/>
          <w:color w:val="auto"/>
        </w:rPr>
        <w:t>,</w:t>
      </w:r>
      <w:r w:rsidRPr="001427AF">
        <w:rPr>
          <w:rFonts w:ascii="Arial" w:hAnsi="Arial" w:cs="Arial"/>
          <w:color w:val="auto"/>
        </w:rPr>
        <w:t xml:space="preserve"> and exit criteria have been adjusted in accordance with the ESSA Addendum approved by the </w:t>
      </w:r>
      <w:r w:rsidR="006C72A1" w:rsidRPr="001427AF">
        <w:rPr>
          <w:rFonts w:ascii="Arial" w:hAnsi="Arial" w:cs="Arial"/>
          <w:color w:val="auto"/>
        </w:rPr>
        <w:t>US</w:t>
      </w:r>
      <w:r w:rsidR="00CA50DE" w:rsidRPr="001427AF">
        <w:rPr>
          <w:rFonts w:ascii="Arial" w:hAnsi="Arial" w:cs="Arial"/>
          <w:color w:val="auto"/>
        </w:rPr>
        <w:t>ED</w:t>
      </w:r>
      <w:r w:rsidRPr="001427AF">
        <w:rPr>
          <w:rFonts w:ascii="Arial" w:hAnsi="Arial" w:cs="Arial"/>
          <w:color w:val="auto"/>
        </w:rPr>
        <w:t xml:space="preserve"> in April 2022.</w:t>
      </w:r>
      <w:r w:rsidR="006A483C" w:rsidRPr="001427AF">
        <w:rPr>
          <w:rFonts w:ascii="Arial" w:hAnsi="Arial" w:cs="Arial"/>
          <w:color w:val="auto"/>
        </w:rPr>
        <w:t xml:space="preserve"> In addition, an amendment to the ESSA State Plan was approved in May 2024. This amendment adjusted the identification timeline of all CSI designations as well as TSI–Additional Targeted Support to the start of the 2025–26 school year.</w:t>
      </w:r>
    </w:p>
    <w:p w14:paraId="46FD3904" w14:textId="77777777" w:rsidR="00D254E9" w:rsidRPr="001427AF" w:rsidRDefault="00D254E9" w:rsidP="00D254E9">
      <w:pPr>
        <w:spacing w:line="240" w:lineRule="auto"/>
        <w:textAlignment w:val="baseline"/>
        <w:rPr>
          <w:rFonts w:ascii="Arial" w:hAnsi="Arial" w:cs="Arial"/>
          <w:color w:val="auto"/>
          <w:sz w:val="18"/>
          <w:szCs w:val="18"/>
        </w:rPr>
      </w:pPr>
      <w:r w:rsidRPr="001427AF">
        <w:rPr>
          <w:rFonts w:ascii="Arial" w:hAnsi="Arial" w:cs="Arial"/>
          <w:color w:val="auto"/>
          <w:szCs w:val="24"/>
        </w:rPr>
        <w:t> </w:t>
      </w:r>
    </w:p>
    <w:p w14:paraId="7B811D33" w14:textId="23F9873C" w:rsidR="00D254E9" w:rsidRPr="001427AF" w:rsidRDefault="00D254E9" w:rsidP="00D254E9">
      <w:pPr>
        <w:spacing w:line="240" w:lineRule="auto"/>
        <w:textAlignment w:val="baseline"/>
        <w:rPr>
          <w:rFonts w:ascii="Arial" w:hAnsi="Arial" w:cs="Arial"/>
          <w:color w:val="auto"/>
          <w:sz w:val="18"/>
          <w:szCs w:val="18"/>
        </w:rPr>
      </w:pPr>
      <w:r w:rsidRPr="001427AF">
        <w:rPr>
          <w:rFonts w:ascii="Arial" w:hAnsi="Arial" w:cs="Arial"/>
          <w:color w:val="auto"/>
          <w:szCs w:val="24"/>
        </w:rPr>
        <w:t xml:space="preserve">The categories of each </w:t>
      </w:r>
      <w:r w:rsidR="005F2339" w:rsidRPr="001427AF">
        <w:rPr>
          <w:rFonts w:ascii="Arial" w:hAnsi="Arial" w:cs="Arial"/>
          <w:color w:val="auto"/>
          <w:szCs w:val="24"/>
        </w:rPr>
        <w:t xml:space="preserve">federal </w:t>
      </w:r>
      <w:r w:rsidRPr="001427AF">
        <w:rPr>
          <w:rFonts w:ascii="Arial" w:hAnsi="Arial" w:cs="Arial"/>
          <w:color w:val="auto"/>
          <w:szCs w:val="24"/>
        </w:rPr>
        <w:t>designation are</w:t>
      </w:r>
      <w:r w:rsidR="006C72A1" w:rsidRPr="001427AF">
        <w:rPr>
          <w:rFonts w:ascii="Arial" w:hAnsi="Arial" w:cs="Arial"/>
          <w:color w:val="auto"/>
          <w:szCs w:val="24"/>
        </w:rPr>
        <w:t xml:space="preserve"> as follows</w:t>
      </w:r>
      <w:r w:rsidRPr="001427AF">
        <w:rPr>
          <w:rFonts w:ascii="Arial" w:hAnsi="Arial" w:cs="Arial"/>
          <w:color w:val="auto"/>
          <w:szCs w:val="24"/>
        </w:rPr>
        <w:t>: </w:t>
      </w:r>
    </w:p>
    <w:p w14:paraId="234A2A0F" w14:textId="77777777" w:rsidR="00D254E9" w:rsidRPr="001427AF" w:rsidRDefault="00D254E9" w:rsidP="00D254E9">
      <w:pPr>
        <w:spacing w:line="240" w:lineRule="auto"/>
        <w:textAlignment w:val="baseline"/>
        <w:rPr>
          <w:rFonts w:ascii="Arial" w:hAnsi="Arial" w:cs="Arial"/>
          <w:color w:val="auto"/>
          <w:sz w:val="18"/>
          <w:szCs w:val="18"/>
        </w:rPr>
      </w:pPr>
      <w:r w:rsidRPr="001427AF">
        <w:rPr>
          <w:rFonts w:ascii="Arial" w:hAnsi="Arial" w:cs="Arial"/>
          <w:color w:val="auto"/>
          <w:szCs w:val="24"/>
        </w:rPr>
        <w:t> </w:t>
      </w:r>
    </w:p>
    <w:p w14:paraId="6F3C5717" w14:textId="38536699" w:rsidR="00D254E9" w:rsidRPr="001427AF" w:rsidRDefault="00D254E9" w:rsidP="00D254E9">
      <w:pPr>
        <w:spacing w:line="240" w:lineRule="auto"/>
        <w:textAlignment w:val="baseline"/>
        <w:rPr>
          <w:rFonts w:ascii="Arial" w:hAnsi="Arial" w:cs="Arial"/>
          <w:color w:val="auto"/>
          <w:sz w:val="18"/>
          <w:szCs w:val="18"/>
        </w:rPr>
      </w:pPr>
      <w:r w:rsidRPr="001427AF">
        <w:rPr>
          <w:rFonts w:ascii="Arial" w:hAnsi="Arial" w:cs="Arial"/>
          <w:b/>
          <w:bCs/>
          <w:color w:val="auto"/>
          <w:szCs w:val="24"/>
        </w:rPr>
        <w:t>Comprehensive Support and Improvement Schools</w:t>
      </w:r>
      <w:r w:rsidR="006C72A1" w:rsidRPr="001427AF">
        <w:rPr>
          <w:rFonts w:ascii="Arial" w:hAnsi="Arial" w:cs="Arial"/>
          <w:b/>
          <w:bCs/>
          <w:color w:val="auto"/>
          <w:szCs w:val="24"/>
        </w:rPr>
        <w:t xml:space="preserve"> (CSI)</w:t>
      </w:r>
      <w:r w:rsidRPr="001427AF">
        <w:rPr>
          <w:rFonts w:ascii="Arial" w:hAnsi="Arial" w:cs="Arial"/>
          <w:color w:val="auto"/>
          <w:szCs w:val="24"/>
        </w:rPr>
        <w:t> </w:t>
      </w:r>
    </w:p>
    <w:p w14:paraId="78E5FECB" w14:textId="7450061C" w:rsidR="00D254E9" w:rsidRPr="0084301E" w:rsidRDefault="00D254E9" w:rsidP="00CA5853">
      <w:pPr>
        <w:pStyle w:val="ListParagraph"/>
        <w:numPr>
          <w:ilvl w:val="0"/>
          <w:numId w:val="140"/>
        </w:numPr>
        <w:spacing w:line="240" w:lineRule="auto"/>
        <w:ind w:left="360"/>
        <w:textAlignment w:val="baseline"/>
        <w:rPr>
          <w:rFonts w:ascii="Arial" w:hAnsi="Arial" w:cs="Arial"/>
          <w:color w:val="auto"/>
          <w:sz w:val="18"/>
          <w:szCs w:val="18"/>
        </w:rPr>
      </w:pPr>
      <w:r w:rsidRPr="0084301E">
        <w:rPr>
          <w:rFonts w:ascii="Arial" w:hAnsi="Arial" w:cs="Arial"/>
          <w:b/>
          <w:bCs/>
          <w:color w:val="auto"/>
          <w:szCs w:val="24"/>
        </w:rPr>
        <w:t>CSI</w:t>
      </w:r>
      <w:r w:rsidR="006C72A1" w:rsidRPr="0084301E">
        <w:rPr>
          <w:rFonts w:ascii="Arial" w:hAnsi="Arial" w:cs="Arial"/>
          <w:b/>
          <w:bCs/>
          <w:color w:val="auto"/>
          <w:szCs w:val="24"/>
        </w:rPr>
        <w:t>-</w:t>
      </w:r>
      <w:r w:rsidRPr="0084301E">
        <w:rPr>
          <w:rFonts w:ascii="Arial" w:hAnsi="Arial" w:cs="Arial"/>
          <w:b/>
          <w:bCs/>
          <w:color w:val="auto"/>
          <w:szCs w:val="24"/>
        </w:rPr>
        <w:t>Low Performing (CSI-LP)</w:t>
      </w:r>
      <w:r w:rsidRPr="0084301E">
        <w:rPr>
          <w:rFonts w:ascii="Arial" w:hAnsi="Arial" w:cs="Arial"/>
          <w:color w:val="auto"/>
          <w:szCs w:val="24"/>
        </w:rPr>
        <w:t> </w:t>
      </w:r>
    </w:p>
    <w:p w14:paraId="2A6CB240" w14:textId="3D07494C" w:rsidR="00D254E9" w:rsidRPr="0084301E" w:rsidRDefault="00D254E9" w:rsidP="00CA5853">
      <w:pPr>
        <w:pStyle w:val="ListParagraph"/>
        <w:numPr>
          <w:ilvl w:val="0"/>
          <w:numId w:val="140"/>
        </w:numPr>
        <w:spacing w:line="240" w:lineRule="auto"/>
        <w:ind w:left="360"/>
        <w:textAlignment w:val="baseline"/>
        <w:rPr>
          <w:rFonts w:ascii="Arial" w:hAnsi="Arial" w:cs="Arial"/>
          <w:color w:val="auto"/>
          <w:sz w:val="18"/>
          <w:szCs w:val="18"/>
        </w:rPr>
      </w:pPr>
      <w:r w:rsidRPr="0084301E">
        <w:rPr>
          <w:rFonts w:ascii="Arial" w:hAnsi="Arial" w:cs="Arial"/>
          <w:b/>
          <w:bCs/>
          <w:color w:val="auto"/>
          <w:szCs w:val="24"/>
        </w:rPr>
        <w:t>CSI</w:t>
      </w:r>
      <w:r w:rsidR="006C72A1" w:rsidRPr="0084301E">
        <w:rPr>
          <w:rFonts w:ascii="Arial" w:hAnsi="Arial" w:cs="Arial"/>
          <w:b/>
          <w:bCs/>
          <w:color w:val="auto"/>
          <w:szCs w:val="24"/>
        </w:rPr>
        <w:t>-</w:t>
      </w:r>
      <w:r w:rsidRPr="0084301E">
        <w:rPr>
          <w:rFonts w:ascii="Arial" w:hAnsi="Arial" w:cs="Arial"/>
          <w:b/>
          <w:bCs/>
          <w:color w:val="auto"/>
          <w:szCs w:val="24"/>
        </w:rPr>
        <w:t>Low Graduation Rate (CSI-LG)</w:t>
      </w:r>
      <w:r w:rsidRPr="0084301E">
        <w:rPr>
          <w:rFonts w:ascii="Arial" w:hAnsi="Arial" w:cs="Arial"/>
          <w:color w:val="auto"/>
          <w:szCs w:val="24"/>
        </w:rPr>
        <w:t> </w:t>
      </w:r>
    </w:p>
    <w:p w14:paraId="26FF0882" w14:textId="5B93BC74" w:rsidR="00D254E9" w:rsidRPr="0084301E" w:rsidRDefault="00D254E9" w:rsidP="00CA5853">
      <w:pPr>
        <w:pStyle w:val="ListParagraph"/>
        <w:numPr>
          <w:ilvl w:val="0"/>
          <w:numId w:val="140"/>
        </w:numPr>
        <w:spacing w:line="240" w:lineRule="auto"/>
        <w:ind w:left="360"/>
        <w:textAlignment w:val="baseline"/>
        <w:rPr>
          <w:rFonts w:ascii="Arial" w:hAnsi="Arial" w:cs="Arial"/>
          <w:color w:val="auto"/>
          <w:sz w:val="18"/>
          <w:szCs w:val="18"/>
        </w:rPr>
      </w:pPr>
      <w:r w:rsidRPr="0084301E">
        <w:rPr>
          <w:rFonts w:ascii="Arial" w:hAnsi="Arial" w:cs="Arial"/>
          <w:b/>
          <w:bCs/>
          <w:color w:val="auto"/>
          <w:szCs w:val="24"/>
        </w:rPr>
        <w:t>CSI</w:t>
      </w:r>
      <w:r w:rsidR="006C72A1" w:rsidRPr="0084301E">
        <w:rPr>
          <w:rFonts w:ascii="Arial" w:hAnsi="Arial" w:cs="Arial"/>
          <w:b/>
          <w:bCs/>
          <w:color w:val="auto"/>
          <w:szCs w:val="24"/>
        </w:rPr>
        <w:t>-</w:t>
      </w:r>
      <w:r w:rsidRPr="0084301E">
        <w:rPr>
          <w:rFonts w:ascii="Arial" w:hAnsi="Arial" w:cs="Arial"/>
          <w:b/>
          <w:bCs/>
          <w:color w:val="auto"/>
          <w:szCs w:val="24"/>
        </w:rPr>
        <w:t>Additional Targeted Support Not Exiting Such Status (CSI-AT)</w:t>
      </w:r>
      <w:r w:rsidRPr="0084301E">
        <w:rPr>
          <w:rFonts w:ascii="Arial" w:hAnsi="Arial" w:cs="Arial"/>
          <w:color w:val="auto"/>
          <w:szCs w:val="24"/>
        </w:rPr>
        <w:t> </w:t>
      </w:r>
    </w:p>
    <w:p w14:paraId="20F6331A" w14:textId="5A4FD981" w:rsidR="00D254E9" w:rsidRPr="001427AF" w:rsidRDefault="00D254E9" w:rsidP="0084301E">
      <w:pPr>
        <w:spacing w:line="240" w:lineRule="auto"/>
        <w:ind w:firstLine="790"/>
        <w:textAlignment w:val="baseline"/>
        <w:rPr>
          <w:rFonts w:ascii="Arial" w:hAnsi="Arial" w:cs="Arial"/>
          <w:color w:val="auto"/>
          <w:sz w:val="18"/>
          <w:szCs w:val="18"/>
        </w:rPr>
      </w:pPr>
    </w:p>
    <w:p w14:paraId="2013380D" w14:textId="77777777" w:rsidR="00D254E9" w:rsidRPr="0084301E" w:rsidRDefault="00D254E9" w:rsidP="00553378">
      <w:pPr>
        <w:spacing w:line="240" w:lineRule="auto"/>
        <w:textAlignment w:val="baseline"/>
        <w:rPr>
          <w:rFonts w:ascii="Arial" w:hAnsi="Arial" w:cs="Arial"/>
          <w:color w:val="auto"/>
          <w:sz w:val="18"/>
          <w:szCs w:val="18"/>
        </w:rPr>
      </w:pPr>
      <w:r w:rsidRPr="0084301E">
        <w:rPr>
          <w:rFonts w:ascii="Arial" w:hAnsi="Arial" w:cs="Arial"/>
          <w:b/>
          <w:bCs/>
          <w:color w:val="auto"/>
          <w:szCs w:val="24"/>
        </w:rPr>
        <w:t>Targeted Support and Improvement Schools</w:t>
      </w:r>
      <w:r w:rsidRPr="0084301E">
        <w:rPr>
          <w:rFonts w:ascii="Arial" w:hAnsi="Arial" w:cs="Arial"/>
          <w:color w:val="auto"/>
          <w:szCs w:val="24"/>
        </w:rPr>
        <w:t> </w:t>
      </w:r>
    </w:p>
    <w:p w14:paraId="1C5A08C4" w14:textId="4DB191CB" w:rsidR="00D254E9" w:rsidRPr="0084301E" w:rsidRDefault="00D254E9" w:rsidP="00CA5853">
      <w:pPr>
        <w:pStyle w:val="ListParagraph"/>
        <w:numPr>
          <w:ilvl w:val="0"/>
          <w:numId w:val="140"/>
        </w:numPr>
        <w:spacing w:line="240" w:lineRule="auto"/>
        <w:ind w:left="360"/>
        <w:textAlignment w:val="baseline"/>
        <w:rPr>
          <w:rFonts w:ascii="Arial" w:hAnsi="Arial" w:cs="Arial"/>
          <w:color w:val="auto"/>
          <w:sz w:val="18"/>
          <w:szCs w:val="18"/>
        </w:rPr>
      </w:pPr>
      <w:r w:rsidRPr="0084301E">
        <w:rPr>
          <w:rFonts w:ascii="Arial" w:hAnsi="Arial" w:cs="Arial"/>
          <w:b/>
          <w:bCs/>
          <w:color w:val="auto"/>
          <w:szCs w:val="24"/>
        </w:rPr>
        <w:t>TSI</w:t>
      </w:r>
      <w:r w:rsidR="006C72A1" w:rsidRPr="0084301E">
        <w:rPr>
          <w:rFonts w:ascii="Arial" w:hAnsi="Arial" w:cs="Arial"/>
          <w:b/>
          <w:bCs/>
          <w:color w:val="auto"/>
          <w:szCs w:val="24"/>
        </w:rPr>
        <w:t>-</w:t>
      </w:r>
      <w:r w:rsidRPr="0084301E">
        <w:rPr>
          <w:rFonts w:ascii="Arial" w:hAnsi="Arial" w:cs="Arial"/>
          <w:b/>
          <w:bCs/>
          <w:color w:val="auto"/>
          <w:szCs w:val="24"/>
        </w:rPr>
        <w:t>Consistently Underperforming (TSI-CU)</w:t>
      </w:r>
      <w:r w:rsidRPr="0084301E">
        <w:rPr>
          <w:rFonts w:ascii="Arial" w:hAnsi="Arial" w:cs="Arial"/>
          <w:color w:val="auto"/>
          <w:szCs w:val="24"/>
        </w:rPr>
        <w:t> </w:t>
      </w:r>
    </w:p>
    <w:p w14:paraId="450F09F7" w14:textId="303308EA" w:rsidR="00D254E9" w:rsidRPr="0084301E" w:rsidRDefault="00D254E9" w:rsidP="00CA5853">
      <w:pPr>
        <w:pStyle w:val="ListParagraph"/>
        <w:numPr>
          <w:ilvl w:val="0"/>
          <w:numId w:val="140"/>
        </w:numPr>
        <w:spacing w:line="240" w:lineRule="auto"/>
        <w:ind w:left="360"/>
        <w:textAlignment w:val="baseline"/>
        <w:rPr>
          <w:rFonts w:ascii="Arial" w:hAnsi="Arial" w:cs="Arial"/>
          <w:b/>
          <w:bCs/>
          <w:color w:val="auto"/>
          <w:szCs w:val="24"/>
        </w:rPr>
      </w:pPr>
      <w:r w:rsidRPr="0084301E">
        <w:rPr>
          <w:rFonts w:ascii="Arial" w:hAnsi="Arial" w:cs="Arial"/>
          <w:b/>
          <w:bCs/>
          <w:color w:val="auto"/>
          <w:szCs w:val="24"/>
        </w:rPr>
        <w:t>TSI</w:t>
      </w:r>
      <w:r w:rsidR="006C72A1" w:rsidRPr="0084301E">
        <w:rPr>
          <w:rFonts w:ascii="Arial" w:hAnsi="Arial" w:cs="Arial"/>
          <w:b/>
          <w:bCs/>
          <w:color w:val="auto"/>
          <w:szCs w:val="24"/>
        </w:rPr>
        <w:t>-</w:t>
      </w:r>
      <w:r w:rsidRPr="0084301E">
        <w:rPr>
          <w:rFonts w:ascii="Arial" w:hAnsi="Arial" w:cs="Arial"/>
          <w:b/>
          <w:bCs/>
          <w:color w:val="auto"/>
          <w:szCs w:val="24"/>
        </w:rPr>
        <w:t>Additional Targeted Support (TSI-AT) </w:t>
      </w:r>
    </w:p>
    <w:p w14:paraId="29BF4974" w14:textId="77777777" w:rsidR="007142A6" w:rsidRPr="001427AF" w:rsidRDefault="007142A6" w:rsidP="00D254E9">
      <w:pPr>
        <w:spacing w:line="240" w:lineRule="auto"/>
        <w:ind w:firstLine="720"/>
        <w:textAlignment w:val="baseline"/>
        <w:rPr>
          <w:rFonts w:ascii="Arial" w:hAnsi="Arial" w:cs="Arial"/>
          <w:color w:val="auto"/>
          <w:szCs w:val="24"/>
        </w:rPr>
      </w:pPr>
    </w:p>
    <w:p w14:paraId="12EC162C" w14:textId="15715417" w:rsidR="00072C1B" w:rsidRPr="001427AF" w:rsidRDefault="00072C1B" w:rsidP="00072C1B">
      <w:pPr>
        <w:spacing w:line="240" w:lineRule="auto"/>
        <w:textAlignment w:val="baseline"/>
        <w:rPr>
          <w:rFonts w:ascii="Arial" w:hAnsi="Arial" w:cs="Arial"/>
          <w:color w:val="auto"/>
          <w:szCs w:val="24"/>
        </w:rPr>
      </w:pPr>
      <w:r w:rsidRPr="001427AF">
        <w:rPr>
          <w:rFonts w:ascii="Arial" w:hAnsi="Arial" w:cs="Arial"/>
          <w:b/>
          <w:bCs/>
          <w:color w:val="auto"/>
          <w:szCs w:val="24"/>
        </w:rPr>
        <w:t>North Carolina State Designations</w:t>
      </w:r>
      <w:r w:rsidRPr="001427AF">
        <w:rPr>
          <w:rFonts w:ascii="Arial" w:hAnsi="Arial" w:cs="Arial"/>
          <w:color w:val="auto"/>
          <w:szCs w:val="24"/>
        </w:rPr>
        <w:t xml:space="preserve">. North Carolina General Statutes </w:t>
      </w:r>
      <w:hyperlink r:id="rId37" w:history="1">
        <w:r w:rsidRPr="001427AF">
          <w:rPr>
            <w:rStyle w:val="Hyperlink"/>
            <w:rFonts w:ascii="Arial" w:hAnsi="Arial" w:cs="Arial"/>
            <w:szCs w:val="24"/>
          </w:rPr>
          <w:t>115C-105.37</w:t>
        </w:r>
      </w:hyperlink>
      <w:r w:rsidRPr="001427AF">
        <w:rPr>
          <w:rFonts w:ascii="Arial" w:hAnsi="Arial" w:cs="Arial"/>
          <w:color w:val="auto"/>
          <w:szCs w:val="24"/>
        </w:rPr>
        <w:t xml:space="preserve">, </w:t>
      </w:r>
      <w:hyperlink r:id="rId38" w:history="1">
        <w:r w:rsidRPr="001427AF">
          <w:rPr>
            <w:rStyle w:val="Hyperlink"/>
            <w:rFonts w:ascii="Arial" w:hAnsi="Arial" w:cs="Arial"/>
            <w:szCs w:val="24"/>
          </w:rPr>
          <w:t>115C-105.37A</w:t>
        </w:r>
      </w:hyperlink>
      <w:r w:rsidRPr="001427AF">
        <w:rPr>
          <w:rFonts w:ascii="Arial" w:hAnsi="Arial" w:cs="Arial"/>
          <w:color w:val="auto"/>
          <w:szCs w:val="24"/>
        </w:rPr>
        <w:t xml:space="preserve">, </w:t>
      </w:r>
      <w:hyperlink r:id="rId39" w:history="1">
        <w:r w:rsidRPr="001427AF">
          <w:rPr>
            <w:rStyle w:val="Hyperlink"/>
            <w:rFonts w:ascii="Arial" w:hAnsi="Arial" w:cs="Arial"/>
            <w:szCs w:val="24"/>
          </w:rPr>
          <w:t>115C-105.39A</w:t>
        </w:r>
      </w:hyperlink>
      <w:r w:rsidRPr="001427AF">
        <w:rPr>
          <w:rFonts w:ascii="Arial" w:hAnsi="Arial" w:cs="Arial"/>
          <w:color w:val="auto"/>
          <w:szCs w:val="24"/>
        </w:rPr>
        <w:t xml:space="preserve"> and </w:t>
      </w:r>
      <w:hyperlink r:id="rId40" w:history="1">
        <w:r w:rsidRPr="001427AF">
          <w:rPr>
            <w:rStyle w:val="Hyperlink"/>
            <w:rFonts w:ascii="Arial" w:hAnsi="Arial" w:cs="Arial"/>
            <w:szCs w:val="24"/>
          </w:rPr>
          <w:t>115C-218.94</w:t>
        </w:r>
      </w:hyperlink>
      <w:r w:rsidRPr="001427AF">
        <w:rPr>
          <w:rFonts w:ascii="Arial" w:hAnsi="Arial" w:cs="Arial"/>
          <w:color w:val="auto"/>
          <w:szCs w:val="24"/>
        </w:rPr>
        <w:t xml:space="preserve"> define low performing school and district designations. State designations are based on current school year data only. More information on state-level designations </w:t>
      </w:r>
      <w:r w:rsidR="000457C8" w:rsidRPr="001427AF">
        <w:rPr>
          <w:rFonts w:ascii="Arial" w:hAnsi="Arial" w:cs="Arial"/>
          <w:color w:val="auto"/>
          <w:szCs w:val="24"/>
        </w:rPr>
        <w:t>is</w:t>
      </w:r>
      <w:r w:rsidRPr="001427AF">
        <w:rPr>
          <w:rFonts w:ascii="Arial" w:hAnsi="Arial" w:cs="Arial"/>
          <w:color w:val="auto"/>
          <w:szCs w:val="24"/>
        </w:rPr>
        <w:t xml:space="preserve"> in subsection 9.8 of this guide.</w:t>
      </w:r>
    </w:p>
    <w:p w14:paraId="6A5D7016" w14:textId="77777777" w:rsidR="00072C1B" w:rsidRPr="001427AF" w:rsidRDefault="00072C1B" w:rsidP="00072C1B">
      <w:pPr>
        <w:spacing w:line="240" w:lineRule="auto"/>
        <w:rPr>
          <w:rFonts w:ascii="Arial" w:hAnsi="Arial" w:cs="Arial"/>
          <w:b/>
          <w:bCs/>
        </w:rPr>
      </w:pPr>
    </w:p>
    <w:p w14:paraId="6CFE1C7F" w14:textId="139F4A7B" w:rsidR="00D254E9" w:rsidRPr="001427AF" w:rsidRDefault="00C64F2C" w:rsidP="00072C1B">
      <w:pPr>
        <w:spacing w:line="240" w:lineRule="auto"/>
        <w:rPr>
          <w:rFonts w:ascii="Arial" w:hAnsi="Arial" w:cs="Arial"/>
        </w:rPr>
      </w:pPr>
      <w:r w:rsidRPr="001427AF">
        <w:rPr>
          <w:rFonts w:ascii="Arial" w:hAnsi="Arial" w:cs="Arial"/>
          <w:b/>
          <w:bCs/>
        </w:rPr>
        <w:t xml:space="preserve">K–2 </w:t>
      </w:r>
      <w:r w:rsidR="000364A8" w:rsidRPr="001427AF">
        <w:rPr>
          <w:rFonts w:ascii="Arial" w:hAnsi="Arial" w:cs="Arial"/>
          <w:b/>
          <w:bCs/>
        </w:rPr>
        <w:t>f</w:t>
      </w:r>
      <w:r w:rsidRPr="001427AF">
        <w:rPr>
          <w:rFonts w:ascii="Arial" w:hAnsi="Arial" w:cs="Arial"/>
          <w:b/>
          <w:bCs/>
        </w:rPr>
        <w:t>eeder schools.</w:t>
      </w:r>
      <w:r w:rsidRPr="001427AF">
        <w:rPr>
          <w:rFonts w:ascii="Arial" w:hAnsi="Arial" w:cs="Arial"/>
        </w:rPr>
        <w:t xml:space="preserve"> </w:t>
      </w:r>
      <w:r w:rsidR="00BF275E" w:rsidRPr="001427AF">
        <w:rPr>
          <w:rFonts w:ascii="Arial" w:hAnsi="Arial" w:cs="Arial"/>
        </w:rPr>
        <w:t>K</w:t>
      </w:r>
      <w:r w:rsidR="000364A8" w:rsidRPr="001427AF">
        <w:rPr>
          <w:rFonts w:ascii="Arial" w:hAnsi="Arial" w:cs="Arial"/>
        </w:rPr>
        <w:t>-</w:t>
      </w:r>
      <w:r w:rsidR="00BF275E" w:rsidRPr="001427AF">
        <w:rPr>
          <w:rFonts w:ascii="Arial" w:hAnsi="Arial" w:cs="Arial"/>
        </w:rPr>
        <w:t>2 schools are identified as CSI/TSI schools based on the school they feed into in an identification year.</w:t>
      </w:r>
      <w:r w:rsidR="00B579EB" w:rsidRPr="001427AF">
        <w:rPr>
          <w:rFonts w:ascii="Arial" w:hAnsi="Arial" w:cs="Arial"/>
        </w:rPr>
        <w:t xml:space="preserve"> </w:t>
      </w:r>
      <w:r w:rsidR="00BF275E" w:rsidRPr="001427AF">
        <w:rPr>
          <w:rFonts w:ascii="Arial" w:hAnsi="Arial" w:cs="Arial"/>
        </w:rPr>
        <w:t xml:space="preserve">When exit criteria </w:t>
      </w:r>
      <w:proofErr w:type="gramStart"/>
      <w:r w:rsidR="00BF275E" w:rsidRPr="001427AF">
        <w:rPr>
          <w:rFonts w:ascii="Arial" w:hAnsi="Arial" w:cs="Arial"/>
        </w:rPr>
        <w:t>is</w:t>
      </w:r>
      <w:proofErr w:type="gramEnd"/>
      <w:r w:rsidR="00BF275E" w:rsidRPr="001427AF">
        <w:rPr>
          <w:rFonts w:ascii="Arial" w:hAnsi="Arial" w:cs="Arial"/>
        </w:rPr>
        <w:t xml:space="preserve"> applied for a CSI/TSI identification, if the school that identified the K-2 school is </w:t>
      </w:r>
      <w:proofErr w:type="gramStart"/>
      <w:r w:rsidR="00BF275E" w:rsidRPr="001427AF">
        <w:rPr>
          <w:rFonts w:ascii="Arial" w:hAnsi="Arial" w:cs="Arial"/>
        </w:rPr>
        <w:t>exited</w:t>
      </w:r>
      <w:proofErr w:type="gramEnd"/>
      <w:r w:rsidR="00BF275E" w:rsidRPr="001427AF">
        <w:rPr>
          <w:rFonts w:ascii="Arial" w:hAnsi="Arial" w:cs="Arial"/>
        </w:rPr>
        <w:t>, so is the K-2 school.</w:t>
      </w:r>
      <w:r w:rsidR="00B579EB" w:rsidRPr="001427AF">
        <w:rPr>
          <w:rFonts w:ascii="Arial" w:hAnsi="Arial" w:cs="Arial"/>
        </w:rPr>
        <w:t xml:space="preserve"> </w:t>
      </w:r>
      <w:r w:rsidR="00BF275E" w:rsidRPr="001427AF">
        <w:rPr>
          <w:rFonts w:ascii="Arial" w:hAnsi="Arial" w:cs="Arial"/>
        </w:rPr>
        <w:t>If, in a future identification year for the same CSI/TSI identification currently assigned, the K-2 school is feeding into a different school, the K-2 school assume</w:t>
      </w:r>
      <w:r w:rsidR="00534FF9">
        <w:rPr>
          <w:rFonts w:ascii="Arial" w:hAnsi="Arial" w:cs="Arial"/>
        </w:rPr>
        <w:t>s</w:t>
      </w:r>
      <w:r w:rsidR="00BF275E" w:rsidRPr="001427AF">
        <w:rPr>
          <w:rFonts w:ascii="Arial" w:hAnsi="Arial" w:cs="Arial"/>
        </w:rPr>
        <w:t xml:space="preserve"> the status of the new school and </w:t>
      </w:r>
      <w:r w:rsidR="00534FF9">
        <w:rPr>
          <w:rFonts w:ascii="Arial" w:hAnsi="Arial" w:cs="Arial"/>
        </w:rPr>
        <w:t>is</w:t>
      </w:r>
      <w:r w:rsidR="00BF275E" w:rsidRPr="001427AF">
        <w:rPr>
          <w:rFonts w:ascii="Arial" w:hAnsi="Arial" w:cs="Arial"/>
        </w:rPr>
        <w:t xml:space="preserve"> dropped from the previous school’s identification status.</w:t>
      </w:r>
    </w:p>
    <w:p w14:paraId="12CEA1F6" w14:textId="77777777" w:rsidR="00072C1B" w:rsidRPr="001427AF" w:rsidRDefault="00072C1B" w:rsidP="00072C1B">
      <w:pPr>
        <w:spacing w:line="240" w:lineRule="auto"/>
        <w:rPr>
          <w:rFonts w:ascii="Arial" w:hAnsi="Arial" w:cs="Arial"/>
          <w:szCs w:val="24"/>
        </w:rPr>
      </w:pPr>
    </w:p>
    <w:p w14:paraId="55C5357B" w14:textId="77777777" w:rsidR="000D5608" w:rsidRDefault="000D5608" w:rsidP="003947E6">
      <w:pPr>
        <w:spacing w:line="240" w:lineRule="auto"/>
        <w:rPr>
          <w:rFonts w:ascii="Arial" w:hAnsi="Arial" w:cs="Arial"/>
          <w:b/>
          <w:bCs/>
        </w:rPr>
      </w:pPr>
    </w:p>
    <w:p w14:paraId="409E44FD" w14:textId="77777777" w:rsidR="00A00E6B" w:rsidRPr="00CD6545" w:rsidRDefault="00A00E6B" w:rsidP="00A00E6B">
      <w:pPr>
        <w:spacing w:line="240" w:lineRule="auto"/>
        <w:rPr>
          <w:rFonts w:ascii="Arial" w:hAnsi="Arial" w:cs="Arial"/>
        </w:rPr>
      </w:pPr>
      <w:r>
        <w:rPr>
          <w:rFonts w:ascii="Arial" w:hAnsi="Arial" w:cs="Arial"/>
          <w:b/>
          <w:bCs/>
        </w:rPr>
        <w:lastRenderedPageBreak/>
        <w:t>Inactive</w:t>
      </w:r>
      <w:r w:rsidRPr="006537C1">
        <w:rPr>
          <w:rFonts w:ascii="Arial" w:hAnsi="Arial" w:cs="Arial"/>
          <w:b/>
          <w:bCs/>
        </w:rPr>
        <w:t xml:space="preserve"> Schools.</w:t>
      </w:r>
      <w:r>
        <w:rPr>
          <w:rFonts w:ascii="Arial" w:hAnsi="Arial" w:cs="Arial"/>
        </w:rPr>
        <w:t xml:space="preserve"> </w:t>
      </w:r>
      <w:r w:rsidRPr="00CD6545">
        <w:rPr>
          <w:rFonts w:ascii="Arial" w:hAnsi="Arial" w:cs="Arial"/>
        </w:rPr>
        <w:t xml:space="preserve">If a school is identified for Comprehensive Support and Improvement (CSI) or Targeted Support and Improvement (TSI) and is later deactivated (no longer </w:t>
      </w:r>
      <w:r>
        <w:rPr>
          <w:rFonts w:ascii="Arial" w:hAnsi="Arial" w:cs="Arial"/>
        </w:rPr>
        <w:t>in operation</w:t>
      </w:r>
      <w:r w:rsidRPr="00CD6545">
        <w:rPr>
          <w:rFonts w:ascii="Arial" w:hAnsi="Arial" w:cs="Arial"/>
        </w:rPr>
        <w:t xml:space="preserve"> for an extended period), the designation is recorded for federal reporting purposes during the active cycle.</w:t>
      </w:r>
    </w:p>
    <w:p w14:paraId="12C96AB7" w14:textId="77777777" w:rsidR="00A00E6B" w:rsidRPr="006537C1" w:rsidRDefault="00A00E6B" w:rsidP="00CA5853">
      <w:pPr>
        <w:pStyle w:val="ListParagraph"/>
        <w:numPr>
          <w:ilvl w:val="0"/>
          <w:numId w:val="129"/>
        </w:numPr>
        <w:spacing w:line="240" w:lineRule="auto"/>
        <w:rPr>
          <w:rFonts w:ascii="Arial" w:hAnsi="Arial" w:cs="Arial"/>
        </w:rPr>
      </w:pPr>
      <w:r w:rsidRPr="006537C1">
        <w:rPr>
          <w:rFonts w:ascii="Arial" w:hAnsi="Arial" w:cs="Arial"/>
        </w:rPr>
        <w:t>During the current cycle</w:t>
      </w:r>
      <w:r>
        <w:rPr>
          <w:rFonts w:ascii="Arial" w:hAnsi="Arial" w:cs="Arial"/>
        </w:rPr>
        <w:t>:</w:t>
      </w:r>
    </w:p>
    <w:p w14:paraId="540FA8EC" w14:textId="77777777" w:rsidR="00A00E6B" w:rsidRPr="00CD6545" w:rsidRDefault="00A00E6B" w:rsidP="00CA5853">
      <w:pPr>
        <w:numPr>
          <w:ilvl w:val="1"/>
          <w:numId w:val="129"/>
        </w:numPr>
        <w:tabs>
          <w:tab w:val="num" w:pos="1440"/>
        </w:tabs>
        <w:spacing w:line="240" w:lineRule="auto"/>
        <w:rPr>
          <w:rFonts w:ascii="Arial" w:hAnsi="Arial" w:cs="Arial"/>
        </w:rPr>
      </w:pPr>
      <w:r w:rsidRPr="00CD6545">
        <w:rPr>
          <w:rFonts w:ascii="Arial" w:hAnsi="Arial" w:cs="Arial"/>
        </w:rPr>
        <w:t>The deactivated school remains listed as CSI or TSI for the duration of the cycle in which it was identified.</w:t>
      </w:r>
    </w:p>
    <w:p w14:paraId="77D059A5" w14:textId="77777777" w:rsidR="00A00E6B" w:rsidRPr="00CD6545" w:rsidRDefault="00A00E6B" w:rsidP="00CA5853">
      <w:pPr>
        <w:numPr>
          <w:ilvl w:val="1"/>
          <w:numId w:val="129"/>
        </w:numPr>
        <w:tabs>
          <w:tab w:val="num" w:pos="1440"/>
        </w:tabs>
        <w:spacing w:line="240" w:lineRule="auto"/>
        <w:rPr>
          <w:rFonts w:ascii="Arial" w:hAnsi="Arial" w:cs="Arial"/>
        </w:rPr>
      </w:pPr>
      <w:r w:rsidRPr="00CD6545">
        <w:rPr>
          <w:rFonts w:ascii="Arial" w:hAnsi="Arial" w:cs="Arial"/>
        </w:rPr>
        <w:t>Because the school does not serve students while deactivated, it cannot generate the performance data necessary to demonstrate progress toward exit criteria.</w:t>
      </w:r>
    </w:p>
    <w:p w14:paraId="0F0C0F12" w14:textId="77777777" w:rsidR="00A00E6B" w:rsidRPr="00CD6545" w:rsidRDefault="00A00E6B" w:rsidP="00CA5853">
      <w:pPr>
        <w:numPr>
          <w:ilvl w:val="0"/>
          <w:numId w:val="129"/>
        </w:numPr>
        <w:tabs>
          <w:tab w:val="num" w:pos="720"/>
        </w:tabs>
        <w:spacing w:line="240" w:lineRule="auto"/>
        <w:rPr>
          <w:rFonts w:ascii="Arial" w:hAnsi="Arial" w:cs="Arial"/>
        </w:rPr>
      </w:pPr>
      <w:r w:rsidRPr="00CD6545">
        <w:rPr>
          <w:rFonts w:ascii="Arial" w:hAnsi="Arial" w:cs="Arial"/>
        </w:rPr>
        <w:t>At the end of the cycle</w:t>
      </w:r>
      <w:r>
        <w:rPr>
          <w:rFonts w:ascii="Arial" w:hAnsi="Arial" w:cs="Arial"/>
        </w:rPr>
        <w:t>:</w:t>
      </w:r>
    </w:p>
    <w:p w14:paraId="5CAAF064" w14:textId="77777777" w:rsidR="00A00E6B" w:rsidRPr="00CD6545" w:rsidRDefault="00A00E6B" w:rsidP="00CA5853">
      <w:pPr>
        <w:numPr>
          <w:ilvl w:val="1"/>
          <w:numId w:val="129"/>
        </w:numPr>
        <w:tabs>
          <w:tab w:val="num" w:pos="1440"/>
        </w:tabs>
        <w:spacing w:line="240" w:lineRule="auto"/>
        <w:rPr>
          <w:rFonts w:ascii="Arial" w:hAnsi="Arial" w:cs="Arial"/>
        </w:rPr>
      </w:pPr>
      <w:r w:rsidRPr="00CD6545">
        <w:rPr>
          <w:rFonts w:ascii="Arial" w:hAnsi="Arial" w:cs="Arial"/>
        </w:rPr>
        <w:t>The designation is considered resolved if the school has remained deactivated during the cycle preventing exit criteria data from being collected.</w:t>
      </w:r>
    </w:p>
    <w:p w14:paraId="24D517C7" w14:textId="7CA4FF50" w:rsidR="00A00E6B" w:rsidRPr="00CD6545" w:rsidRDefault="00A00E6B" w:rsidP="00CA5853">
      <w:pPr>
        <w:numPr>
          <w:ilvl w:val="1"/>
          <w:numId w:val="129"/>
        </w:numPr>
        <w:tabs>
          <w:tab w:val="num" w:pos="1440"/>
        </w:tabs>
        <w:spacing w:line="240" w:lineRule="auto"/>
        <w:rPr>
          <w:rFonts w:ascii="Arial" w:hAnsi="Arial" w:cs="Arial"/>
        </w:rPr>
      </w:pPr>
      <w:r w:rsidRPr="00CD6545">
        <w:rPr>
          <w:rFonts w:ascii="Arial" w:hAnsi="Arial" w:cs="Arial"/>
        </w:rPr>
        <w:t xml:space="preserve">The school </w:t>
      </w:r>
      <w:r w:rsidR="00F35ACA">
        <w:rPr>
          <w:rFonts w:ascii="Arial" w:hAnsi="Arial" w:cs="Arial"/>
        </w:rPr>
        <w:t xml:space="preserve">is </w:t>
      </w:r>
      <w:r w:rsidRPr="00CD6545">
        <w:rPr>
          <w:rFonts w:ascii="Arial" w:hAnsi="Arial" w:cs="Arial"/>
        </w:rPr>
        <w:t>not</w:t>
      </w:r>
      <w:r w:rsidRPr="00CD6545" w:rsidDel="00F35ACA">
        <w:rPr>
          <w:rFonts w:ascii="Arial" w:hAnsi="Arial" w:cs="Arial"/>
        </w:rPr>
        <w:t xml:space="preserve"> </w:t>
      </w:r>
      <w:r w:rsidRPr="00CD6545">
        <w:rPr>
          <w:rFonts w:ascii="Arial" w:hAnsi="Arial" w:cs="Arial"/>
        </w:rPr>
        <w:t>carried forward onto future CSI/TSI lists, as it no longer operates as an active accountability entity.</w:t>
      </w:r>
    </w:p>
    <w:p w14:paraId="1DFDF2E7" w14:textId="77777777" w:rsidR="00A00E6B" w:rsidRPr="00CD6545" w:rsidRDefault="00A00E6B" w:rsidP="00CA5853">
      <w:pPr>
        <w:numPr>
          <w:ilvl w:val="0"/>
          <w:numId w:val="129"/>
        </w:numPr>
        <w:tabs>
          <w:tab w:val="num" w:pos="720"/>
        </w:tabs>
        <w:spacing w:line="240" w:lineRule="auto"/>
        <w:rPr>
          <w:rFonts w:ascii="Arial" w:hAnsi="Arial" w:cs="Arial"/>
        </w:rPr>
      </w:pPr>
      <w:r w:rsidRPr="00CD6545">
        <w:rPr>
          <w:rFonts w:ascii="Arial" w:hAnsi="Arial" w:cs="Arial"/>
        </w:rPr>
        <w:t>If the school is reactivated in the future</w:t>
      </w:r>
      <w:r>
        <w:rPr>
          <w:rFonts w:ascii="Arial" w:hAnsi="Arial" w:cs="Arial"/>
        </w:rPr>
        <w:t>:</w:t>
      </w:r>
    </w:p>
    <w:p w14:paraId="325C57F1" w14:textId="1073B8E1" w:rsidR="00A00E6B" w:rsidRPr="00CD6545" w:rsidRDefault="00A00E6B" w:rsidP="00CA5853">
      <w:pPr>
        <w:numPr>
          <w:ilvl w:val="1"/>
          <w:numId w:val="129"/>
        </w:numPr>
        <w:tabs>
          <w:tab w:val="num" w:pos="1440"/>
        </w:tabs>
        <w:spacing w:line="240" w:lineRule="auto"/>
        <w:rPr>
          <w:rFonts w:ascii="Arial" w:hAnsi="Arial" w:cs="Arial"/>
        </w:rPr>
      </w:pPr>
      <w:r w:rsidRPr="00CD6545">
        <w:rPr>
          <w:rFonts w:ascii="Arial" w:hAnsi="Arial" w:cs="Arial"/>
        </w:rPr>
        <w:t xml:space="preserve">It </w:t>
      </w:r>
      <w:r w:rsidR="00F35ACA">
        <w:rPr>
          <w:rFonts w:ascii="Arial" w:hAnsi="Arial" w:cs="Arial"/>
        </w:rPr>
        <w:t>is</w:t>
      </w:r>
      <w:r w:rsidRPr="00CD6545">
        <w:rPr>
          <w:rFonts w:ascii="Arial" w:hAnsi="Arial" w:cs="Arial"/>
        </w:rPr>
        <w:t xml:space="preserve"> treated as a “new” school for accountability purposes.</w:t>
      </w:r>
    </w:p>
    <w:p w14:paraId="1BA69218" w14:textId="2F002BDC" w:rsidR="00A00E6B" w:rsidRPr="00CD6545" w:rsidRDefault="00A00E6B" w:rsidP="00CA5853">
      <w:pPr>
        <w:numPr>
          <w:ilvl w:val="1"/>
          <w:numId w:val="129"/>
        </w:numPr>
        <w:tabs>
          <w:tab w:val="num" w:pos="1440"/>
        </w:tabs>
        <w:spacing w:line="240" w:lineRule="auto"/>
        <w:rPr>
          <w:rFonts w:ascii="Arial" w:hAnsi="Arial" w:cs="Arial"/>
        </w:rPr>
      </w:pPr>
      <w:r w:rsidRPr="00CD6545">
        <w:rPr>
          <w:rFonts w:ascii="Arial" w:hAnsi="Arial" w:cs="Arial"/>
        </w:rPr>
        <w:t xml:space="preserve">Any identification </w:t>
      </w:r>
      <w:r w:rsidR="00F35ACA">
        <w:rPr>
          <w:rFonts w:ascii="Arial" w:hAnsi="Arial" w:cs="Arial"/>
        </w:rPr>
        <w:t>is</w:t>
      </w:r>
      <w:r w:rsidRPr="00CD6545">
        <w:rPr>
          <w:rFonts w:ascii="Arial" w:hAnsi="Arial" w:cs="Arial"/>
        </w:rPr>
        <w:t xml:space="preserve"> based on new performance data collected after reactivation, once sufficient years of data are available.</w:t>
      </w:r>
      <w:r>
        <w:rPr>
          <w:rFonts w:ascii="Arial" w:hAnsi="Arial" w:cs="Arial"/>
        </w:rPr>
        <w:t xml:space="preserve"> In this instance, the previous designations will not be tied to the school code in the future year.</w:t>
      </w:r>
    </w:p>
    <w:p w14:paraId="04650832" w14:textId="77777777" w:rsidR="003831FE" w:rsidRDefault="003831FE" w:rsidP="003831FE">
      <w:pPr>
        <w:spacing w:line="240" w:lineRule="auto"/>
        <w:rPr>
          <w:rFonts w:ascii="Arial" w:hAnsi="Arial" w:cs="Arial"/>
          <w:b/>
          <w:bCs/>
        </w:rPr>
      </w:pPr>
    </w:p>
    <w:p w14:paraId="189F0EFE" w14:textId="183976B9" w:rsidR="003831FE" w:rsidRPr="00BB1C1E" w:rsidRDefault="003831FE" w:rsidP="003831FE">
      <w:pPr>
        <w:spacing w:line="240" w:lineRule="auto"/>
        <w:rPr>
          <w:rFonts w:ascii="Arial" w:hAnsi="Arial" w:cs="Arial"/>
        </w:rPr>
      </w:pPr>
      <w:r w:rsidRPr="000B370E">
        <w:rPr>
          <w:rFonts w:ascii="Arial" w:hAnsi="Arial" w:cs="Arial"/>
          <w:b/>
          <w:bCs/>
        </w:rPr>
        <w:t>Alternative Schools and CSI-LG Designations (this include</w:t>
      </w:r>
      <w:r w:rsidR="00F35ACA">
        <w:rPr>
          <w:rFonts w:ascii="Arial" w:hAnsi="Arial" w:cs="Arial"/>
          <w:b/>
          <w:bCs/>
        </w:rPr>
        <w:t>s</w:t>
      </w:r>
      <w:r w:rsidRPr="000B370E">
        <w:rPr>
          <w:rFonts w:ascii="Arial" w:hAnsi="Arial" w:cs="Arial"/>
          <w:b/>
          <w:bCs/>
        </w:rPr>
        <w:t xml:space="preserve"> certificate producing schools)</w:t>
      </w:r>
      <w:r>
        <w:rPr>
          <w:rFonts w:ascii="Arial" w:hAnsi="Arial" w:cs="Arial"/>
          <w:b/>
          <w:bCs/>
        </w:rPr>
        <w:t xml:space="preserve">. </w:t>
      </w:r>
      <w:r w:rsidRPr="00BB1C1E">
        <w:rPr>
          <w:rFonts w:ascii="Arial" w:hAnsi="Arial" w:cs="Arial"/>
        </w:rPr>
        <w:t>For alternative or certificate schools where graduation data are reported back to the home school of record rather than the alternative school itself or graduation data does not apply to the school:</w:t>
      </w:r>
    </w:p>
    <w:p w14:paraId="290EDB8D" w14:textId="77777777" w:rsidR="003831FE" w:rsidRPr="000B370E" w:rsidRDefault="003831FE" w:rsidP="00CA5853">
      <w:pPr>
        <w:pStyle w:val="ListParagraph"/>
        <w:numPr>
          <w:ilvl w:val="0"/>
          <w:numId w:val="157"/>
        </w:numPr>
        <w:spacing w:line="240" w:lineRule="auto"/>
        <w:rPr>
          <w:rFonts w:ascii="Arial" w:hAnsi="Arial" w:cs="Arial"/>
        </w:rPr>
      </w:pPr>
      <w:r w:rsidRPr="000B370E">
        <w:rPr>
          <w:rFonts w:ascii="Arial" w:hAnsi="Arial" w:cs="Arial"/>
        </w:rPr>
        <w:t>During the current cycle</w:t>
      </w:r>
    </w:p>
    <w:p w14:paraId="3A096952" w14:textId="6833DCCA" w:rsidR="003831FE" w:rsidRPr="00BB1C1E" w:rsidRDefault="003831FE" w:rsidP="00CA5853">
      <w:pPr>
        <w:numPr>
          <w:ilvl w:val="1"/>
          <w:numId w:val="157"/>
        </w:numPr>
        <w:tabs>
          <w:tab w:val="num" w:pos="1440"/>
        </w:tabs>
        <w:spacing w:line="240" w:lineRule="auto"/>
        <w:rPr>
          <w:rFonts w:ascii="Arial" w:hAnsi="Arial" w:cs="Arial"/>
        </w:rPr>
      </w:pPr>
      <w:r w:rsidRPr="00BB1C1E">
        <w:rPr>
          <w:rFonts w:ascii="Arial" w:hAnsi="Arial" w:cs="Arial"/>
        </w:rPr>
        <w:t>The alternative or certificate school remain</w:t>
      </w:r>
      <w:r w:rsidR="0007547E">
        <w:rPr>
          <w:rFonts w:ascii="Arial" w:hAnsi="Arial" w:cs="Arial"/>
        </w:rPr>
        <w:t>s</w:t>
      </w:r>
      <w:r w:rsidRPr="00BB1C1E">
        <w:rPr>
          <w:rFonts w:ascii="Arial" w:hAnsi="Arial" w:cs="Arial"/>
        </w:rPr>
        <w:t xml:space="preserve"> on the CSI-LG list for the duration of the active cycle in which it was identified.</w:t>
      </w:r>
    </w:p>
    <w:p w14:paraId="161A3201" w14:textId="77777777" w:rsidR="003831FE" w:rsidRPr="00BB1C1E" w:rsidRDefault="003831FE" w:rsidP="00CA5853">
      <w:pPr>
        <w:numPr>
          <w:ilvl w:val="1"/>
          <w:numId w:val="157"/>
        </w:numPr>
        <w:tabs>
          <w:tab w:val="num" w:pos="1440"/>
        </w:tabs>
        <w:spacing w:line="240" w:lineRule="auto"/>
        <w:rPr>
          <w:rFonts w:ascii="Arial" w:hAnsi="Arial" w:cs="Arial"/>
        </w:rPr>
      </w:pPr>
      <w:r w:rsidRPr="00BB1C1E">
        <w:rPr>
          <w:rFonts w:ascii="Arial" w:hAnsi="Arial" w:cs="Arial"/>
        </w:rPr>
        <w:t>Because the alternative or certificate school no longer generates a four-year graduation rate, it cannot demonstrate progress toward the exit criteria during the cycle.</w:t>
      </w:r>
    </w:p>
    <w:p w14:paraId="05FD0138" w14:textId="77777777" w:rsidR="003831FE" w:rsidRPr="00BB1C1E" w:rsidRDefault="003831FE" w:rsidP="00CA5853">
      <w:pPr>
        <w:numPr>
          <w:ilvl w:val="0"/>
          <w:numId w:val="157"/>
        </w:numPr>
        <w:tabs>
          <w:tab w:val="num" w:pos="720"/>
        </w:tabs>
        <w:spacing w:line="240" w:lineRule="auto"/>
        <w:rPr>
          <w:rFonts w:ascii="Arial" w:hAnsi="Arial" w:cs="Arial"/>
        </w:rPr>
      </w:pPr>
      <w:r w:rsidRPr="00BB1C1E">
        <w:rPr>
          <w:rFonts w:ascii="Arial" w:hAnsi="Arial" w:cs="Arial"/>
        </w:rPr>
        <w:t>At the end of the cycle</w:t>
      </w:r>
    </w:p>
    <w:p w14:paraId="5624854D" w14:textId="77777777" w:rsidR="003831FE" w:rsidRPr="00BB1C1E" w:rsidRDefault="003831FE" w:rsidP="00CA5853">
      <w:pPr>
        <w:numPr>
          <w:ilvl w:val="1"/>
          <w:numId w:val="157"/>
        </w:numPr>
        <w:tabs>
          <w:tab w:val="num" w:pos="1440"/>
        </w:tabs>
        <w:spacing w:line="240" w:lineRule="auto"/>
        <w:rPr>
          <w:rFonts w:ascii="Arial" w:hAnsi="Arial" w:cs="Arial"/>
        </w:rPr>
      </w:pPr>
      <w:r w:rsidRPr="00BB1C1E">
        <w:rPr>
          <w:rFonts w:ascii="Arial" w:hAnsi="Arial" w:cs="Arial"/>
        </w:rPr>
        <w:t>The designation is considered resolved.</w:t>
      </w:r>
    </w:p>
    <w:p w14:paraId="521AD182" w14:textId="531C27E5" w:rsidR="003831FE" w:rsidRPr="00BB1C1E" w:rsidRDefault="003831FE" w:rsidP="00CA5853">
      <w:pPr>
        <w:numPr>
          <w:ilvl w:val="1"/>
          <w:numId w:val="157"/>
        </w:numPr>
        <w:tabs>
          <w:tab w:val="num" w:pos="1440"/>
        </w:tabs>
        <w:spacing w:line="240" w:lineRule="auto"/>
        <w:rPr>
          <w:rFonts w:ascii="Arial" w:hAnsi="Arial" w:cs="Arial"/>
        </w:rPr>
      </w:pPr>
      <w:r w:rsidRPr="00BB1C1E">
        <w:rPr>
          <w:rFonts w:ascii="Arial" w:hAnsi="Arial" w:cs="Arial"/>
        </w:rPr>
        <w:t xml:space="preserve">The school </w:t>
      </w:r>
      <w:r w:rsidR="0007547E">
        <w:rPr>
          <w:rFonts w:ascii="Arial" w:hAnsi="Arial" w:cs="Arial"/>
        </w:rPr>
        <w:t xml:space="preserve">is </w:t>
      </w:r>
      <w:r w:rsidRPr="00BB1C1E">
        <w:rPr>
          <w:rFonts w:ascii="Arial" w:hAnsi="Arial" w:cs="Arial"/>
        </w:rPr>
        <w:t>not</w:t>
      </w:r>
      <w:r w:rsidRPr="00BB1C1E" w:rsidDel="0007547E">
        <w:rPr>
          <w:rFonts w:ascii="Arial" w:hAnsi="Arial" w:cs="Arial"/>
        </w:rPr>
        <w:t xml:space="preserve"> </w:t>
      </w:r>
      <w:r w:rsidRPr="00BB1C1E">
        <w:rPr>
          <w:rFonts w:ascii="Arial" w:hAnsi="Arial" w:cs="Arial"/>
        </w:rPr>
        <w:t>carried forward onto future CSI-LG lists, since it no longer produces its own graduation data for accountability purposes.</w:t>
      </w:r>
    </w:p>
    <w:p w14:paraId="69E44FB3" w14:textId="77777777" w:rsidR="003831FE" w:rsidRPr="00BB1C1E" w:rsidRDefault="003831FE" w:rsidP="00CA5853">
      <w:pPr>
        <w:numPr>
          <w:ilvl w:val="0"/>
          <w:numId w:val="157"/>
        </w:numPr>
        <w:tabs>
          <w:tab w:val="num" w:pos="720"/>
        </w:tabs>
        <w:spacing w:line="240" w:lineRule="auto"/>
        <w:rPr>
          <w:rFonts w:ascii="Arial" w:hAnsi="Arial" w:cs="Arial"/>
        </w:rPr>
      </w:pPr>
      <w:r w:rsidRPr="00BB1C1E">
        <w:rPr>
          <w:rFonts w:ascii="Arial" w:hAnsi="Arial" w:cs="Arial"/>
        </w:rPr>
        <w:t>If the school begins reporting graduation rates again in the future</w:t>
      </w:r>
    </w:p>
    <w:p w14:paraId="76D2804F" w14:textId="349F5484" w:rsidR="003831FE" w:rsidRPr="00CD6545" w:rsidRDefault="003831FE" w:rsidP="00CA5853">
      <w:pPr>
        <w:numPr>
          <w:ilvl w:val="1"/>
          <w:numId w:val="157"/>
        </w:numPr>
        <w:tabs>
          <w:tab w:val="num" w:pos="1440"/>
        </w:tabs>
        <w:spacing w:line="240" w:lineRule="auto"/>
        <w:rPr>
          <w:rFonts w:ascii="Arial" w:hAnsi="Arial" w:cs="Arial"/>
        </w:rPr>
      </w:pPr>
      <w:r w:rsidRPr="00BB1C1E">
        <w:rPr>
          <w:rFonts w:ascii="Arial" w:hAnsi="Arial" w:cs="Arial"/>
        </w:rPr>
        <w:t>Identification would be based on new performance data, following the same rules as other schools.</w:t>
      </w:r>
      <w:r>
        <w:rPr>
          <w:rFonts w:ascii="Arial" w:hAnsi="Arial" w:cs="Arial"/>
        </w:rPr>
        <w:t xml:space="preserve"> In this instance, the previous CSI-LG designation </w:t>
      </w:r>
      <w:r w:rsidR="0007547E">
        <w:rPr>
          <w:rFonts w:ascii="Arial" w:hAnsi="Arial" w:cs="Arial"/>
        </w:rPr>
        <w:t xml:space="preserve">is </w:t>
      </w:r>
      <w:r>
        <w:rPr>
          <w:rFonts w:ascii="Arial" w:hAnsi="Arial" w:cs="Arial"/>
        </w:rPr>
        <w:t>not</w:t>
      </w:r>
      <w:r w:rsidDel="0007547E">
        <w:rPr>
          <w:rFonts w:ascii="Arial" w:hAnsi="Arial" w:cs="Arial"/>
        </w:rPr>
        <w:t xml:space="preserve"> </w:t>
      </w:r>
      <w:r>
        <w:rPr>
          <w:rFonts w:ascii="Arial" w:hAnsi="Arial" w:cs="Arial"/>
        </w:rPr>
        <w:t xml:space="preserve">tied to the school code in the future year, it </w:t>
      </w:r>
      <w:r w:rsidR="00E06B36">
        <w:rPr>
          <w:rFonts w:ascii="Arial" w:hAnsi="Arial" w:cs="Arial"/>
        </w:rPr>
        <w:t>is</w:t>
      </w:r>
      <w:r>
        <w:rPr>
          <w:rFonts w:ascii="Arial" w:hAnsi="Arial" w:cs="Arial"/>
        </w:rPr>
        <w:t xml:space="preserve"> based on future data.</w:t>
      </w:r>
    </w:p>
    <w:p w14:paraId="189B0386" w14:textId="77777777" w:rsidR="000D5608" w:rsidRDefault="000D5608" w:rsidP="003947E6">
      <w:pPr>
        <w:spacing w:line="240" w:lineRule="auto"/>
        <w:rPr>
          <w:rFonts w:ascii="Arial" w:hAnsi="Arial" w:cs="Arial"/>
          <w:b/>
          <w:bCs/>
        </w:rPr>
      </w:pPr>
    </w:p>
    <w:p w14:paraId="13F96DFA" w14:textId="2E5512BC" w:rsidR="003947E6" w:rsidRPr="001427AF" w:rsidRDefault="003947E6" w:rsidP="003947E6">
      <w:pPr>
        <w:spacing w:line="240" w:lineRule="auto"/>
        <w:rPr>
          <w:rFonts w:ascii="Arial" w:hAnsi="Arial" w:cs="Arial"/>
        </w:rPr>
      </w:pPr>
      <w:r w:rsidRPr="001427AF">
        <w:rPr>
          <w:rFonts w:ascii="Arial" w:hAnsi="Arial" w:cs="Arial"/>
          <w:b/>
          <w:bCs/>
        </w:rPr>
        <w:t xml:space="preserve">Reconfiguration of schools. </w:t>
      </w:r>
      <w:r w:rsidRPr="001427AF">
        <w:rPr>
          <w:rFonts w:ascii="Arial" w:hAnsi="Arial" w:cs="Arial"/>
        </w:rPr>
        <w:t>In general, federal designations are connected to the school code. If a school changes configurations (e.g., a K–6 school becomes a K–12 school) the designation that is assigned to the school code remains. If a school closes, the designation ends with the school that closed. Note: Special circumstances could arise to alter this rule. Those instances are handled on a case-by-case basis.</w:t>
      </w:r>
    </w:p>
    <w:p w14:paraId="46C3FE7A" w14:textId="77777777" w:rsidR="003947E6" w:rsidRPr="001427AF" w:rsidRDefault="003947E6" w:rsidP="00072C1B">
      <w:pPr>
        <w:spacing w:line="240" w:lineRule="auto"/>
        <w:rPr>
          <w:rFonts w:ascii="Arial" w:hAnsi="Arial" w:cs="Arial"/>
          <w:szCs w:val="24"/>
        </w:rPr>
      </w:pPr>
    </w:p>
    <w:p w14:paraId="6B98372F" w14:textId="4431AE59" w:rsidR="00D254E9" w:rsidRPr="001427AF" w:rsidRDefault="00D254E9" w:rsidP="001514C3">
      <w:pPr>
        <w:pStyle w:val="Heading2"/>
      </w:pPr>
      <w:bookmarkStart w:id="774" w:name="_Toc100132578"/>
      <w:bookmarkStart w:id="775" w:name="_Toc100132782"/>
      <w:bookmarkStart w:id="776" w:name="_Toc100136583"/>
      <w:bookmarkStart w:id="777" w:name="_Toc114211828"/>
      <w:bookmarkStart w:id="778" w:name="_Toc135812553"/>
      <w:bookmarkStart w:id="779" w:name="_Toc136418934"/>
      <w:bookmarkStart w:id="780" w:name="_Toc136419190"/>
      <w:bookmarkStart w:id="781" w:name="_Toc225405009"/>
      <w:r w:rsidRPr="001427AF">
        <w:lastRenderedPageBreak/>
        <w:t>Comprehensive Support and Improvement Schools</w:t>
      </w:r>
      <w:bookmarkEnd w:id="774"/>
      <w:bookmarkEnd w:id="775"/>
      <w:bookmarkEnd w:id="776"/>
      <w:bookmarkEnd w:id="777"/>
      <w:bookmarkEnd w:id="778"/>
      <w:bookmarkEnd w:id="779"/>
      <w:bookmarkEnd w:id="780"/>
      <w:bookmarkEnd w:id="781"/>
    </w:p>
    <w:p w14:paraId="4989FA70" w14:textId="39671F89" w:rsidR="00D254E9" w:rsidRPr="001427AF" w:rsidRDefault="00D254E9" w:rsidP="00D254E9">
      <w:pPr>
        <w:autoSpaceDE w:val="0"/>
        <w:autoSpaceDN w:val="0"/>
        <w:adjustRightInd w:val="0"/>
        <w:spacing w:line="240" w:lineRule="auto"/>
        <w:rPr>
          <w:rFonts w:ascii="Arial" w:hAnsi="Arial" w:cs="Arial"/>
          <w:szCs w:val="24"/>
        </w:rPr>
      </w:pPr>
      <w:r w:rsidRPr="001427AF">
        <w:rPr>
          <w:rFonts w:ascii="Arial" w:hAnsi="Arial" w:cs="Arial"/>
          <w:szCs w:val="24"/>
        </w:rPr>
        <w:t xml:space="preserve">North Carolina must identify schools for comprehensive support and improvement as defined in the ESSA State </w:t>
      </w:r>
      <w:r w:rsidR="006C72A1" w:rsidRPr="001427AF">
        <w:rPr>
          <w:rFonts w:ascii="Arial" w:hAnsi="Arial" w:cs="Arial"/>
          <w:szCs w:val="24"/>
        </w:rPr>
        <w:t>P</w:t>
      </w:r>
      <w:r w:rsidRPr="001427AF">
        <w:rPr>
          <w:rFonts w:ascii="Arial" w:hAnsi="Arial" w:cs="Arial"/>
          <w:szCs w:val="24"/>
        </w:rPr>
        <w:t xml:space="preserve">lan. </w:t>
      </w:r>
      <w:r w:rsidR="00DA4361" w:rsidRPr="001427AF">
        <w:rPr>
          <w:rFonts w:ascii="Arial" w:hAnsi="Arial" w:cs="Arial"/>
          <w:szCs w:val="24"/>
        </w:rPr>
        <w:t>T</w:t>
      </w:r>
      <w:r w:rsidRPr="001427AF">
        <w:rPr>
          <w:rFonts w:ascii="Arial" w:hAnsi="Arial" w:cs="Arial"/>
          <w:szCs w:val="24"/>
        </w:rPr>
        <w:t>he three categories of identification</w:t>
      </w:r>
      <w:r w:rsidR="00DA4361" w:rsidRPr="001427AF">
        <w:rPr>
          <w:rFonts w:ascii="Arial" w:hAnsi="Arial" w:cs="Arial"/>
          <w:szCs w:val="24"/>
        </w:rPr>
        <w:t xml:space="preserve"> are as follows</w:t>
      </w:r>
    </w:p>
    <w:p w14:paraId="4D5977F9" w14:textId="3D9FCB47" w:rsidR="00D254E9" w:rsidRPr="001427AF" w:rsidRDefault="00D254E9" w:rsidP="00CA5853">
      <w:pPr>
        <w:numPr>
          <w:ilvl w:val="0"/>
          <w:numId w:val="16"/>
        </w:numPr>
        <w:autoSpaceDE w:val="0"/>
        <w:autoSpaceDN w:val="0"/>
        <w:adjustRightInd w:val="0"/>
        <w:spacing w:line="240" w:lineRule="auto"/>
        <w:rPr>
          <w:rFonts w:ascii="Arial" w:hAnsi="Arial" w:cs="Arial"/>
          <w:szCs w:val="24"/>
        </w:rPr>
      </w:pPr>
      <w:r w:rsidRPr="001427AF">
        <w:rPr>
          <w:rFonts w:ascii="Arial" w:hAnsi="Arial" w:cs="Arial"/>
          <w:szCs w:val="24"/>
        </w:rPr>
        <w:t>CSI</w:t>
      </w:r>
      <w:r w:rsidR="00DA4361" w:rsidRPr="001427AF">
        <w:rPr>
          <w:rFonts w:ascii="Arial" w:hAnsi="Arial" w:cs="Arial"/>
          <w:szCs w:val="24"/>
        </w:rPr>
        <w:t>-</w:t>
      </w:r>
      <w:r w:rsidRPr="001427AF">
        <w:rPr>
          <w:rFonts w:ascii="Arial" w:hAnsi="Arial" w:cs="Arial"/>
          <w:szCs w:val="24"/>
        </w:rPr>
        <w:t>Lowest Performing Schools (CSI-LP)</w:t>
      </w:r>
    </w:p>
    <w:p w14:paraId="7C5C6AC3" w14:textId="364645B3" w:rsidR="00D254E9" w:rsidRPr="001427AF" w:rsidRDefault="00D254E9" w:rsidP="00CA5853">
      <w:pPr>
        <w:numPr>
          <w:ilvl w:val="0"/>
          <w:numId w:val="16"/>
        </w:numPr>
        <w:autoSpaceDE w:val="0"/>
        <w:autoSpaceDN w:val="0"/>
        <w:adjustRightInd w:val="0"/>
        <w:spacing w:line="240" w:lineRule="auto"/>
        <w:rPr>
          <w:rFonts w:ascii="Arial" w:hAnsi="Arial" w:cs="Arial"/>
          <w:szCs w:val="24"/>
        </w:rPr>
      </w:pPr>
      <w:r w:rsidRPr="001427AF">
        <w:rPr>
          <w:rFonts w:ascii="Arial" w:hAnsi="Arial" w:cs="Arial"/>
          <w:szCs w:val="24"/>
        </w:rPr>
        <w:t>CSI</w:t>
      </w:r>
      <w:r w:rsidR="00DA4361" w:rsidRPr="001427AF">
        <w:rPr>
          <w:rFonts w:ascii="Arial" w:hAnsi="Arial" w:cs="Arial"/>
          <w:szCs w:val="24"/>
        </w:rPr>
        <w:t>-</w:t>
      </w:r>
      <w:r w:rsidRPr="001427AF">
        <w:rPr>
          <w:rFonts w:ascii="Arial" w:hAnsi="Arial" w:cs="Arial"/>
          <w:szCs w:val="24"/>
        </w:rPr>
        <w:t>Low Graduation Rates (CSI-LG)</w:t>
      </w:r>
    </w:p>
    <w:p w14:paraId="0078BCD8" w14:textId="29F096A4" w:rsidR="00D254E9" w:rsidRPr="001427AF" w:rsidRDefault="00D254E9" w:rsidP="00CA5853">
      <w:pPr>
        <w:numPr>
          <w:ilvl w:val="0"/>
          <w:numId w:val="16"/>
        </w:numPr>
        <w:autoSpaceDE w:val="0"/>
        <w:autoSpaceDN w:val="0"/>
        <w:adjustRightInd w:val="0"/>
        <w:spacing w:line="240" w:lineRule="auto"/>
        <w:rPr>
          <w:rFonts w:ascii="Arial" w:hAnsi="Arial" w:cs="Arial"/>
          <w:szCs w:val="24"/>
        </w:rPr>
      </w:pPr>
      <w:r w:rsidRPr="001427AF">
        <w:rPr>
          <w:rFonts w:ascii="Arial" w:hAnsi="Arial" w:cs="Arial"/>
          <w:szCs w:val="24"/>
        </w:rPr>
        <w:t>CSI</w:t>
      </w:r>
      <w:r w:rsidR="00DA4361" w:rsidRPr="001427AF">
        <w:rPr>
          <w:rFonts w:ascii="Arial" w:hAnsi="Arial" w:cs="Arial"/>
          <w:szCs w:val="24"/>
        </w:rPr>
        <w:t>-</w:t>
      </w:r>
      <w:r w:rsidRPr="001427AF">
        <w:rPr>
          <w:rFonts w:ascii="Arial" w:hAnsi="Arial" w:cs="Arial"/>
          <w:szCs w:val="24"/>
        </w:rPr>
        <w:t>Additional Targeted Support Not Exiting Such Status (CSI-AT)</w:t>
      </w:r>
    </w:p>
    <w:p w14:paraId="32F163A4" w14:textId="77777777" w:rsidR="00D254E9" w:rsidRPr="001427AF" w:rsidRDefault="00D254E9" w:rsidP="00D254E9">
      <w:pPr>
        <w:autoSpaceDE w:val="0"/>
        <w:autoSpaceDN w:val="0"/>
        <w:adjustRightInd w:val="0"/>
        <w:spacing w:line="240" w:lineRule="auto"/>
        <w:rPr>
          <w:rFonts w:ascii="Arial" w:hAnsi="Arial" w:cs="Arial"/>
          <w:szCs w:val="24"/>
        </w:rPr>
      </w:pPr>
    </w:p>
    <w:p w14:paraId="29202D00" w14:textId="6F504C72" w:rsidR="00D254E9" w:rsidRPr="001427AF" w:rsidRDefault="00D254E9" w:rsidP="001514C3">
      <w:pPr>
        <w:pStyle w:val="Heading2"/>
      </w:pPr>
      <w:bookmarkStart w:id="782" w:name="_Toc114211829"/>
      <w:bookmarkStart w:id="783" w:name="_Toc135812554"/>
      <w:bookmarkStart w:id="784" w:name="_Toc136418935"/>
      <w:bookmarkStart w:id="785" w:name="_Toc136419191"/>
      <w:bookmarkStart w:id="786" w:name="_Toc225405010"/>
      <w:bookmarkStart w:id="787" w:name="_Toc100132579"/>
      <w:bookmarkStart w:id="788" w:name="_Toc100132783"/>
      <w:bookmarkStart w:id="789" w:name="_Toc100136584"/>
      <w:r w:rsidRPr="001427AF">
        <w:t>CSI</w:t>
      </w:r>
      <w:r w:rsidR="00DA4361" w:rsidRPr="001427AF">
        <w:t>-</w:t>
      </w:r>
      <w:r w:rsidRPr="001427AF">
        <w:t>Low Performing Schools</w:t>
      </w:r>
      <w:bookmarkEnd w:id="782"/>
      <w:bookmarkEnd w:id="783"/>
      <w:bookmarkEnd w:id="784"/>
      <w:bookmarkEnd w:id="785"/>
      <w:bookmarkEnd w:id="786"/>
      <w:r w:rsidRPr="001427AF">
        <w:t xml:space="preserve"> </w:t>
      </w:r>
      <w:bookmarkEnd w:id="787"/>
      <w:bookmarkEnd w:id="788"/>
      <w:bookmarkEnd w:id="789"/>
    </w:p>
    <w:p w14:paraId="526B1D55" w14:textId="45B5BBD9" w:rsidR="00D254E9" w:rsidRPr="001427AF" w:rsidRDefault="00D254E9" w:rsidP="00D254E9">
      <w:pPr>
        <w:autoSpaceDE w:val="0"/>
        <w:autoSpaceDN w:val="0"/>
        <w:adjustRightInd w:val="0"/>
        <w:spacing w:line="240" w:lineRule="auto"/>
        <w:rPr>
          <w:rFonts w:ascii="Arial" w:hAnsi="Arial" w:cs="Arial"/>
          <w:b/>
          <w:bCs/>
          <w:i/>
          <w:iCs/>
          <w:szCs w:val="24"/>
        </w:rPr>
      </w:pPr>
      <w:r w:rsidRPr="001427AF">
        <w:rPr>
          <w:rFonts w:ascii="Arial" w:hAnsi="Arial" w:cs="Arial"/>
          <w:szCs w:val="24"/>
        </w:rPr>
        <w:t>CSI-LP schools are the lowest performing 5% of all schools receiving Title I, Part A funds (served) in the state.</w:t>
      </w:r>
    </w:p>
    <w:p w14:paraId="725138E4" w14:textId="6F311F5D" w:rsidR="00D254E9" w:rsidRPr="001427AF" w:rsidRDefault="00D254E9" w:rsidP="00CA5853">
      <w:pPr>
        <w:numPr>
          <w:ilvl w:val="0"/>
          <w:numId w:val="158"/>
        </w:numPr>
        <w:autoSpaceDE w:val="0"/>
        <w:autoSpaceDN w:val="0"/>
        <w:adjustRightInd w:val="0"/>
        <w:spacing w:line="240" w:lineRule="auto"/>
        <w:rPr>
          <w:rFonts w:ascii="Arial" w:hAnsi="Arial" w:cs="Arial"/>
          <w:szCs w:val="24"/>
        </w:rPr>
      </w:pPr>
      <w:r w:rsidRPr="001427AF">
        <w:rPr>
          <w:rFonts w:ascii="Arial" w:hAnsi="Arial" w:cs="Arial"/>
          <w:szCs w:val="24"/>
        </w:rPr>
        <w:t>Process of identifying the lowest 5% during an identification year:</w:t>
      </w:r>
    </w:p>
    <w:p w14:paraId="31007C10" w14:textId="249994DD" w:rsidR="00D254E9" w:rsidRPr="001427AF" w:rsidRDefault="00D254E9" w:rsidP="00CA5853">
      <w:pPr>
        <w:numPr>
          <w:ilvl w:val="1"/>
          <w:numId w:val="158"/>
        </w:numPr>
        <w:autoSpaceDE w:val="0"/>
        <w:autoSpaceDN w:val="0"/>
        <w:adjustRightInd w:val="0"/>
        <w:spacing w:line="240" w:lineRule="auto"/>
        <w:rPr>
          <w:rFonts w:ascii="Arial" w:hAnsi="Arial" w:cs="Arial"/>
          <w:szCs w:val="24"/>
        </w:rPr>
      </w:pPr>
      <w:r w:rsidRPr="001427AF">
        <w:rPr>
          <w:rFonts w:ascii="Arial" w:hAnsi="Arial" w:cs="Arial"/>
          <w:szCs w:val="24"/>
        </w:rPr>
        <w:t>Identify the total number of Title I served schools in the previous school year.</w:t>
      </w:r>
    </w:p>
    <w:p w14:paraId="7AA447C1" w14:textId="4A8D2A38" w:rsidR="00D254E9" w:rsidRPr="001427AF" w:rsidRDefault="00D254E9" w:rsidP="00CA5853">
      <w:pPr>
        <w:numPr>
          <w:ilvl w:val="2"/>
          <w:numId w:val="158"/>
        </w:numPr>
        <w:autoSpaceDE w:val="0"/>
        <w:autoSpaceDN w:val="0"/>
        <w:adjustRightInd w:val="0"/>
        <w:spacing w:line="240" w:lineRule="auto"/>
        <w:rPr>
          <w:rFonts w:ascii="Arial" w:hAnsi="Arial" w:cs="Arial"/>
          <w:szCs w:val="24"/>
        </w:rPr>
      </w:pPr>
      <w:r w:rsidRPr="001427AF">
        <w:rPr>
          <w:rFonts w:ascii="Arial" w:hAnsi="Arial" w:cs="Arial"/>
          <w:szCs w:val="24"/>
        </w:rPr>
        <w:t>Determine the number of schools that comprise 5% of Title I served schools.</w:t>
      </w:r>
    </w:p>
    <w:p w14:paraId="0B619E11" w14:textId="57F80E99" w:rsidR="00D254E9" w:rsidRPr="001427AF" w:rsidRDefault="00D254E9" w:rsidP="00CA5853">
      <w:pPr>
        <w:numPr>
          <w:ilvl w:val="1"/>
          <w:numId w:val="158"/>
        </w:numPr>
        <w:autoSpaceDE w:val="0"/>
        <w:autoSpaceDN w:val="0"/>
        <w:adjustRightInd w:val="0"/>
        <w:spacing w:line="240" w:lineRule="auto"/>
        <w:rPr>
          <w:rFonts w:ascii="Arial" w:hAnsi="Arial" w:cs="Arial"/>
          <w:szCs w:val="24"/>
        </w:rPr>
      </w:pPr>
      <w:r w:rsidRPr="001427AF">
        <w:rPr>
          <w:rFonts w:ascii="Arial" w:hAnsi="Arial" w:cs="Arial"/>
          <w:szCs w:val="24"/>
        </w:rPr>
        <w:t xml:space="preserve">Remove from consideration closed schools, </w:t>
      </w:r>
      <w:r w:rsidR="003831FE">
        <w:rPr>
          <w:rFonts w:ascii="Arial" w:hAnsi="Arial" w:cs="Arial"/>
          <w:szCs w:val="24"/>
        </w:rPr>
        <w:t xml:space="preserve">and </w:t>
      </w:r>
      <w:r w:rsidRPr="001427AF">
        <w:rPr>
          <w:rFonts w:ascii="Arial" w:hAnsi="Arial" w:cs="Arial"/>
          <w:szCs w:val="24"/>
        </w:rPr>
        <w:t>schools in the identification year that have become non-Title I schools</w:t>
      </w:r>
      <w:r w:rsidR="00687D29">
        <w:rPr>
          <w:rFonts w:ascii="Arial" w:hAnsi="Arial" w:cs="Arial"/>
          <w:szCs w:val="24"/>
        </w:rPr>
        <w:t>.</w:t>
      </w:r>
    </w:p>
    <w:p w14:paraId="3AF9BBD5" w14:textId="6254EC7B" w:rsidR="00D254E9" w:rsidRPr="001427AF" w:rsidRDefault="00D254E9" w:rsidP="00CA5853">
      <w:pPr>
        <w:numPr>
          <w:ilvl w:val="1"/>
          <w:numId w:val="158"/>
        </w:numPr>
        <w:autoSpaceDE w:val="0"/>
        <w:autoSpaceDN w:val="0"/>
        <w:adjustRightInd w:val="0"/>
        <w:spacing w:line="240" w:lineRule="auto"/>
        <w:rPr>
          <w:rFonts w:ascii="Arial" w:hAnsi="Arial" w:cs="Arial"/>
          <w:szCs w:val="24"/>
        </w:rPr>
      </w:pPr>
      <w:r w:rsidRPr="001427AF">
        <w:rPr>
          <w:rFonts w:ascii="Arial" w:hAnsi="Arial" w:cs="Arial"/>
          <w:szCs w:val="24"/>
        </w:rPr>
        <w:t>Determine the overall SPG score of the highest performing school in the bottom 5% of current Title I served schools.</w:t>
      </w:r>
    </w:p>
    <w:p w14:paraId="19A7A310" w14:textId="6F010FE9" w:rsidR="00D254E9" w:rsidRPr="001427AF" w:rsidRDefault="00D254E9" w:rsidP="00CA5853">
      <w:pPr>
        <w:numPr>
          <w:ilvl w:val="1"/>
          <w:numId w:val="158"/>
        </w:numPr>
        <w:autoSpaceDE w:val="0"/>
        <w:autoSpaceDN w:val="0"/>
        <w:adjustRightInd w:val="0"/>
        <w:spacing w:line="240" w:lineRule="auto"/>
        <w:rPr>
          <w:rFonts w:ascii="Arial" w:hAnsi="Arial" w:cs="Arial"/>
          <w:szCs w:val="24"/>
        </w:rPr>
      </w:pPr>
      <w:r w:rsidRPr="001427AF">
        <w:rPr>
          <w:rFonts w:ascii="Arial" w:hAnsi="Arial" w:cs="Arial"/>
          <w:szCs w:val="24"/>
        </w:rPr>
        <w:t>All eligible schools with the same score or lower are identified as CSI-LP.</w:t>
      </w:r>
    </w:p>
    <w:p w14:paraId="4F2757A1" w14:textId="16CC46B2" w:rsidR="00D254E9" w:rsidRPr="001427AF" w:rsidRDefault="00D254E9" w:rsidP="00CA5853">
      <w:pPr>
        <w:numPr>
          <w:ilvl w:val="2"/>
          <w:numId w:val="158"/>
        </w:numPr>
        <w:autoSpaceDE w:val="0"/>
        <w:autoSpaceDN w:val="0"/>
        <w:adjustRightInd w:val="0"/>
        <w:spacing w:line="240" w:lineRule="auto"/>
        <w:rPr>
          <w:rFonts w:ascii="Arial" w:hAnsi="Arial" w:cs="Arial"/>
          <w:szCs w:val="24"/>
        </w:rPr>
      </w:pPr>
      <w:r w:rsidRPr="001427AF">
        <w:rPr>
          <w:rFonts w:ascii="Arial" w:hAnsi="Arial" w:cs="Arial"/>
          <w:szCs w:val="24"/>
        </w:rPr>
        <w:t>Ties at the highest score may result in greater than 5% of schools identified.</w:t>
      </w:r>
    </w:p>
    <w:p w14:paraId="252D233F" w14:textId="35C0E79E" w:rsidR="008B001D" w:rsidRPr="001427AF" w:rsidRDefault="00D254E9" w:rsidP="00CA5853">
      <w:pPr>
        <w:numPr>
          <w:ilvl w:val="0"/>
          <w:numId w:val="158"/>
        </w:numPr>
        <w:autoSpaceDE w:val="0"/>
        <w:autoSpaceDN w:val="0"/>
        <w:adjustRightInd w:val="0"/>
        <w:spacing w:line="240" w:lineRule="auto"/>
        <w:rPr>
          <w:rFonts w:ascii="Arial" w:hAnsi="Arial" w:cs="Arial"/>
          <w:szCs w:val="24"/>
        </w:rPr>
      </w:pPr>
      <w:r w:rsidRPr="001427AF">
        <w:rPr>
          <w:rFonts w:ascii="Arial" w:hAnsi="Arial" w:cs="Arial"/>
          <w:szCs w:val="24"/>
        </w:rPr>
        <w:t>CSI-LP schools are identified every three years.</w:t>
      </w:r>
    </w:p>
    <w:p w14:paraId="00E050EC" w14:textId="448260C7" w:rsidR="00D254E9" w:rsidRPr="001427AF" w:rsidRDefault="00D254E9" w:rsidP="00CA5853">
      <w:pPr>
        <w:pStyle w:val="ListParagraph"/>
        <w:numPr>
          <w:ilvl w:val="0"/>
          <w:numId w:val="158"/>
        </w:numPr>
        <w:rPr>
          <w:rFonts w:ascii="Arial" w:hAnsi="Arial" w:cs="Arial"/>
        </w:rPr>
      </w:pPr>
      <w:r w:rsidRPr="001427AF">
        <w:rPr>
          <w:rFonts w:ascii="Arial" w:hAnsi="Arial" w:cs="Arial"/>
        </w:rPr>
        <w:t xml:space="preserve">CSI-LP schools can </w:t>
      </w:r>
      <w:proofErr w:type="gramStart"/>
      <w:r w:rsidRPr="001427AF">
        <w:rPr>
          <w:rFonts w:ascii="Arial" w:hAnsi="Arial" w:cs="Arial"/>
        </w:rPr>
        <w:t>exit</w:t>
      </w:r>
      <w:proofErr w:type="gramEnd"/>
      <w:r w:rsidRPr="001427AF">
        <w:rPr>
          <w:rFonts w:ascii="Arial" w:hAnsi="Arial" w:cs="Arial"/>
        </w:rPr>
        <w:t xml:space="preserve"> every </w:t>
      </w:r>
      <w:r w:rsidR="00F84588" w:rsidRPr="001427AF">
        <w:rPr>
          <w:rFonts w:ascii="Arial" w:hAnsi="Arial" w:cs="Arial"/>
        </w:rPr>
        <w:t>three</w:t>
      </w:r>
      <w:r w:rsidRPr="001427AF">
        <w:rPr>
          <w:rFonts w:ascii="Arial" w:hAnsi="Arial" w:cs="Arial"/>
        </w:rPr>
        <w:t xml:space="preserve"> years.</w:t>
      </w:r>
    </w:p>
    <w:p w14:paraId="388D1346" w14:textId="58C79DF7" w:rsidR="00D254E9" w:rsidRPr="001427AF" w:rsidRDefault="00D254E9" w:rsidP="00CA5853">
      <w:pPr>
        <w:pStyle w:val="ListParagraph"/>
        <w:numPr>
          <w:ilvl w:val="0"/>
          <w:numId w:val="158"/>
        </w:numPr>
        <w:rPr>
          <w:rFonts w:ascii="Arial" w:hAnsi="Arial" w:cs="Arial"/>
        </w:rPr>
      </w:pPr>
      <w:r w:rsidRPr="001427AF">
        <w:rPr>
          <w:rFonts w:ascii="Arial" w:hAnsi="Arial" w:cs="Arial"/>
        </w:rPr>
        <w:t>CSI-LP schools can also be identified as CSI-LG schools.</w:t>
      </w:r>
    </w:p>
    <w:p w14:paraId="17293E59" w14:textId="7D03E73E" w:rsidR="00D254E9" w:rsidRDefault="00D254E9" w:rsidP="00CA5853">
      <w:pPr>
        <w:pStyle w:val="ListParagraph"/>
        <w:numPr>
          <w:ilvl w:val="0"/>
          <w:numId w:val="158"/>
        </w:numPr>
        <w:rPr>
          <w:rFonts w:ascii="Arial" w:hAnsi="Arial" w:cs="Arial"/>
        </w:rPr>
      </w:pPr>
      <w:r w:rsidRPr="001427AF">
        <w:rPr>
          <w:rFonts w:ascii="Arial" w:hAnsi="Arial" w:cs="Arial"/>
        </w:rPr>
        <w:t>CSI-LP schools cannot be identified as TSI-Consistently Underperforming Subgroups (TSI-CU), TSI-Additional Targeted Support (TSI-AT) or CSI-Additional Targeted Support Not Exiting Such Status (CSI-AT).</w:t>
      </w:r>
    </w:p>
    <w:p w14:paraId="31C7B729" w14:textId="19CB1F8D" w:rsidR="00A92EE0" w:rsidRPr="00A92EE0" w:rsidRDefault="00A92EE0" w:rsidP="00CA5853">
      <w:pPr>
        <w:pStyle w:val="ListParagraph"/>
        <w:numPr>
          <w:ilvl w:val="0"/>
          <w:numId w:val="158"/>
        </w:numPr>
        <w:rPr>
          <w:rFonts w:ascii="Arial" w:hAnsi="Arial" w:cs="Arial"/>
        </w:rPr>
      </w:pPr>
      <w:r>
        <w:rPr>
          <w:rFonts w:ascii="Arial" w:hAnsi="Arial" w:cs="Arial"/>
        </w:rPr>
        <w:t xml:space="preserve">If a school is no longer Title 1 served after it was initially identified, it </w:t>
      </w:r>
      <w:proofErr w:type="gramStart"/>
      <w:r>
        <w:rPr>
          <w:rFonts w:ascii="Arial" w:hAnsi="Arial" w:cs="Arial"/>
        </w:rPr>
        <w:t>continue</w:t>
      </w:r>
      <w:r w:rsidR="00E06B36">
        <w:rPr>
          <w:rFonts w:ascii="Arial" w:hAnsi="Arial" w:cs="Arial"/>
        </w:rPr>
        <w:t>s</w:t>
      </w:r>
      <w:r>
        <w:rPr>
          <w:rFonts w:ascii="Arial" w:hAnsi="Arial" w:cs="Arial"/>
        </w:rPr>
        <w:t xml:space="preserve"> on</w:t>
      </w:r>
      <w:proofErr w:type="gramEnd"/>
      <w:r>
        <w:rPr>
          <w:rFonts w:ascii="Arial" w:hAnsi="Arial" w:cs="Arial"/>
        </w:rPr>
        <w:t xml:space="preserve"> the CSI-LP list until it can exit using the below exit criteria.</w:t>
      </w:r>
    </w:p>
    <w:p w14:paraId="4C2B9618" w14:textId="77777777" w:rsidR="00B527D7" w:rsidRPr="001427AF" w:rsidRDefault="00B527D7" w:rsidP="00347A69">
      <w:pPr>
        <w:rPr>
          <w:rFonts w:ascii="Arial" w:hAnsi="Arial" w:cs="Arial"/>
        </w:rPr>
      </w:pPr>
    </w:p>
    <w:p w14:paraId="0299CB38" w14:textId="762DAE50" w:rsidR="00DD28CF" w:rsidRPr="001427AF" w:rsidRDefault="00DD28CF" w:rsidP="00DD28CF">
      <w:pPr>
        <w:spacing w:line="240" w:lineRule="auto"/>
        <w:contextualSpacing/>
        <w:rPr>
          <w:rFonts w:ascii="Arial" w:hAnsi="Arial" w:cs="Arial"/>
          <w:szCs w:val="24"/>
        </w:rPr>
        <w:sectPr w:rsidR="00DD28CF" w:rsidRPr="001427AF" w:rsidSect="00DD28CF">
          <w:headerReference w:type="even" r:id="rId41"/>
          <w:headerReference w:type="default" r:id="rId42"/>
          <w:headerReference w:type="first" r:id="rId43"/>
          <w:footerReference w:type="first" r:id="rId44"/>
          <w:pgSz w:w="12240" w:h="15840" w:code="1"/>
          <w:pgMar w:top="1440" w:right="1440" w:bottom="1440" w:left="1440" w:header="432" w:footer="475" w:gutter="0"/>
          <w:cols w:space="720"/>
          <w:noEndnote/>
          <w:docGrid w:linePitch="326"/>
        </w:sectPr>
      </w:pPr>
      <w:r w:rsidRPr="001427AF">
        <w:rPr>
          <w:rFonts w:ascii="Arial" w:hAnsi="Arial" w:cs="Arial"/>
          <w:i/>
          <w:iCs/>
          <w:szCs w:val="24"/>
        </w:rPr>
        <w:t>CSI-LP exit criteria.</w:t>
      </w:r>
      <w:r w:rsidRPr="001427AF">
        <w:rPr>
          <w:rFonts w:ascii="Arial" w:hAnsi="Arial" w:cs="Arial"/>
          <w:szCs w:val="24"/>
        </w:rPr>
        <w:t xml:space="preserve"> </w:t>
      </w:r>
      <w:proofErr w:type="gramStart"/>
      <w:r w:rsidRPr="001427AF">
        <w:rPr>
          <w:rFonts w:ascii="Arial" w:hAnsi="Arial" w:cs="Arial"/>
          <w:szCs w:val="24"/>
        </w:rPr>
        <w:t>Achieve</w:t>
      </w:r>
      <w:proofErr w:type="gramEnd"/>
      <w:r w:rsidRPr="001427AF">
        <w:rPr>
          <w:rFonts w:ascii="Arial" w:hAnsi="Arial" w:cs="Arial"/>
          <w:szCs w:val="24"/>
        </w:rPr>
        <w:t xml:space="preserve"> above the lowest 5% of Title I served schools for the most recent and previous school year </w:t>
      </w:r>
      <w:r w:rsidRPr="001427AF">
        <w:rPr>
          <w:rFonts w:ascii="Arial" w:hAnsi="Arial" w:cs="Arial"/>
          <w:i/>
          <w:iCs/>
          <w:szCs w:val="24"/>
        </w:rPr>
        <w:t>and</w:t>
      </w:r>
      <w:r w:rsidRPr="001427AF">
        <w:rPr>
          <w:rFonts w:ascii="Arial" w:hAnsi="Arial" w:cs="Arial"/>
          <w:szCs w:val="24"/>
        </w:rPr>
        <w:t xml:space="preserve"> </w:t>
      </w:r>
      <w:proofErr w:type="gramStart"/>
      <w:r w:rsidRPr="001427AF">
        <w:rPr>
          <w:rFonts w:ascii="Arial" w:hAnsi="Arial" w:cs="Arial"/>
          <w:szCs w:val="24"/>
        </w:rPr>
        <w:t>meet</w:t>
      </w:r>
      <w:proofErr w:type="gramEnd"/>
      <w:r w:rsidRPr="001427AF">
        <w:rPr>
          <w:rFonts w:ascii="Arial" w:hAnsi="Arial" w:cs="Arial"/>
          <w:szCs w:val="24"/>
        </w:rPr>
        <w:t xml:space="preserve"> measure of interim progress for the </w:t>
      </w:r>
      <w:proofErr w:type="gramStart"/>
      <w:r w:rsidRPr="001427AF">
        <w:rPr>
          <w:rFonts w:ascii="Arial" w:hAnsi="Arial" w:cs="Arial"/>
          <w:szCs w:val="24"/>
        </w:rPr>
        <w:t>All Student</w:t>
      </w:r>
      <w:proofErr w:type="gramEnd"/>
      <w:r w:rsidRPr="001427AF">
        <w:rPr>
          <w:rFonts w:ascii="Arial" w:hAnsi="Arial" w:cs="Arial"/>
          <w:szCs w:val="24"/>
        </w:rPr>
        <w:t xml:space="preserve"> subgroup in all subjects (i.e., reading and math). </w:t>
      </w:r>
    </w:p>
    <w:p w14:paraId="7CE1F46B" w14:textId="7BDF8F9D" w:rsidR="00D254E9" w:rsidRPr="001427AF" w:rsidRDefault="00D254E9" w:rsidP="00B76243">
      <w:pPr>
        <w:pStyle w:val="Heading3"/>
      </w:pPr>
      <w:bookmarkStart w:id="790" w:name="_Toc135812555"/>
      <w:bookmarkStart w:id="791" w:name="_Toc136418936"/>
      <w:bookmarkStart w:id="792" w:name="_Toc136419192"/>
      <w:bookmarkStart w:id="793" w:name="_Toc225405011"/>
      <w:r w:rsidRPr="001427AF">
        <w:t>Steps for CSI-LP Identification</w:t>
      </w:r>
      <w:bookmarkEnd w:id="790"/>
      <w:bookmarkEnd w:id="791"/>
      <w:bookmarkEnd w:id="792"/>
      <w:bookmarkEnd w:id="793"/>
    </w:p>
    <w:p w14:paraId="036AAE6D" w14:textId="738CF151" w:rsidR="00D254E9" w:rsidRPr="001427AF" w:rsidRDefault="00D254E9" w:rsidP="00CA5853">
      <w:pPr>
        <w:pStyle w:val="ListParagraph"/>
        <w:numPr>
          <w:ilvl w:val="0"/>
          <w:numId w:val="103"/>
        </w:numPr>
        <w:rPr>
          <w:rFonts w:ascii="Arial" w:hAnsi="Arial" w:cs="Arial"/>
        </w:rPr>
      </w:pPr>
      <w:r w:rsidRPr="001427AF">
        <w:rPr>
          <w:rFonts w:ascii="Arial" w:hAnsi="Arial" w:cs="Arial"/>
        </w:rPr>
        <w:t xml:space="preserve">Exit schools that meet the </w:t>
      </w:r>
      <w:r w:rsidR="00DE4E6B" w:rsidRPr="001427AF">
        <w:rPr>
          <w:rFonts w:ascii="Arial" w:hAnsi="Arial" w:cs="Arial"/>
        </w:rPr>
        <w:t xml:space="preserve">CSI-LP </w:t>
      </w:r>
      <w:r w:rsidRPr="001427AF">
        <w:rPr>
          <w:rFonts w:ascii="Arial" w:hAnsi="Arial" w:cs="Arial"/>
        </w:rPr>
        <w:t>exit criteria</w:t>
      </w:r>
      <w:r w:rsidR="00020C76" w:rsidRPr="001427AF">
        <w:rPr>
          <w:rFonts w:ascii="Arial" w:hAnsi="Arial" w:cs="Arial"/>
        </w:rPr>
        <w:t xml:space="preserve"> in subsection 9.2</w:t>
      </w:r>
      <w:r w:rsidRPr="001427AF" w:rsidDel="00020C76">
        <w:rPr>
          <w:rFonts w:ascii="Arial" w:hAnsi="Arial" w:cs="Arial"/>
        </w:rPr>
        <w:t>.</w:t>
      </w:r>
    </w:p>
    <w:p w14:paraId="2EB24153" w14:textId="574EA35F" w:rsidR="00D254E9" w:rsidRPr="001427AF" w:rsidRDefault="00D254E9" w:rsidP="00CA5853">
      <w:pPr>
        <w:pStyle w:val="ListParagraph"/>
        <w:numPr>
          <w:ilvl w:val="1"/>
          <w:numId w:val="103"/>
        </w:numPr>
        <w:rPr>
          <w:rFonts w:ascii="Arial" w:hAnsi="Arial" w:cs="Arial"/>
        </w:rPr>
      </w:pPr>
      <w:r w:rsidRPr="001427AF">
        <w:rPr>
          <w:rFonts w:ascii="Arial" w:hAnsi="Arial" w:cs="Arial"/>
        </w:rPr>
        <w:t xml:space="preserve">Schools </w:t>
      </w:r>
      <w:r w:rsidR="00692243" w:rsidRPr="001427AF">
        <w:rPr>
          <w:rFonts w:ascii="Arial" w:hAnsi="Arial" w:cs="Arial"/>
        </w:rPr>
        <w:t xml:space="preserve">identified </w:t>
      </w:r>
      <w:r w:rsidR="006C1B6C" w:rsidRPr="001427AF">
        <w:rPr>
          <w:rFonts w:ascii="Arial" w:hAnsi="Arial" w:cs="Arial"/>
        </w:rPr>
        <w:t>at the start of the</w:t>
      </w:r>
      <w:r w:rsidR="00692243" w:rsidRPr="001427AF">
        <w:rPr>
          <w:rFonts w:ascii="Arial" w:hAnsi="Arial" w:cs="Arial"/>
        </w:rPr>
        <w:t xml:space="preserve"> 2018–19</w:t>
      </w:r>
      <w:r w:rsidR="006C1B6C" w:rsidRPr="001427AF">
        <w:rPr>
          <w:rFonts w:ascii="Arial" w:hAnsi="Arial" w:cs="Arial"/>
        </w:rPr>
        <w:t xml:space="preserve"> school year</w:t>
      </w:r>
      <w:r w:rsidR="00F66F88" w:rsidRPr="001427AF">
        <w:rPr>
          <w:rFonts w:ascii="Arial" w:hAnsi="Arial" w:cs="Arial"/>
        </w:rPr>
        <w:t>,</w:t>
      </w:r>
      <w:r w:rsidR="00692243" w:rsidRPr="001427AF">
        <w:rPr>
          <w:rFonts w:ascii="Arial" w:hAnsi="Arial" w:cs="Arial"/>
        </w:rPr>
        <w:t xml:space="preserve"> </w:t>
      </w:r>
      <w:r w:rsidRPr="001427AF">
        <w:rPr>
          <w:rFonts w:ascii="Arial" w:hAnsi="Arial" w:cs="Arial"/>
        </w:rPr>
        <w:t>that cannot exit</w:t>
      </w:r>
      <w:r w:rsidR="00F66F88" w:rsidRPr="001427AF">
        <w:rPr>
          <w:rFonts w:ascii="Arial" w:hAnsi="Arial" w:cs="Arial"/>
        </w:rPr>
        <w:t xml:space="preserve">, stay </w:t>
      </w:r>
      <w:r w:rsidRPr="001427AF">
        <w:rPr>
          <w:rFonts w:ascii="Arial" w:hAnsi="Arial" w:cs="Arial"/>
        </w:rPr>
        <w:t>in Tier 2. This tier indicates that schools receive additional support to implement more rigorous interventions.</w:t>
      </w:r>
      <w:r w:rsidR="001B3A81" w:rsidRPr="001427AF">
        <w:rPr>
          <w:rFonts w:ascii="Arial" w:hAnsi="Arial" w:cs="Arial"/>
        </w:rPr>
        <w:t xml:space="preserve"> </w:t>
      </w:r>
      <w:r w:rsidR="005459A6" w:rsidRPr="001427AF">
        <w:rPr>
          <w:rFonts w:ascii="Arial" w:hAnsi="Arial" w:cs="Arial"/>
        </w:rPr>
        <w:t>(Tier 2, Group 1)</w:t>
      </w:r>
    </w:p>
    <w:p w14:paraId="575DB986" w14:textId="75D8A6AC" w:rsidR="00744AE4" w:rsidRPr="001427AF" w:rsidRDefault="001A0179" w:rsidP="00CA5853">
      <w:pPr>
        <w:pStyle w:val="ListParagraph"/>
        <w:numPr>
          <w:ilvl w:val="1"/>
          <w:numId w:val="103"/>
        </w:numPr>
        <w:rPr>
          <w:rFonts w:ascii="Arial" w:hAnsi="Arial" w:cs="Arial"/>
        </w:rPr>
      </w:pPr>
      <w:r w:rsidRPr="001427AF">
        <w:rPr>
          <w:rFonts w:ascii="Arial" w:hAnsi="Arial" w:cs="Arial"/>
        </w:rPr>
        <w:t xml:space="preserve">Schools identified </w:t>
      </w:r>
      <w:r w:rsidR="006C1B6C" w:rsidRPr="001427AF">
        <w:rPr>
          <w:rFonts w:ascii="Arial" w:hAnsi="Arial" w:cs="Arial"/>
        </w:rPr>
        <w:t>at the start of the</w:t>
      </w:r>
      <w:r w:rsidRPr="001427AF">
        <w:rPr>
          <w:rFonts w:ascii="Arial" w:hAnsi="Arial" w:cs="Arial"/>
        </w:rPr>
        <w:t xml:space="preserve"> 2022–23</w:t>
      </w:r>
      <w:r w:rsidR="006C1B6C" w:rsidRPr="001427AF">
        <w:rPr>
          <w:rFonts w:ascii="Arial" w:hAnsi="Arial" w:cs="Arial"/>
        </w:rPr>
        <w:t xml:space="preserve"> school year</w:t>
      </w:r>
      <w:r w:rsidRPr="001427AF">
        <w:rPr>
          <w:rFonts w:ascii="Arial" w:hAnsi="Arial" w:cs="Arial"/>
        </w:rPr>
        <w:t>, that cannot exit</w:t>
      </w:r>
      <w:r w:rsidR="000C575D" w:rsidRPr="001427AF">
        <w:rPr>
          <w:rFonts w:ascii="Arial" w:hAnsi="Arial" w:cs="Arial"/>
        </w:rPr>
        <w:t xml:space="preserve"> at the end of the 2024–25 school year</w:t>
      </w:r>
      <w:r w:rsidRPr="001427AF">
        <w:rPr>
          <w:rFonts w:ascii="Arial" w:hAnsi="Arial" w:cs="Arial"/>
        </w:rPr>
        <w:t xml:space="preserve"> </w:t>
      </w:r>
      <w:r w:rsidR="00D4534C">
        <w:rPr>
          <w:rFonts w:ascii="Arial" w:hAnsi="Arial" w:cs="Arial"/>
        </w:rPr>
        <w:t>are</w:t>
      </w:r>
      <w:r w:rsidRPr="001427AF" w:rsidDel="00D4534C">
        <w:rPr>
          <w:rFonts w:ascii="Arial" w:hAnsi="Arial" w:cs="Arial"/>
        </w:rPr>
        <w:t xml:space="preserve"> </w:t>
      </w:r>
      <w:r w:rsidR="00744AE4" w:rsidRPr="001427AF">
        <w:rPr>
          <w:rFonts w:ascii="Arial" w:hAnsi="Arial" w:cs="Arial"/>
        </w:rPr>
        <w:t xml:space="preserve">Tier 2, Group 2. </w:t>
      </w:r>
    </w:p>
    <w:p w14:paraId="0780C9B3" w14:textId="770E28F7" w:rsidR="00D254E9" w:rsidRPr="001427AF" w:rsidRDefault="00D254E9" w:rsidP="00CA5853">
      <w:pPr>
        <w:pStyle w:val="ListParagraph"/>
        <w:numPr>
          <w:ilvl w:val="0"/>
          <w:numId w:val="103"/>
        </w:numPr>
        <w:rPr>
          <w:rFonts w:ascii="Arial" w:hAnsi="Arial" w:cs="Arial"/>
        </w:rPr>
      </w:pPr>
      <w:r w:rsidRPr="001427AF">
        <w:rPr>
          <w:rFonts w:ascii="Arial" w:hAnsi="Arial" w:cs="Arial"/>
        </w:rPr>
        <w:t>Identify the bottom 5% of Title I schools that meet the identification criteria</w:t>
      </w:r>
      <w:r w:rsidR="00020C76" w:rsidRPr="001427AF">
        <w:rPr>
          <w:rFonts w:ascii="Arial" w:hAnsi="Arial" w:cs="Arial"/>
        </w:rPr>
        <w:t xml:space="preserve"> </w:t>
      </w:r>
      <w:r w:rsidR="00DE4E6B" w:rsidRPr="001427AF">
        <w:rPr>
          <w:rFonts w:ascii="Arial" w:hAnsi="Arial" w:cs="Arial"/>
        </w:rPr>
        <w:t>in</w:t>
      </w:r>
      <w:r w:rsidR="00020C76" w:rsidRPr="001427AF">
        <w:rPr>
          <w:rFonts w:ascii="Arial" w:hAnsi="Arial" w:cs="Arial"/>
        </w:rPr>
        <w:t xml:space="preserve"> subsection 9.2</w:t>
      </w:r>
      <w:r w:rsidRPr="001427AF">
        <w:rPr>
          <w:rFonts w:ascii="Arial" w:hAnsi="Arial" w:cs="Arial"/>
        </w:rPr>
        <w:t>.</w:t>
      </w:r>
    </w:p>
    <w:p w14:paraId="44BF19CA" w14:textId="16D681FE" w:rsidR="008354E0" w:rsidRPr="001427AF" w:rsidRDefault="008354E0" w:rsidP="00CA5853">
      <w:pPr>
        <w:pStyle w:val="ListParagraph"/>
        <w:numPr>
          <w:ilvl w:val="1"/>
          <w:numId w:val="103"/>
        </w:numPr>
        <w:rPr>
          <w:rFonts w:ascii="Arial" w:hAnsi="Arial" w:cs="Arial"/>
        </w:rPr>
      </w:pPr>
      <w:r w:rsidRPr="001427AF">
        <w:rPr>
          <w:rFonts w:ascii="Arial" w:hAnsi="Arial" w:cs="Arial"/>
        </w:rPr>
        <w:lastRenderedPageBreak/>
        <w:t xml:space="preserve">Fall 2025–26 identified schools that are not already Tier 2 schools (newly identified) </w:t>
      </w:r>
      <w:r w:rsidR="006A791A">
        <w:rPr>
          <w:rFonts w:ascii="Arial" w:hAnsi="Arial" w:cs="Arial"/>
        </w:rPr>
        <w:t>are</w:t>
      </w:r>
      <w:r w:rsidRPr="001427AF">
        <w:rPr>
          <w:rFonts w:ascii="Arial" w:hAnsi="Arial" w:cs="Arial"/>
        </w:rPr>
        <w:t xml:space="preserve"> labeled Tier 1. This tier indicates the school has been newly identified and </w:t>
      </w:r>
      <w:r w:rsidR="00BE3F37">
        <w:rPr>
          <w:rFonts w:ascii="Arial" w:hAnsi="Arial" w:cs="Arial"/>
        </w:rPr>
        <w:t>is</w:t>
      </w:r>
      <w:r w:rsidRPr="001427AF" w:rsidDel="00BE3F37">
        <w:rPr>
          <w:rFonts w:ascii="Arial" w:hAnsi="Arial" w:cs="Arial"/>
        </w:rPr>
        <w:t xml:space="preserve"> </w:t>
      </w:r>
      <w:proofErr w:type="gramStart"/>
      <w:r w:rsidRPr="001427AF">
        <w:rPr>
          <w:rFonts w:ascii="Arial" w:hAnsi="Arial" w:cs="Arial"/>
        </w:rPr>
        <w:t>provided</w:t>
      </w:r>
      <w:proofErr w:type="gramEnd"/>
      <w:r w:rsidRPr="001427AF">
        <w:rPr>
          <w:rFonts w:ascii="Arial" w:hAnsi="Arial" w:cs="Arial"/>
        </w:rPr>
        <w:t xml:space="preserve"> additional support to implement interventions</w:t>
      </w:r>
      <w:r w:rsidR="00B91997" w:rsidRPr="001427AF">
        <w:rPr>
          <w:rFonts w:ascii="Arial" w:hAnsi="Arial" w:cs="Arial"/>
        </w:rPr>
        <w:t>.</w:t>
      </w:r>
      <w:bookmarkStart w:id="794" w:name="_Ref219470576"/>
      <w:r w:rsidR="00DB67EF">
        <w:rPr>
          <w:rFonts w:ascii="ZWAdobeF" w:hAnsi="ZWAdobeF" w:cs="ZWAdobeF"/>
          <w:color w:val="auto"/>
          <w:sz w:val="2"/>
          <w:szCs w:val="2"/>
        </w:rPr>
        <w:t>10F</w:t>
      </w:r>
      <w:r w:rsidR="00CD1221" w:rsidRPr="0084301E">
        <w:rPr>
          <w:rStyle w:val="FootnoteReference"/>
          <w:rFonts w:ascii="Arial" w:hAnsi="Arial" w:cs="Arial"/>
          <w:sz w:val="20"/>
        </w:rPr>
        <w:footnoteReference w:customMarkFollows="1" w:id="12"/>
        <w:t>1</w:t>
      </w:r>
      <w:bookmarkEnd w:id="794"/>
    </w:p>
    <w:p w14:paraId="161584B7" w14:textId="40EA0567" w:rsidR="008C53B9" w:rsidRPr="00445909" w:rsidRDefault="00D254E9" w:rsidP="00CA5853">
      <w:pPr>
        <w:pStyle w:val="ListParagraph"/>
        <w:numPr>
          <w:ilvl w:val="0"/>
          <w:numId w:val="103"/>
        </w:numPr>
        <w:rPr>
          <w:rFonts w:ascii="Arial" w:hAnsi="Arial" w:cs="Arial"/>
        </w:rPr>
      </w:pPr>
      <w:r w:rsidRPr="00445909">
        <w:rPr>
          <w:rFonts w:ascii="Arial" w:hAnsi="Arial" w:cs="Arial"/>
        </w:rPr>
        <w:t>The CSI</w:t>
      </w:r>
      <w:r w:rsidR="00020C76" w:rsidRPr="00445909">
        <w:rPr>
          <w:rFonts w:ascii="Arial" w:hAnsi="Arial" w:cs="Arial"/>
        </w:rPr>
        <w:t>-</w:t>
      </w:r>
      <w:r w:rsidRPr="00445909">
        <w:rPr>
          <w:rFonts w:ascii="Arial" w:hAnsi="Arial" w:cs="Arial"/>
        </w:rPr>
        <w:t>LP list contain</w:t>
      </w:r>
      <w:r w:rsidR="003539AB" w:rsidRPr="00445909">
        <w:rPr>
          <w:rFonts w:ascii="Arial" w:hAnsi="Arial" w:cs="Arial"/>
        </w:rPr>
        <w:t>s</w:t>
      </w:r>
      <w:r w:rsidRPr="00445909">
        <w:rPr>
          <w:rFonts w:ascii="Arial" w:hAnsi="Arial" w:cs="Arial"/>
        </w:rPr>
        <w:t xml:space="preserve"> both Tier 1 and Tier 2 schools and may exceed 5% of Title </w:t>
      </w:r>
      <w:r w:rsidR="00B91997" w:rsidRPr="00445909">
        <w:rPr>
          <w:rFonts w:ascii="Arial" w:hAnsi="Arial" w:cs="Arial"/>
        </w:rPr>
        <w:t>I</w:t>
      </w:r>
      <w:r w:rsidRPr="00445909">
        <w:rPr>
          <w:rFonts w:ascii="Arial" w:hAnsi="Arial" w:cs="Arial"/>
        </w:rPr>
        <w:t xml:space="preserve"> schools.</w:t>
      </w:r>
    </w:p>
    <w:p w14:paraId="6889C507" w14:textId="77777777" w:rsidR="00700155" w:rsidRPr="001427AF" w:rsidRDefault="00700155" w:rsidP="00D254E9">
      <w:pPr>
        <w:spacing w:line="240" w:lineRule="auto"/>
        <w:rPr>
          <w:rFonts w:ascii="Arial" w:hAnsi="Arial" w:cs="Arial"/>
        </w:rPr>
      </w:pPr>
    </w:p>
    <w:p w14:paraId="2C9DE488" w14:textId="22FF99E3" w:rsidR="00D254E9" w:rsidRPr="001427AF" w:rsidRDefault="00D254E9" w:rsidP="001514C3">
      <w:pPr>
        <w:pStyle w:val="Heading2"/>
      </w:pPr>
      <w:bookmarkStart w:id="795" w:name="_Toc114211830"/>
      <w:bookmarkStart w:id="796" w:name="_Toc135812556"/>
      <w:bookmarkStart w:id="797" w:name="_Toc136418937"/>
      <w:bookmarkStart w:id="798" w:name="_Toc136419193"/>
      <w:bookmarkStart w:id="799" w:name="_Toc225405012"/>
      <w:bookmarkStart w:id="800" w:name="_Toc100132580"/>
      <w:bookmarkStart w:id="801" w:name="_Toc100132784"/>
      <w:bookmarkStart w:id="802" w:name="_Toc100136585"/>
      <w:r w:rsidRPr="001427AF">
        <w:t>CSI</w:t>
      </w:r>
      <w:r w:rsidR="00020C76" w:rsidRPr="001427AF">
        <w:t>-</w:t>
      </w:r>
      <w:r w:rsidRPr="001427AF">
        <w:t>Low Graduation Rates</w:t>
      </w:r>
      <w:bookmarkEnd w:id="795"/>
      <w:bookmarkEnd w:id="796"/>
      <w:bookmarkEnd w:id="797"/>
      <w:bookmarkEnd w:id="798"/>
      <w:bookmarkEnd w:id="799"/>
      <w:bookmarkEnd w:id="800"/>
      <w:bookmarkEnd w:id="801"/>
      <w:bookmarkEnd w:id="802"/>
    </w:p>
    <w:p w14:paraId="4054F9AB" w14:textId="42BF6751" w:rsidR="00D254E9" w:rsidRPr="001427AF" w:rsidRDefault="00D254E9" w:rsidP="00D254E9">
      <w:pPr>
        <w:autoSpaceDE w:val="0"/>
        <w:autoSpaceDN w:val="0"/>
        <w:adjustRightInd w:val="0"/>
        <w:spacing w:line="240" w:lineRule="auto"/>
        <w:rPr>
          <w:rFonts w:ascii="Arial" w:hAnsi="Arial" w:cs="Arial"/>
          <w:b/>
          <w:bCs/>
          <w:i/>
          <w:iCs/>
          <w:szCs w:val="24"/>
        </w:rPr>
      </w:pPr>
      <w:r w:rsidRPr="001427AF">
        <w:rPr>
          <w:rFonts w:ascii="Arial" w:hAnsi="Arial" w:cs="Arial"/>
          <w:szCs w:val="24"/>
        </w:rPr>
        <w:t>North Carolina identifies high schools with a four-year cohort graduation rate less than 66.7% as needing comprehensive support and improvement regardless of Title I status.</w:t>
      </w:r>
    </w:p>
    <w:p w14:paraId="16FADACF" w14:textId="43EB5DB3" w:rsidR="00D254E9" w:rsidRPr="001427AF" w:rsidRDefault="00D254E9" w:rsidP="00CA5853">
      <w:pPr>
        <w:numPr>
          <w:ilvl w:val="0"/>
          <w:numId w:val="18"/>
        </w:numPr>
        <w:autoSpaceDE w:val="0"/>
        <w:autoSpaceDN w:val="0"/>
        <w:adjustRightInd w:val="0"/>
        <w:spacing w:line="240" w:lineRule="auto"/>
        <w:rPr>
          <w:rFonts w:ascii="Arial" w:hAnsi="Arial" w:cs="Arial"/>
          <w:szCs w:val="24"/>
        </w:rPr>
      </w:pPr>
      <w:r w:rsidRPr="001427AF">
        <w:rPr>
          <w:rFonts w:ascii="Arial" w:hAnsi="Arial" w:cs="Arial"/>
          <w:szCs w:val="24"/>
        </w:rPr>
        <w:t>Process of identifying low graduation rates:</w:t>
      </w:r>
    </w:p>
    <w:p w14:paraId="30A8E7D4" w14:textId="78928742" w:rsidR="00D254E9" w:rsidRPr="001427AF" w:rsidRDefault="00D254E9" w:rsidP="00CA5853">
      <w:pPr>
        <w:numPr>
          <w:ilvl w:val="1"/>
          <w:numId w:val="18"/>
        </w:numPr>
        <w:autoSpaceDE w:val="0"/>
        <w:autoSpaceDN w:val="0"/>
        <w:adjustRightInd w:val="0"/>
        <w:spacing w:line="240" w:lineRule="auto"/>
        <w:rPr>
          <w:rFonts w:ascii="Arial" w:hAnsi="Arial" w:cs="Arial"/>
        </w:rPr>
      </w:pPr>
      <w:r w:rsidRPr="001427AF">
        <w:rPr>
          <w:rFonts w:ascii="Arial" w:hAnsi="Arial" w:cs="Arial"/>
        </w:rPr>
        <w:t>Determine whether the minimum-</w:t>
      </w:r>
      <w:r w:rsidR="007D734B" w:rsidRPr="001427AF">
        <w:rPr>
          <w:rFonts w:ascii="Arial" w:hAnsi="Arial" w:cs="Arial"/>
        </w:rPr>
        <w:t>n</w:t>
      </w:r>
      <w:r w:rsidRPr="001427AF">
        <w:rPr>
          <w:rFonts w:ascii="Arial" w:hAnsi="Arial" w:cs="Arial"/>
        </w:rPr>
        <w:t xml:space="preserve"> for the cohort graduation rate is greater than or equal to thirty students. </w:t>
      </w:r>
    </w:p>
    <w:p w14:paraId="5AD2856F" w14:textId="37767C9C" w:rsidR="00D254E9" w:rsidRPr="001427AF" w:rsidRDefault="00D254E9" w:rsidP="00CA5853">
      <w:pPr>
        <w:numPr>
          <w:ilvl w:val="1"/>
          <w:numId w:val="18"/>
        </w:numPr>
        <w:autoSpaceDE w:val="0"/>
        <w:autoSpaceDN w:val="0"/>
        <w:adjustRightInd w:val="0"/>
        <w:spacing w:line="240" w:lineRule="auto"/>
        <w:rPr>
          <w:rFonts w:ascii="Arial" w:hAnsi="Arial" w:cs="Arial"/>
          <w:szCs w:val="24"/>
        </w:rPr>
      </w:pPr>
      <w:r w:rsidRPr="001427AF">
        <w:rPr>
          <w:rFonts w:ascii="Arial" w:hAnsi="Arial" w:cs="Arial"/>
          <w:szCs w:val="24"/>
        </w:rPr>
        <w:t>If it is, identify schools with a cohort graduation rate below 66.7%.</w:t>
      </w:r>
    </w:p>
    <w:p w14:paraId="5DD1FA6C" w14:textId="57974BAE" w:rsidR="00593E92" w:rsidRPr="001427AF" w:rsidRDefault="00D254E9" w:rsidP="00CA5853">
      <w:pPr>
        <w:pStyle w:val="ListParagraph"/>
        <w:numPr>
          <w:ilvl w:val="0"/>
          <w:numId w:val="18"/>
        </w:numPr>
        <w:rPr>
          <w:rFonts w:ascii="Arial" w:hAnsi="Arial" w:cs="Arial"/>
        </w:rPr>
      </w:pPr>
      <w:r w:rsidRPr="001427AF">
        <w:rPr>
          <w:rFonts w:ascii="Arial" w:hAnsi="Arial" w:cs="Arial"/>
        </w:rPr>
        <w:t>CSI-LG schools are identified every three years.</w:t>
      </w:r>
    </w:p>
    <w:p w14:paraId="0FE68D94" w14:textId="6B07B278" w:rsidR="008B53D1" w:rsidRPr="001427AF" w:rsidRDefault="008B53D1" w:rsidP="00CA5853">
      <w:pPr>
        <w:pStyle w:val="ListParagraph"/>
        <w:numPr>
          <w:ilvl w:val="0"/>
          <w:numId w:val="18"/>
        </w:numPr>
        <w:rPr>
          <w:rFonts w:ascii="Arial" w:hAnsi="Arial" w:cs="Arial"/>
        </w:rPr>
      </w:pPr>
      <w:r w:rsidRPr="001427AF">
        <w:rPr>
          <w:rFonts w:ascii="Arial" w:hAnsi="Arial" w:cs="Arial"/>
        </w:rPr>
        <w:t>CSI-LG schools can also be identified as CSI-LP schools.</w:t>
      </w:r>
    </w:p>
    <w:p w14:paraId="567C8D44" w14:textId="21569D1B" w:rsidR="003E0770" w:rsidRPr="001427AF" w:rsidRDefault="008B53D1" w:rsidP="00CA5853">
      <w:pPr>
        <w:pStyle w:val="ListParagraph"/>
        <w:numPr>
          <w:ilvl w:val="0"/>
          <w:numId w:val="18"/>
        </w:numPr>
        <w:rPr>
          <w:rFonts w:ascii="Arial" w:hAnsi="Arial" w:cs="Arial"/>
        </w:rPr>
      </w:pPr>
      <w:r w:rsidRPr="001427AF">
        <w:rPr>
          <w:rFonts w:ascii="Arial" w:hAnsi="Arial" w:cs="Arial"/>
        </w:rPr>
        <w:t>CSI-LG schools that are not identified as CSI-LP can also be identified as TSI-CU, TSI-AT, or CSI-AT schools.</w:t>
      </w:r>
    </w:p>
    <w:p w14:paraId="034454DB" w14:textId="12D5E3DC" w:rsidR="003E0770" w:rsidRPr="001427AF" w:rsidRDefault="003E0770" w:rsidP="00CA5853">
      <w:pPr>
        <w:pStyle w:val="ListParagraph"/>
        <w:numPr>
          <w:ilvl w:val="0"/>
          <w:numId w:val="18"/>
        </w:numPr>
        <w:rPr>
          <w:rFonts w:ascii="Arial" w:hAnsi="Arial" w:cs="Arial"/>
        </w:rPr>
      </w:pPr>
      <w:r w:rsidRPr="001427AF">
        <w:rPr>
          <w:rFonts w:ascii="Arial" w:hAnsi="Arial" w:cs="Arial"/>
        </w:rPr>
        <w:t xml:space="preserve">CSI-LG schools can </w:t>
      </w:r>
      <w:proofErr w:type="gramStart"/>
      <w:r w:rsidRPr="001427AF">
        <w:rPr>
          <w:rFonts w:ascii="Arial" w:hAnsi="Arial" w:cs="Arial"/>
        </w:rPr>
        <w:t>exit</w:t>
      </w:r>
      <w:proofErr w:type="gramEnd"/>
      <w:r w:rsidRPr="001427AF">
        <w:rPr>
          <w:rFonts w:ascii="Arial" w:hAnsi="Arial" w:cs="Arial"/>
        </w:rPr>
        <w:t xml:space="preserve"> every three years.</w:t>
      </w:r>
    </w:p>
    <w:p w14:paraId="6F77FF4B" w14:textId="77777777" w:rsidR="003E0770" w:rsidRPr="001427AF" w:rsidRDefault="003E0770" w:rsidP="003E0770">
      <w:pPr>
        <w:autoSpaceDE w:val="0"/>
        <w:autoSpaceDN w:val="0"/>
        <w:adjustRightInd w:val="0"/>
        <w:spacing w:line="240" w:lineRule="auto"/>
        <w:ind w:left="1440"/>
        <w:rPr>
          <w:rFonts w:ascii="Arial" w:hAnsi="Arial" w:cs="Arial"/>
          <w:szCs w:val="24"/>
        </w:rPr>
      </w:pPr>
    </w:p>
    <w:p w14:paraId="6989C0C1" w14:textId="32933A9A" w:rsidR="003E0770" w:rsidRPr="001427AF" w:rsidRDefault="003E0770" w:rsidP="003E0770">
      <w:pPr>
        <w:autoSpaceDE w:val="0"/>
        <w:autoSpaceDN w:val="0"/>
        <w:adjustRightInd w:val="0"/>
        <w:spacing w:line="240" w:lineRule="auto"/>
        <w:rPr>
          <w:rFonts w:ascii="Arial" w:hAnsi="Arial" w:cs="Arial"/>
          <w:szCs w:val="24"/>
        </w:rPr>
      </w:pPr>
      <w:r w:rsidRPr="001427AF">
        <w:rPr>
          <w:rFonts w:ascii="Arial" w:hAnsi="Arial" w:cs="Arial"/>
          <w:i/>
          <w:szCs w:val="24"/>
        </w:rPr>
        <w:t>CSI-LG exit criteria.</w:t>
      </w:r>
      <w:r w:rsidRPr="001427AF">
        <w:rPr>
          <w:rFonts w:ascii="Arial" w:hAnsi="Arial" w:cs="Arial"/>
          <w:szCs w:val="24"/>
        </w:rPr>
        <w:t xml:space="preserve"> Have a four-</w:t>
      </w:r>
      <w:proofErr w:type="gramStart"/>
      <w:r w:rsidRPr="001427AF">
        <w:rPr>
          <w:rFonts w:ascii="Arial" w:hAnsi="Arial" w:cs="Arial"/>
          <w:szCs w:val="24"/>
        </w:rPr>
        <w:t>year cohort</w:t>
      </w:r>
      <w:proofErr w:type="gramEnd"/>
      <w:r w:rsidRPr="001427AF">
        <w:rPr>
          <w:rFonts w:ascii="Arial" w:hAnsi="Arial" w:cs="Arial"/>
          <w:szCs w:val="24"/>
        </w:rPr>
        <w:t xml:space="preserve"> graduation rate greater than or equal to 66.7% in the most recent year and the previous year.</w:t>
      </w:r>
    </w:p>
    <w:p w14:paraId="057E4916" w14:textId="7D572064" w:rsidR="00D254E9" w:rsidRPr="001427AF" w:rsidRDefault="00D254E9" w:rsidP="00B76243">
      <w:pPr>
        <w:pStyle w:val="Heading3"/>
      </w:pPr>
      <w:bookmarkStart w:id="803" w:name="_Toc135812557"/>
      <w:bookmarkStart w:id="804" w:name="_Toc136418938"/>
      <w:bookmarkStart w:id="805" w:name="_Toc136419194"/>
      <w:bookmarkStart w:id="806" w:name="_Toc225405013"/>
      <w:r w:rsidRPr="001427AF">
        <w:t>Steps for CSI-LG Identification</w:t>
      </w:r>
      <w:bookmarkEnd w:id="803"/>
      <w:bookmarkEnd w:id="804"/>
      <w:bookmarkEnd w:id="805"/>
      <w:bookmarkEnd w:id="806"/>
    </w:p>
    <w:p w14:paraId="01B7F760" w14:textId="77777777" w:rsidR="00E13ED9" w:rsidRPr="001427AF" w:rsidRDefault="00E13ED9" w:rsidP="00CA5853">
      <w:pPr>
        <w:numPr>
          <w:ilvl w:val="0"/>
          <w:numId w:val="17"/>
        </w:numPr>
        <w:spacing w:line="240" w:lineRule="auto"/>
        <w:contextualSpacing/>
        <w:rPr>
          <w:rFonts w:ascii="Arial" w:hAnsi="Arial" w:cs="Arial"/>
        </w:rPr>
      </w:pPr>
      <w:r w:rsidRPr="001427AF">
        <w:rPr>
          <w:rFonts w:ascii="Arial" w:hAnsi="Arial" w:cs="Arial"/>
        </w:rPr>
        <w:t>Exit schools that meet the CSI-LG exit criteria in subsection 9.3.  </w:t>
      </w:r>
    </w:p>
    <w:p w14:paraId="0999C3A4" w14:textId="4F805C69" w:rsidR="00E13ED9" w:rsidRPr="001427AF" w:rsidRDefault="00E13ED9" w:rsidP="00CA5853">
      <w:pPr>
        <w:pStyle w:val="ListParagraph"/>
        <w:numPr>
          <w:ilvl w:val="1"/>
          <w:numId w:val="17"/>
        </w:numPr>
        <w:rPr>
          <w:rFonts w:ascii="Arial" w:hAnsi="Arial" w:cs="Arial"/>
        </w:rPr>
      </w:pPr>
      <w:r w:rsidRPr="001427AF">
        <w:rPr>
          <w:rFonts w:ascii="Arial" w:hAnsi="Arial" w:cs="Arial"/>
        </w:rPr>
        <w:t>Schools identified in 2018–19, that cannot exit, stay in Tier 2. This tier indicates that schools receive additional support to implement more rigorous interventions. (Tier 2, Group 1)</w:t>
      </w:r>
    </w:p>
    <w:p w14:paraId="6AF33309" w14:textId="0A66177E" w:rsidR="00E13ED9" w:rsidRPr="001427AF" w:rsidRDefault="00E13ED9" w:rsidP="00CA5853">
      <w:pPr>
        <w:pStyle w:val="ListParagraph"/>
        <w:numPr>
          <w:ilvl w:val="1"/>
          <w:numId w:val="17"/>
        </w:numPr>
        <w:rPr>
          <w:rFonts w:ascii="Arial" w:hAnsi="Arial" w:cs="Arial"/>
        </w:rPr>
      </w:pPr>
      <w:r w:rsidRPr="001427AF">
        <w:rPr>
          <w:rFonts w:ascii="Arial" w:hAnsi="Arial" w:cs="Arial"/>
        </w:rPr>
        <w:t xml:space="preserve">Schools identified in 2022–23, that cannot exit at the end of the 2024–25 school year </w:t>
      </w:r>
      <w:r w:rsidR="002F7B1A">
        <w:rPr>
          <w:rFonts w:ascii="Arial" w:hAnsi="Arial" w:cs="Arial"/>
        </w:rPr>
        <w:t>are</w:t>
      </w:r>
      <w:r w:rsidRPr="001427AF">
        <w:rPr>
          <w:rFonts w:ascii="Arial" w:hAnsi="Arial" w:cs="Arial"/>
        </w:rPr>
        <w:t xml:space="preserve"> Tier 2, Group 2.</w:t>
      </w:r>
    </w:p>
    <w:p w14:paraId="0EF9C38B" w14:textId="77777777" w:rsidR="00E13ED9" w:rsidRPr="001427AF" w:rsidRDefault="00E13ED9" w:rsidP="00CA5853">
      <w:pPr>
        <w:numPr>
          <w:ilvl w:val="0"/>
          <w:numId w:val="17"/>
        </w:numPr>
        <w:spacing w:line="240" w:lineRule="auto"/>
        <w:contextualSpacing/>
        <w:rPr>
          <w:rFonts w:ascii="Arial" w:hAnsi="Arial" w:cs="Arial"/>
        </w:rPr>
      </w:pPr>
      <w:r w:rsidRPr="001427AF">
        <w:rPr>
          <w:rFonts w:ascii="Arial" w:hAnsi="Arial" w:cs="Arial"/>
        </w:rPr>
        <w:t>Identify schools that meet the CSI-LG identification criteria in subsection 9.3.</w:t>
      </w:r>
    </w:p>
    <w:p w14:paraId="1ECF699D" w14:textId="0B3F40E6" w:rsidR="00E13ED9" w:rsidRPr="001427AF" w:rsidRDefault="00E13ED9" w:rsidP="00CA5853">
      <w:pPr>
        <w:numPr>
          <w:ilvl w:val="1"/>
          <w:numId w:val="17"/>
        </w:numPr>
        <w:spacing w:line="240" w:lineRule="auto"/>
        <w:contextualSpacing/>
        <w:rPr>
          <w:rFonts w:ascii="Arial" w:hAnsi="Arial" w:cs="Arial"/>
        </w:rPr>
      </w:pPr>
      <w:r w:rsidRPr="001427AF">
        <w:rPr>
          <w:rFonts w:ascii="Arial" w:hAnsi="Arial" w:cs="Arial"/>
        </w:rPr>
        <w:t xml:space="preserve">Fall 2025–26 identified schools that are not already Tier 2 schools (newly identified) </w:t>
      </w:r>
      <w:r w:rsidR="00C825B2">
        <w:rPr>
          <w:rFonts w:ascii="Arial" w:hAnsi="Arial" w:cs="Arial"/>
        </w:rPr>
        <w:t>are</w:t>
      </w:r>
      <w:r w:rsidRPr="001427AF">
        <w:rPr>
          <w:rFonts w:ascii="Arial" w:hAnsi="Arial" w:cs="Arial"/>
        </w:rPr>
        <w:t xml:space="preserve"> Tier 1. This tier indicates the school has been newly identified and </w:t>
      </w:r>
      <w:r w:rsidR="0087285C">
        <w:rPr>
          <w:rFonts w:ascii="Arial" w:hAnsi="Arial" w:cs="Arial"/>
        </w:rPr>
        <w:t>is</w:t>
      </w:r>
      <w:r w:rsidRPr="001427AF">
        <w:rPr>
          <w:rFonts w:ascii="Arial" w:hAnsi="Arial" w:cs="Arial"/>
        </w:rPr>
        <w:t xml:space="preserve"> </w:t>
      </w:r>
      <w:proofErr w:type="gramStart"/>
      <w:r w:rsidRPr="001427AF">
        <w:rPr>
          <w:rFonts w:ascii="Arial" w:hAnsi="Arial" w:cs="Arial"/>
        </w:rPr>
        <w:t>provided</w:t>
      </w:r>
      <w:proofErr w:type="gramEnd"/>
      <w:r w:rsidRPr="001427AF">
        <w:rPr>
          <w:rFonts w:ascii="Arial" w:hAnsi="Arial" w:cs="Arial"/>
        </w:rPr>
        <w:t xml:space="preserve"> additional support to implement interventions</w:t>
      </w:r>
      <w:r w:rsidRPr="00413BAA">
        <w:rPr>
          <w:rFonts w:ascii="Arial" w:hAnsi="Arial" w:cs="Arial"/>
        </w:rPr>
        <w:t>.</w:t>
      </w:r>
      <w:r w:rsidR="00E30257" w:rsidRPr="0084301E">
        <w:rPr>
          <w:rFonts w:ascii="Arial" w:hAnsi="Arial" w:cs="Arial"/>
          <w:vertAlign w:val="superscript"/>
        </w:rPr>
        <w:fldChar w:fldCharType="begin"/>
      </w:r>
      <w:r w:rsidR="00E30257" w:rsidRPr="0084301E">
        <w:rPr>
          <w:rFonts w:ascii="Arial" w:hAnsi="Arial" w:cs="Arial"/>
          <w:vertAlign w:val="superscript"/>
        </w:rPr>
        <w:instrText xml:space="preserve"> NOTEREF _Ref219470576 \h </w:instrText>
      </w:r>
      <w:r w:rsidR="00413BAA" w:rsidRPr="00413BAA">
        <w:rPr>
          <w:rFonts w:ascii="Arial" w:hAnsi="Arial" w:cs="Arial"/>
          <w:vertAlign w:val="superscript"/>
        </w:rPr>
        <w:instrText xml:space="preserve"> \* MERGEFORMAT </w:instrText>
      </w:r>
      <w:r w:rsidR="00E30257" w:rsidRPr="0084301E">
        <w:rPr>
          <w:rFonts w:ascii="Arial" w:hAnsi="Arial" w:cs="Arial"/>
          <w:vertAlign w:val="superscript"/>
        </w:rPr>
      </w:r>
      <w:r w:rsidR="00E30257" w:rsidRPr="0084301E">
        <w:rPr>
          <w:rFonts w:ascii="Arial" w:hAnsi="Arial" w:cs="Arial"/>
          <w:vertAlign w:val="superscript"/>
        </w:rPr>
        <w:fldChar w:fldCharType="separate"/>
      </w:r>
      <w:r w:rsidR="00DB67EF" w:rsidRPr="00DB67EF">
        <w:t>1</w:t>
      </w:r>
      <w:r w:rsidR="00E30257" w:rsidRPr="0084301E">
        <w:rPr>
          <w:rFonts w:ascii="Arial" w:hAnsi="Arial" w:cs="Arial"/>
          <w:vertAlign w:val="superscript"/>
        </w:rPr>
        <w:fldChar w:fldCharType="end"/>
      </w:r>
      <w:r w:rsidRPr="001427AF">
        <w:rPr>
          <w:rFonts w:ascii="Arial" w:hAnsi="Arial" w:cs="Arial"/>
        </w:rPr>
        <w:t xml:space="preserve"> </w:t>
      </w:r>
    </w:p>
    <w:p w14:paraId="39FC1B42" w14:textId="3370C7B4" w:rsidR="00E13ED9" w:rsidRPr="001427AF" w:rsidRDefault="00E13ED9" w:rsidP="00CA5853">
      <w:pPr>
        <w:numPr>
          <w:ilvl w:val="0"/>
          <w:numId w:val="17"/>
        </w:numPr>
        <w:spacing w:line="240" w:lineRule="auto"/>
        <w:contextualSpacing/>
        <w:rPr>
          <w:rFonts w:ascii="Arial" w:hAnsi="Arial" w:cs="Arial"/>
          <w:sz w:val="20"/>
        </w:rPr>
      </w:pPr>
      <w:r w:rsidRPr="001427AF">
        <w:rPr>
          <w:rFonts w:ascii="Arial" w:hAnsi="Arial" w:cs="Arial"/>
        </w:rPr>
        <w:t>The CSI_LG list contain</w:t>
      </w:r>
      <w:r w:rsidR="0087285C">
        <w:rPr>
          <w:rFonts w:ascii="Arial" w:hAnsi="Arial" w:cs="Arial"/>
        </w:rPr>
        <w:t>s</w:t>
      </w:r>
      <w:r w:rsidRPr="001427AF">
        <w:rPr>
          <w:rFonts w:ascii="Arial" w:hAnsi="Arial" w:cs="Arial"/>
        </w:rPr>
        <w:t xml:space="preserve"> both Tier 1 and Tier 2 schools.</w:t>
      </w:r>
    </w:p>
    <w:p w14:paraId="6320F1FE" w14:textId="554C256D" w:rsidR="00D254E9" w:rsidRPr="001427AF" w:rsidRDefault="00D254E9" w:rsidP="00D254E9">
      <w:pPr>
        <w:spacing w:line="240" w:lineRule="auto"/>
        <w:rPr>
          <w:rFonts w:ascii="Arial" w:hAnsi="Arial" w:cs="Arial"/>
          <w:vertAlign w:val="superscript"/>
        </w:rPr>
      </w:pPr>
    </w:p>
    <w:p w14:paraId="01F088A6" w14:textId="09968F87" w:rsidR="00D254E9" w:rsidRPr="001427AF" w:rsidRDefault="00D254E9" w:rsidP="001514C3">
      <w:pPr>
        <w:pStyle w:val="Heading2"/>
      </w:pPr>
      <w:bookmarkStart w:id="807" w:name="_Toc100132581"/>
      <w:bookmarkStart w:id="808" w:name="_Toc100132785"/>
      <w:bookmarkStart w:id="809" w:name="_Toc100136586"/>
      <w:bookmarkStart w:id="810" w:name="_Toc114211831"/>
      <w:bookmarkStart w:id="811" w:name="_Toc135812558"/>
      <w:bookmarkStart w:id="812" w:name="_Toc136418939"/>
      <w:bookmarkStart w:id="813" w:name="_Toc136419195"/>
      <w:bookmarkStart w:id="814" w:name="_Toc225405014"/>
      <w:r w:rsidRPr="001427AF">
        <w:t>CSI-Additional Targeted Support Not Exiting Such Status</w:t>
      </w:r>
      <w:bookmarkEnd w:id="807"/>
      <w:bookmarkEnd w:id="808"/>
      <w:bookmarkEnd w:id="809"/>
      <w:bookmarkEnd w:id="810"/>
      <w:bookmarkEnd w:id="811"/>
      <w:bookmarkEnd w:id="812"/>
      <w:bookmarkEnd w:id="813"/>
      <w:bookmarkEnd w:id="814"/>
    </w:p>
    <w:p w14:paraId="03B706F3" w14:textId="32DD5EA3" w:rsidR="00D254E9" w:rsidRPr="001427AF" w:rsidRDefault="00D254E9" w:rsidP="00CA5853">
      <w:pPr>
        <w:numPr>
          <w:ilvl w:val="0"/>
          <w:numId w:val="19"/>
        </w:numPr>
        <w:autoSpaceDE w:val="0"/>
        <w:autoSpaceDN w:val="0"/>
        <w:adjustRightInd w:val="0"/>
        <w:spacing w:line="240" w:lineRule="auto"/>
        <w:rPr>
          <w:rFonts w:ascii="Arial" w:hAnsi="Arial" w:cs="Arial"/>
          <w:szCs w:val="24"/>
        </w:rPr>
      </w:pPr>
      <w:bookmarkStart w:id="815" w:name="_Int_scwIbMZS"/>
      <w:proofErr w:type="gramStart"/>
      <w:r w:rsidRPr="001427AF">
        <w:rPr>
          <w:rFonts w:ascii="Arial" w:hAnsi="Arial" w:cs="Arial"/>
          <w:szCs w:val="24"/>
        </w:rPr>
        <w:t>Title</w:t>
      </w:r>
      <w:bookmarkEnd w:id="815"/>
      <w:proofErr w:type="gramEnd"/>
      <w:r w:rsidRPr="001427AF">
        <w:rPr>
          <w:rFonts w:ascii="Arial" w:hAnsi="Arial" w:cs="Arial"/>
          <w:szCs w:val="24"/>
        </w:rPr>
        <w:t xml:space="preserve"> I served schools unable to exit the TSI-AT identification by the end of the six-year identification period are identified as CSI-AT</w:t>
      </w:r>
      <w:r w:rsidR="008813E0">
        <w:rPr>
          <w:rFonts w:ascii="Arial" w:hAnsi="Arial" w:cs="Arial"/>
          <w:szCs w:val="24"/>
        </w:rPr>
        <w:t xml:space="preserve"> for the pertinent subgroup</w:t>
      </w:r>
      <w:r w:rsidRPr="001427AF">
        <w:rPr>
          <w:rFonts w:ascii="Arial" w:hAnsi="Arial" w:cs="Arial"/>
          <w:szCs w:val="24"/>
        </w:rPr>
        <w:t xml:space="preserve">. </w:t>
      </w:r>
    </w:p>
    <w:p w14:paraId="1F924610" w14:textId="5722F739" w:rsidR="00D254E9" w:rsidRPr="001427AF" w:rsidRDefault="00D254E9" w:rsidP="00CA5853">
      <w:pPr>
        <w:numPr>
          <w:ilvl w:val="0"/>
          <w:numId w:val="19"/>
        </w:numPr>
        <w:autoSpaceDE w:val="0"/>
        <w:autoSpaceDN w:val="0"/>
        <w:adjustRightInd w:val="0"/>
        <w:spacing w:line="240" w:lineRule="auto"/>
        <w:rPr>
          <w:rFonts w:ascii="Arial" w:hAnsi="Arial" w:cs="Arial"/>
          <w:szCs w:val="24"/>
        </w:rPr>
      </w:pPr>
      <w:r w:rsidRPr="001427AF">
        <w:rPr>
          <w:rFonts w:ascii="Arial" w:hAnsi="Arial" w:cs="Arial"/>
          <w:szCs w:val="24"/>
        </w:rPr>
        <w:t xml:space="preserve">CSI-AT schools are identified every </w:t>
      </w:r>
      <w:r w:rsidR="00CF2785" w:rsidRPr="001427AF">
        <w:rPr>
          <w:rFonts w:ascii="Arial" w:hAnsi="Arial" w:cs="Arial"/>
          <w:szCs w:val="24"/>
        </w:rPr>
        <w:t>three</w:t>
      </w:r>
      <w:r w:rsidRPr="001427AF">
        <w:rPr>
          <w:rFonts w:ascii="Arial" w:hAnsi="Arial" w:cs="Arial"/>
          <w:szCs w:val="24"/>
        </w:rPr>
        <w:t xml:space="preserve"> years. </w:t>
      </w:r>
    </w:p>
    <w:p w14:paraId="156CC155" w14:textId="17C3D8BD" w:rsidR="00230390" w:rsidRPr="00C20CF5" w:rsidRDefault="00230390" w:rsidP="00CA5853">
      <w:pPr>
        <w:numPr>
          <w:ilvl w:val="0"/>
          <w:numId w:val="19"/>
        </w:numPr>
        <w:autoSpaceDE w:val="0"/>
        <w:autoSpaceDN w:val="0"/>
        <w:adjustRightInd w:val="0"/>
        <w:spacing w:line="240" w:lineRule="auto"/>
        <w:rPr>
          <w:rFonts w:ascii="Arial" w:hAnsi="Arial" w:cs="Arial"/>
          <w:szCs w:val="24"/>
        </w:rPr>
      </w:pPr>
      <w:r w:rsidRPr="001427AF">
        <w:rPr>
          <w:rFonts w:ascii="Arial" w:hAnsi="Arial" w:cs="Arial"/>
          <w:szCs w:val="24"/>
        </w:rPr>
        <w:t xml:space="preserve">CSI-AT schools </w:t>
      </w:r>
      <w:r w:rsidRPr="001427AF">
        <w:rPr>
          <w:rFonts w:ascii="Arial" w:hAnsi="Arial" w:cs="Arial"/>
        </w:rPr>
        <w:t xml:space="preserve">cannot be identified as </w:t>
      </w:r>
      <w:r w:rsidR="008B5511" w:rsidRPr="001427AF">
        <w:rPr>
          <w:rFonts w:ascii="Arial" w:hAnsi="Arial" w:cs="Arial"/>
        </w:rPr>
        <w:t>CSI-LP</w:t>
      </w:r>
      <w:r w:rsidRPr="001427AF">
        <w:rPr>
          <w:rFonts w:ascii="Arial" w:hAnsi="Arial" w:cs="Arial"/>
        </w:rPr>
        <w:t>.</w:t>
      </w:r>
    </w:p>
    <w:p w14:paraId="49F84A91" w14:textId="555174F1" w:rsidR="00C20CF5" w:rsidRPr="001427AF" w:rsidRDefault="00C20CF5" w:rsidP="00CA5853">
      <w:pPr>
        <w:numPr>
          <w:ilvl w:val="0"/>
          <w:numId w:val="19"/>
        </w:numPr>
        <w:autoSpaceDE w:val="0"/>
        <w:autoSpaceDN w:val="0"/>
        <w:adjustRightInd w:val="0"/>
        <w:spacing w:line="240" w:lineRule="auto"/>
        <w:rPr>
          <w:rFonts w:ascii="Arial" w:hAnsi="Arial" w:cs="Arial"/>
          <w:szCs w:val="24"/>
        </w:rPr>
      </w:pPr>
      <w:r>
        <w:rPr>
          <w:rFonts w:ascii="Arial" w:hAnsi="Arial" w:cs="Arial"/>
          <w:szCs w:val="24"/>
        </w:rPr>
        <w:t xml:space="preserve">CSI-AT schools cannot be identified as </w:t>
      </w:r>
      <w:r>
        <w:rPr>
          <w:rFonts w:ascii="Arial" w:hAnsi="Arial" w:cs="Arial"/>
        </w:rPr>
        <w:t xml:space="preserve">TSI-CU or </w:t>
      </w:r>
      <w:r w:rsidRPr="0077291C">
        <w:rPr>
          <w:rFonts w:ascii="Arial" w:hAnsi="Arial" w:cs="Arial"/>
        </w:rPr>
        <w:t xml:space="preserve">TSI-AT </w:t>
      </w:r>
      <w:r w:rsidRPr="0077291C">
        <w:rPr>
          <w:rFonts w:ascii="Arial" w:hAnsi="Arial" w:cs="Arial"/>
          <w:szCs w:val="24"/>
        </w:rPr>
        <w:t xml:space="preserve">for the </w:t>
      </w:r>
      <w:r>
        <w:rPr>
          <w:rFonts w:ascii="Arial" w:hAnsi="Arial" w:cs="Arial"/>
          <w:szCs w:val="24"/>
        </w:rPr>
        <w:t>subgroup identifying the school as CSI-AT</w:t>
      </w:r>
      <w:r w:rsidRPr="0077291C">
        <w:rPr>
          <w:rFonts w:ascii="Arial" w:hAnsi="Arial" w:cs="Arial"/>
          <w:szCs w:val="24"/>
        </w:rPr>
        <w:t>.</w:t>
      </w:r>
    </w:p>
    <w:p w14:paraId="1C57DF3D" w14:textId="7055DFCB" w:rsidR="009F1A9C" w:rsidRPr="001427AF" w:rsidRDefault="009F1A9C" w:rsidP="00CA5853">
      <w:pPr>
        <w:numPr>
          <w:ilvl w:val="0"/>
          <w:numId w:val="19"/>
        </w:numPr>
        <w:autoSpaceDE w:val="0"/>
        <w:autoSpaceDN w:val="0"/>
        <w:adjustRightInd w:val="0"/>
        <w:spacing w:line="240" w:lineRule="auto"/>
        <w:rPr>
          <w:rFonts w:ascii="Arial" w:hAnsi="Arial" w:cs="Arial"/>
          <w:szCs w:val="24"/>
        </w:rPr>
      </w:pPr>
      <w:r w:rsidRPr="001427AF">
        <w:rPr>
          <w:rFonts w:ascii="Arial" w:hAnsi="Arial" w:cs="Arial"/>
        </w:rPr>
        <w:t xml:space="preserve">CSI-AT schools </w:t>
      </w:r>
      <w:r w:rsidR="008F314C" w:rsidRPr="001427AF">
        <w:rPr>
          <w:rFonts w:ascii="Arial" w:hAnsi="Arial" w:cs="Arial"/>
        </w:rPr>
        <w:t xml:space="preserve">can also be identified as CSI-LG. </w:t>
      </w:r>
    </w:p>
    <w:p w14:paraId="6054AA89" w14:textId="5B0AB53A" w:rsidR="00CC09B6" w:rsidRDefault="00CC09B6" w:rsidP="00CA5853">
      <w:pPr>
        <w:numPr>
          <w:ilvl w:val="0"/>
          <w:numId w:val="19"/>
        </w:numPr>
        <w:autoSpaceDE w:val="0"/>
        <w:autoSpaceDN w:val="0"/>
        <w:adjustRightInd w:val="0"/>
        <w:spacing w:line="240" w:lineRule="auto"/>
        <w:rPr>
          <w:rFonts w:ascii="Arial" w:hAnsi="Arial" w:cs="Arial"/>
          <w:szCs w:val="24"/>
        </w:rPr>
      </w:pPr>
      <w:r w:rsidRPr="001427AF">
        <w:rPr>
          <w:rFonts w:ascii="Arial" w:hAnsi="Arial" w:cs="Arial"/>
          <w:szCs w:val="24"/>
        </w:rPr>
        <w:lastRenderedPageBreak/>
        <w:t>Schools exit CSI-AT identification</w:t>
      </w:r>
      <w:r w:rsidR="00922D86">
        <w:rPr>
          <w:rFonts w:ascii="Arial" w:hAnsi="Arial" w:cs="Arial"/>
          <w:szCs w:val="24"/>
        </w:rPr>
        <w:t xml:space="preserve">, for the pertinent subgroup, </w:t>
      </w:r>
      <w:r w:rsidRPr="001427AF">
        <w:rPr>
          <w:rFonts w:ascii="Arial" w:hAnsi="Arial" w:cs="Arial"/>
          <w:szCs w:val="24"/>
        </w:rPr>
        <w:t xml:space="preserve">if the requirements of </w:t>
      </w:r>
      <w:proofErr w:type="gramStart"/>
      <w:r w:rsidRPr="001427AF">
        <w:rPr>
          <w:rFonts w:ascii="Arial" w:hAnsi="Arial" w:cs="Arial"/>
          <w:szCs w:val="24"/>
        </w:rPr>
        <w:t>exiting</w:t>
      </w:r>
      <w:proofErr w:type="gramEnd"/>
      <w:r w:rsidRPr="001427AF">
        <w:rPr>
          <w:rFonts w:ascii="Arial" w:hAnsi="Arial" w:cs="Arial"/>
          <w:szCs w:val="24"/>
        </w:rPr>
        <w:t xml:space="preserve"> TSI-AT are met during the CSI-AT exit year (i.e., every </w:t>
      </w:r>
      <w:r w:rsidR="006853DA" w:rsidRPr="001427AF">
        <w:rPr>
          <w:rFonts w:ascii="Arial" w:hAnsi="Arial" w:cs="Arial"/>
          <w:szCs w:val="24"/>
        </w:rPr>
        <w:t>three</w:t>
      </w:r>
      <w:r w:rsidRPr="001427AF">
        <w:rPr>
          <w:rFonts w:ascii="Arial" w:hAnsi="Arial" w:cs="Arial"/>
          <w:szCs w:val="24"/>
        </w:rPr>
        <w:t xml:space="preserve"> years). </w:t>
      </w:r>
    </w:p>
    <w:p w14:paraId="27F4DBB9" w14:textId="78B21E9B" w:rsidR="00A30C1C" w:rsidRPr="00781461" w:rsidRDefault="00A30C1C" w:rsidP="00CA5853">
      <w:pPr>
        <w:pStyle w:val="ListParagraph"/>
        <w:numPr>
          <w:ilvl w:val="0"/>
          <w:numId w:val="19"/>
        </w:numPr>
        <w:rPr>
          <w:rFonts w:ascii="Arial" w:hAnsi="Arial" w:cs="Arial"/>
          <w:szCs w:val="24"/>
        </w:rPr>
      </w:pPr>
      <w:r>
        <w:rPr>
          <w:rFonts w:ascii="Arial" w:hAnsi="Arial" w:cs="Arial"/>
        </w:rPr>
        <w:t>If a school is no longer Title 1 served after it was initially identified, it continue</w:t>
      </w:r>
      <w:r w:rsidR="00A14482">
        <w:rPr>
          <w:rFonts w:ascii="Arial" w:hAnsi="Arial" w:cs="Arial"/>
        </w:rPr>
        <w:t xml:space="preserve">s as </w:t>
      </w:r>
      <w:r>
        <w:rPr>
          <w:rFonts w:ascii="Arial" w:hAnsi="Arial" w:cs="Arial"/>
        </w:rPr>
        <w:t xml:space="preserve">CSI-AT until it can </w:t>
      </w:r>
      <w:proofErr w:type="gramStart"/>
      <w:r>
        <w:rPr>
          <w:rFonts w:ascii="Arial" w:hAnsi="Arial" w:cs="Arial"/>
        </w:rPr>
        <w:t>exit</w:t>
      </w:r>
      <w:proofErr w:type="gramEnd"/>
      <w:r>
        <w:rPr>
          <w:rFonts w:ascii="Arial" w:hAnsi="Arial" w:cs="Arial"/>
        </w:rPr>
        <w:t xml:space="preserve"> using the below exit criteria. </w:t>
      </w:r>
    </w:p>
    <w:p w14:paraId="115B2709" w14:textId="77777777" w:rsidR="00CC09B6" w:rsidRPr="001427AF" w:rsidRDefault="00CC09B6" w:rsidP="00D254E9">
      <w:pPr>
        <w:autoSpaceDE w:val="0"/>
        <w:autoSpaceDN w:val="0"/>
        <w:adjustRightInd w:val="0"/>
        <w:spacing w:line="240" w:lineRule="auto"/>
        <w:ind w:left="720"/>
        <w:rPr>
          <w:rFonts w:ascii="Arial" w:hAnsi="Arial" w:cs="Arial"/>
          <w:szCs w:val="24"/>
        </w:rPr>
      </w:pPr>
    </w:p>
    <w:p w14:paraId="445F316F" w14:textId="786FB15E" w:rsidR="00CC09B6" w:rsidRPr="001427AF" w:rsidRDefault="00CC09B6" w:rsidP="00CC09B6">
      <w:pPr>
        <w:spacing w:line="240" w:lineRule="auto"/>
        <w:rPr>
          <w:rFonts w:ascii="Arial" w:hAnsi="Arial" w:cs="Arial"/>
        </w:rPr>
      </w:pPr>
      <w:r w:rsidRPr="001427AF">
        <w:rPr>
          <w:rFonts w:ascii="Arial" w:hAnsi="Arial" w:cs="Arial"/>
          <w:i/>
        </w:rPr>
        <w:t>Exit Criteri</w:t>
      </w:r>
      <w:r w:rsidR="00195329" w:rsidRPr="001427AF">
        <w:rPr>
          <w:rFonts w:ascii="Arial" w:hAnsi="Arial" w:cs="Arial"/>
          <w:i/>
        </w:rPr>
        <w:t>on</w:t>
      </w:r>
      <w:r w:rsidRPr="001427AF">
        <w:rPr>
          <w:rFonts w:ascii="Arial" w:hAnsi="Arial" w:cs="Arial"/>
          <w:i/>
        </w:rPr>
        <w:t>.</w:t>
      </w:r>
      <w:r w:rsidRPr="001427AF">
        <w:rPr>
          <w:rFonts w:ascii="Arial" w:hAnsi="Arial" w:cs="Arial"/>
        </w:rPr>
        <w:t xml:space="preserve"> Schools exit </w:t>
      </w:r>
      <w:r w:rsidR="003E584C" w:rsidRPr="001427AF">
        <w:rPr>
          <w:rFonts w:ascii="Arial" w:hAnsi="Arial" w:cs="Arial"/>
        </w:rPr>
        <w:t>C</w:t>
      </w:r>
      <w:r w:rsidRPr="001427AF">
        <w:rPr>
          <w:rFonts w:ascii="Arial" w:hAnsi="Arial" w:cs="Arial"/>
        </w:rPr>
        <w:t xml:space="preserve">SI-AT identification </w:t>
      </w:r>
      <w:r w:rsidR="00781461">
        <w:rPr>
          <w:rFonts w:ascii="Arial" w:hAnsi="Arial" w:cs="Arial"/>
        </w:rPr>
        <w:t xml:space="preserve">for the pertinent subgroup </w:t>
      </w:r>
      <w:r w:rsidRPr="001427AF">
        <w:rPr>
          <w:rFonts w:ascii="Arial" w:hAnsi="Arial" w:cs="Arial"/>
        </w:rPr>
        <w:t xml:space="preserve">after </w:t>
      </w:r>
      <w:r w:rsidR="00F60BE6" w:rsidRPr="001427AF">
        <w:rPr>
          <w:rFonts w:ascii="Arial" w:hAnsi="Arial" w:cs="Arial"/>
        </w:rPr>
        <w:t>three</w:t>
      </w:r>
      <w:r w:rsidRPr="001427AF">
        <w:rPr>
          <w:rFonts w:ascii="Arial" w:hAnsi="Arial" w:cs="Arial"/>
        </w:rPr>
        <w:t xml:space="preserve"> years if the subgroup(s) identifying the school as </w:t>
      </w:r>
      <w:r w:rsidR="00BA4173" w:rsidRPr="001427AF">
        <w:rPr>
          <w:rFonts w:ascii="Arial" w:hAnsi="Arial" w:cs="Arial"/>
        </w:rPr>
        <w:t>C</w:t>
      </w:r>
      <w:r w:rsidRPr="001427AF">
        <w:rPr>
          <w:rFonts w:ascii="Arial" w:hAnsi="Arial" w:cs="Arial"/>
        </w:rPr>
        <w:t xml:space="preserve">SI-AT meets one of the following exit </w:t>
      </w:r>
      <w:r w:rsidR="00516E9A" w:rsidRPr="001427AF">
        <w:rPr>
          <w:rFonts w:ascii="Arial" w:hAnsi="Arial" w:cs="Arial"/>
        </w:rPr>
        <w:t>criteria</w:t>
      </w:r>
      <w:r w:rsidRPr="001427AF">
        <w:rPr>
          <w:rFonts w:ascii="Arial" w:hAnsi="Arial" w:cs="Arial"/>
        </w:rPr>
        <w:t xml:space="preserve"> </w:t>
      </w:r>
      <w:r w:rsidRPr="00877369">
        <w:rPr>
          <w:rFonts w:ascii="Arial" w:hAnsi="Arial" w:cs="Arial"/>
        </w:rPr>
        <w:t>in the exit year:</w:t>
      </w:r>
      <w:r w:rsidRPr="001427AF">
        <w:rPr>
          <w:rFonts w:ascii="Arial" w:hAnsi="Arial" w:cs="Arial"/>
        </w:rPr>
        <w:t xml:space="preserve"> </w:t>
      </w:r>
    </w:p>
    <w:p w14:paraId="12F83EE7" w14:textId="3E45BC96" w:rsidR="00CC09B6" w:rsidRPr="001427AF" w:rsidRDefault="00CC09B6" w:rsidP="00CA5853">
      <w:pPr>
        <w:pStyle w:val="ListParagraph"/>
        <w:numPr>
          <w:ilvl w:val="0"/>
          <w:numId w:val="99"/>
        </w:numPr>
        <w:ind w:left="360"/>
        <w:rPr>
          <w:rFonts w:ascii="Arial" w:hAnsi="Arial" w:cs="Arial"/>
        </w:rPr>
      </w:pPr>
      <w:r w:rsidRPr="001427AF">
        <w:rPr>
          <w:rFonts w:ascii="Arial" w:hAnsi="Arial" w:cs="Arial"/>
        </w:rPr>
        <w:t>Identified subgroup(s) achieve a three-year growth index of 1.0 or higher</w:t>
      </w:r>
      <w:r w:rsidR="00DB67EF">
        <w:rPr>
          <w:rFonts w:ascii="ZWAdobeF" w:hAnsi="ZWAdobeF" w:cs="ZWAdobeF"/>
          <w:color w:val="auto"/>
          <w:sz w:val="2"/>
          <w:szCs w:val="2"/>
        </w:rPr>
        <w:t>11F</w:t>
      </w:r>
      <w:r w:rsidR="00C4490A" w:rsidRPr="007B6141">
        <w:rPr>
          <w:rStyle w:val="FootnoteReference"/>
          <w:rFonts w:ascii="Arial" w:hAnsi="Arial" w:cs="Arial"/>
          <w:sz w:val="20"/>
        </w:rPr>
        <w:footnoteReference w:customMarkFollows="1" w:id="13"/>
        <w:t>2</w:t>
      </w:r>
      <w:r w:rsidRPr="001427AF">
        <w:rPr>
          <w:rFonts w:ascii="Arial" w:hAnsi="Arial" w:cs="Arial"/>
        </w:rPr>
        <w:t>; or</w:t>
      </w:r>
    </w:p>
    <w:p w14:paraId="5891D3A5" w14:textId="77777777" w:rsidR="00CC09B6" w:rsidRPr="001427AF" w:rsidRDefault="00CC09B6" w:rsidP="00CA5853">
      <w:pPr>
        <w:pStyle w:val="ListParagraph"/>
        <w:numPr>
          <w:ilvl w:val="0"/>
          <w:numId w:val="99"/>
        </w:numPr>
        <w:ind w:left="360"/>
        <w:rPr>
          <w:rFonts w:ascii="Arial" w:hAnsi="Arial" w:cs="Arial"/>
        </w:rPr>
      </w:pPr>
      <w:r w:rsidRPr="001427AF">
        <w:rPr>
          <w:rFonts w:ascii="Arial" w:hAnsi="Arial" w:cs="Arial"/>
        </w:rPr>
        <w:t>are on track to meet the subgroup(s) twelve-year proficiency goals in reading and math; or</w:t>
      </w:r>
    </w:p>
    <w:p w14:paraId="6D7155D4" w14:textId="14609761" w:rsidR="00CC09B6" w:rsidRPr="001427AF" w:rsidRDefault="00CC09B6" w:rsidP="00CA5853">
      <w:pPr>
        <w:pStyle w:val="ListParagraph"/>
        <w:numPr>
          <w:ilvl w:val="0"/>
          <w:numId w:val="99"/>
        </w:numPr>
        <w:ind w:left="360"/>
        <w:rPr>
          <w:rFonts w:ascii="Arial" w:hAnsi="Arial" w:cs="Arial"/>
        </w:rPr>
      </w:pPr>
      <w:proofErr w:type="gramStart"/>
      <w:r w:rsidRPr="001427AF">
        <w:rPr>
          <w:rFonts w:ascii="Arial" w:hAnsi="Arial" w:cs="Arial"/>
        </w:rPr>
        <w:t>there</w:t>
      </w:r>
      <w:proofErr w:type="gramEnd"/>
      <w:r w:rsidRPr="001427AF">
        <w:rPr>
          <w:rFonts w:ascii="Arial" w:hAnsi="Arial" w:cs="Arial"/>
        </w:rPr>
        <w:t xml:space="preserve"> is no longer a subgroup whose overall performance as measured by the School Performance Grade score is at or below the score designated for CSI-LP identification and previously identified subgroup(s) improved performance on the School Performance Grade score as compared to the score at the time of identification.</w:t>
      </w:r>
      <w:r w:rsidR="00DB67EF">
        <w:rPr>
          <w:rFonts w:ascii="ZWAdobeF" w:hAnsi="ZWAdobeF" w:cs="ZWAdobeF"/>
          <w:color w:val="auto"/>
          <w:sz w:val="2"/>
          <w:szCs w:val="2"/>
        </w:rPr>
        <w:t>12F</w:t>
      </w:r>
      <w:r w:rsidR="0090092D">
        <w:rPr>
          <w:rStyle w:val="FootnoteReference"/>
          <w:rFonts w:ascii="Arial" w:hAnsi="Arial" w:cs="Arial"/>
        </w:rPr>
        <w:footnoteReference w:customMarkFollows="1" w:id="14"/>
        <w:t>3</w:t>
      </w:r>
    </w:p>
    <w:p w14:paraId="79E6DA1D" w14:textId="77777777" w:rsidR="00F842D3" w:rsidRPr="001427AF" w:rsidRDefault="00F842D3" w:rsidP="00B76243">
      <w:pPr>
        <w:pStyle w:val="Heading3"/>
      </w:pPr>
      <w:bookmarkStart w:id="816" w:name="_Toc225405015"/>
      <w:r w:rsidRPr="001427AF">
        <w:t>Steps for CSI-AT Identification</w:t>
      </w:r>
      <w:bookmarkEnd w:id="816"/>
    </w:p>
    <w:p w14:paraId="284A7AEE" w14:textId="77777777" w:rsidR="00F842D3" w:rsidRPr="001427AF" w:rsidRDefault="00F842D3" w:rsidP="00CA5853">
      <w:pPr>
        <w:numPr>
          <w:ilvl w:val="0"/>
          <w:numId w:val="17"/>
        </w:numPr>
        <w:spacing w:line="240" w:lineRule="auto"/>
        <w:contextualSpacing/>
        <w:rPr>
          <w:rFonts w:ascii="Arial" w:hAnsi="Arial" w:cs="Arial"/>
        </w:rPr>
      </w:pPr>
      <w:r w:rsidRPr="001427AF">
        <w:rPr>
          <w:rFonts w:ascii="Arial" w:hAnsi="Arial" w:cs="Arial"/>
        </w:rPr>
        <w:t>Exit schools that meet the TSI-AT exit criteria in subsection 9.7.  </w:t>
      </w:r>
    </w:p>
    <w:p w14:paraId="4C5AC19F" w14:textId="634543D2" w:rsidR="00F842D3" w:rsidRPr="001427AF" w:rsidRDefault="00F842D3" w:rsidP="00CA5853">
      <w:pPr>
        <w:pStyle w:val="ListParagraph"/>
        <w:numPr>
          <w:ilvl w:val="1"/>
          <w:numId w:val="17"/>
        </w:numPr>
        <w:rPr>
          <w:rFonts w:ascii="Arial" w:hAnsi="Arial" w:cs="Arial"/>
        </w:rPr>
      </w:pPr>
      <w:r w:rsidRPr="001427AF">
        <w:rPr>
          <w:rFonts w:ascii="Arial" w:hAnsi="Arial" w:cs="Arial"/>
        </w:rPr>
        <w:t>Schools identified as TSI-AT in 2018–19, are Title I, and cannot exit, move to CSI-AT</w:t>
      </w:r>
      <w:r w:rsidR="00F6528A">
        <w:rPr>
          <w:rFonts w:ascii="Arial" w:hAnsi="Arial" w:cs="Arial"/>
        </w:rPr>
        <w:t xml:space="preserve"> for the pertinent subgroup</w:t>
      </w:r>
      <w:r w:rsidRPr="001427AF">
        <w:rPr>
          <w:rFonts w:ascii="Arial" w:hAnsi="Arial" w:cs="Arial"/>
        </w:rPr>
        <w:t>.</w:t>
      </w:r>
    </w:p>
    <w:p w14:paraId="50C2BD56" w14:textId="29E9C08C" w:rsidR="00F842D3" w:rsidRDefault="00F842D3" w:rsidP="00CA5853">
      <w:pPr>
        <w:pStyle w:val="ListParagraph"/>
        <w:numPr>
          <w:ilvl w:val="0"/>
          <w:numId w:val="17"/>
        </w:numPr>
        <w:rPr>
          <w:rFonts w:ascii="Arial" w:hAnsi="Arial" w:cs="Arial"/>
        </w:rPr>
      </w:pPr>
      <w:r w:rsidRPr="001427AF">
        <w:rPr>
          <w:rFonts w:ascii="Arial" w:hAnsi="Arial" w:cs="Arial"/>
        </w:rPr>
        <w:t xml:space="preserve">Schools identified as CSI-AT start as Tier 1. </w:t>
      </w:r>
    </w:p>
    <w:p w14:paraId="34375046" w14:textId="77777777" w:rsidR="009E0605" w:rsidRDefault="009E0605" w:rsidP="00F032E0">
      <w:pPr>
        <w:pStyle w:val="ListParagraph"/>
        <w:ind w:left="360"/>
        <w:rPr>
          <w:rFonts w:ascii="Arial" w:hAnsi="Arial" w:cs="Arial"/>
        </w:rPr>
      </w:pPr>
    </w:p>
    <w:p w14:paraId="6E03BF9D" w14:textId="5CB4F7BD" w:rsidR="00D254E9" w:rsidRPr="00360D49" w:rsidRDefault="00D254E9" w:rsidP="001514C3">
      <w:pPr>
        <w:pStyle w:val="Heading2"/>
      </w:pPr>
      <w:bookmarkStart w:id="817" w:name="_Toc100132582"/>
      <w:bookmarkStart w:id="818" w:name="_Toc100132786"/>
      <w:bookmarkStart w:id="819" w:name="_Toc100136587"/>
      <w:bookmarkStart w:id="820" w:name="_Toc114211832"/>
      <w:bookmarkStart w:id="821" w:name="_Toc135812559"/>
      <w:bookmarkStart w:id="822" w:name="_Toc136418940"/>
      <w:bookmarkStart w:id="823" w:name="_Toc136419196"/>
      <w:bookmarkStart w:id="824" w:name="_Toc225405016"/>
      <w:r w:rsidRPr="00360D49">
        <w:t>Targeted Support and Improvement Schools</w:t>
      </w:r>
      <w:bookmarkEnd w:id="817"/>
      <w:bookmarkEnd w:id="818"/>
      <w:bookmarkEnd w:id="819"/>
      <w:bookmarkEnd w:id="820"/>
      <w:bookmarkEnd w:id="821"/>
      <w:bookmarkEnd w:id="822"/>
      <w:bookmarkEnd w:id="823"/>
      <w:bookmarkEnd w:id="824"/>
      <w:r w:rsidRPr="00360D49">
        <w:t xml:space="preserve"> </w:t>
      </w:r>
    </w:p>
    <w:p w14:paraId="20DAE033" w14:textId="57EF616B" w:rsidR="00D254E9" w:rsidRPr="001427AF" w:rsidRDefault="00D254E9" w:rsidP="00D254E9">
      <w:pPr>
        <w:autoSpaceDE w:val="0"/>
        <w:autoSpaceDN w:val="0"/>
        <w:adjustRightInd w:val="0"/>
        <w:spacing w:line="240" w:lineRule="auto"/>
        <w:rPr>
          <w:rFonts w:ascii="Arial" w:hAnsi="Arial" w:cs="Arial"/>
          <w:szCs w:val="24"/>
        </w:rPr>
      </w:pPr>
      <w:r w:rsidRPr="001427AF">
        <w:rPr>
          <w:rFonts w:ascii="Arial" w:hAnsi="Arial" w:cs="Arial"/>
          <w:szCs w:val="24"/>
        </w:rPr>
        <w:t xml:space="preserve">North Carolina must identify schools for targeted support and improvement as defined in the ESSA State </w:t>
      </w:r>
      <w:r w:rsidR="006C72A1" w:rsidRPr="001427AF">
        <w:rPr>
          <w:rFonts w:ascii="Arial" w:hAnsi="Arial" w:cs="Arial"/>
          <w:szCs w:val="24"/>
        </w:rPr>
        <w:t>P</w:t>
      </w:r>
      <w:r w:rsidRPr="001427AF">
        <w:rPr>
          <w:rFonts w:ascii="Arial" w:hAnsi="Arial" w:cs="Arial"/>
          <w:szCs w:val="24"/>
        </w:rPr>
        <w:t xml:space="preserve">lan. These schools receive support at the local level for the identified underperforming subgroups. </w:t>
      </w:r>
      <w:r w:rsidR="007942D2" w:rsidRPr="001427AF">
        <w:rPr>
          <w:rFonts w:ascii="Arial" w:hAnsi="Arial" w:cs="Arial"/>
          <w:szCs w:val="24"/>
        </w:rPr>
        <w:t xml:space="preserve">The following </w:t>
      </w:r>
      <w:r w:rsidRPr="001427AF">
        <w:rPr>
          <w:rFonts w:ascii="Arial" w:hAnsi="Arial" w:cs="Arial"/>
          <w:szCs w:val="24"/>
        </w:rPr>
        <w:t xml:space="preserve">are the two categories of identification: </w:t>
      </w:r>
    </w:p>
    <w:p w14:paraId="07D7C93E" w14:textId="099FED1B" w:rsidR="00D254E9" w:rsidRPr="001427AF" w:rsidRDefault="00D254E9" w:rsidP="00CA5853">
      <w:pPr>
        <w:numPr>
          <w:ilvl w:val="0"/>
          <w:numId w:val="20"/>
        </w:numPr>
        <w:autoSpaceDE w:val="0"/>
        <w:autoSpaceDN w:val="0"/>
        <w:adjustRightInd w:val="0"/>
        <w:spacing w:line="240" w:lineRule="auto"/>
        <w:ind w:left="360"/>
        <w:rPr>
          <w:rFonts w:ascii="Arial" w:hAnsi="Arial" w:cs="Arial"/>
          <w:szCs w:val="24"/>
        </w:rPr>
      </w:pPr>
      <w:r w:rsidRPr="001427AF">
        <w:rPr>
          <w:rFonts w:ascii="Arial" w:hAnsi="Arial" w:cs="Arial"/>
          <w:szCs w:val="24"/>
        </w:rPr>
        <w:t>TSI</w:t>
      </w:r>
      <w:r w:rsidR="007942D2" w:rsidRPr="001427AF">
        <w:rPr>
          <w:rFonts w:ascii="Arial" w:hAnsi="Arial" w:cs="Arial"/>
          <w:szCs w:val="24"/>
        </w:rPr>
        <w:t>-</w:t>
      </w:r>
      <w:r w:rsidRPr="001427AF">
        <w:rPr>
          <w:rFonts w:ascii="Arial" w:hAnsi="Arial" w:cs="Arial"/>
          <w:szCs w:val="24"/>
        </w:rPr>
        <w:t>Consistently Underperforming Subgroups (TSI-CU)</w:t>
      </w:r>
    </w:p>
    <w:p w14:paraId="7C4FF249" w14:textId="60FA0FB7" w:rsidR="00D254E9" w:rsidRPr="001427AF" w:rsidRDefault="00D254E9" w:rsidP="00CA5853">
      <w:pPr>
        <w:numPr>
          <w:ilvl w:val="0"/>
          <w:numId w:val="20"/>
        </w:numPr>
        <w:autoSpaceDE w:val="0"/>
        <w:autoSpaceDN w:val="0"/>
        <w:adjustRightInd w:val="0"/>
        <w:spacing w:line="240" w:lineRule="auto"/>
        <w:ind w:left="360"/>
        <w:rPr>
          <w:rFonts w:ascii="Arial" w:hAnsi="Arial" w:cs="Arial"/>
          <w:szCs w:val="24"/>
        </w:rPr>
      </w:pPr>
      <w:r w:rsidRPr="001427AF">
        <w:rPr>
          <w:rFonts w:ascii="Arial" w:hAnsi="Arial" w:cs="Arial"/>
          <w:szCs w:val="24"/>
        </w:rPr>
        <w:t>TSI</w:t>
      </w:r>
      <w:r w:rsidR="007942D2" w:rsidRPr="001427AF">
        <w:rPr>
          <w:rFonts w:ascii="Arial" w:hAnsi="Arial" w:cs="Arial"/>
          <w:szCs w:val="24"/>
        </w:rPr>
        <w:t>-</w:t>
      </w:r>
      <w:r w:rsidRPr="001427AF">
        <w:rPr>
          <w:rFonts w:ascii="Arial" w:hAnsi="Arial" w:cs="Arial"/>
          <w:szCs w:val="24"/>
        </w:rPr>
        <w:t>Additional Targeted Support (TSI-AT)</w:t>
      </w:r>
    </w:p>
    <w:p w14:paraId="220EE583" w14:textId="77777777" w:rsidR="00D254E9" w:rsidRPr="001427AF" w:rsidRDefault="00D254E9" w:rsidP="00D254E9">
      <w:pPr>
        <w:autoSpaceDE w:val="0"/>
        <w:autoSpaceDN w:val="0"/>
        <w:adjustRightInd w:val="0"/>
        <w:spacing w:line="240" w:lineRule="auto"/>
        <w:rPr>
          <w:rFonts w:ascii="Arial" w:hAnsi="Arial" w:cs="Arial"/>
          <w:szCs w:val="24"/>
        </w:rPr>
      </w:pPr>
    </w:p>
    <w:p w14:paraId="3087AA55" w14:textId="7439C455" w:rsidR="00D254E9" w:rsidRPr="001427AF" w:rsidRDefault="00D254E9" w:rsidP="00D254E9">
      <w:pPr>
        <w:autoSpaceDE w:val="0"/>
        <w:autoSpaceDN w:val="0"/>
        <w:adjustRightInd w:val="0"/>
        <w:spacing w:line="240" w:lineRule="auto"/>
        <w:rPr>
          <w:rFonts w:ascii="Arial" w:hAnsi="Arial" w:cs="Arial"/>
          <w:szCs w:val="24"/>
        </w:rPr>
      </w:pPr>
      <w:r w:rsidRPr="001427AF">
        <w:rPr>
          <w:rFonts w:ascii="Arial" w:hAnsi="Arial" w:cs="Arial"/>
          <w:szCs w:val="24"/>
        </w:rPr>
        <w:t>TSI-CU is identified annually using the most recent and previous two years of data.</w:t>
      </w:r>
    </w:p>
    <w:p w14:paraId="31DAC413" w14:textId="47343052" w:rsidR="00D254E9" w:rsidRPr="001427AF" w:rsidRDefault="00D254E9" w:rsidP="000B20AF">
      <w:pPr>
        <w:autoSpaceDE w:val="0"/>
        <w:autoSpaceDN w:val="0"/>
        <w:adjustRightInd w:val="0"/>
        <w:spacing w:line="240" w:lineRule="auto"/>
        <w:rPr>
          <w:rFonts w:ascii="Arial" w:hAnsi="Arial" w:cs="Arial"/>
          <w:szCs w:val="24"/>
        </w:rPr>
      </w:pPr>
    </w:p>
    <w:p w14:paraId="30A0C82C" w14:textId="7E236D6D" w:rsidR="00D254E9" w:rsidRPr="001427AF" w:rsidRDefault="00D254E9" w:rsidP="001514C3">
      <w:pPr>
        <w:pStyle w:val="Heading2"/>
      </w:pPr>
      <w:bookmarkStart w:id="825" w:name="_Toc100132583"/>
      <w:bookmarkStart w:id="826" w:name="_Toc100132787"/>
      <w:bookmarkStart w:id="827" w:name="_Toc100136588"/>
      <w:bookmarkStart w:id="828" w:name="_Toc114211833"/>
      <w:bookmarkStart w:id="829" w:name="_Toc135812560"/>
      <w:bookmarkStart w:id="830" w:name="_Toc136418941"/>
      <w:bookmarkStart w:id="831" w:name="_Toc136419197"/>
      <w:bookmarkStart w:id="832" w:name="_Toc225405017"/>
      <w:r w:rsidRPr="001427AF">
        <w:t>TSI</w:t>
      </w:r>
      <w:r w:rsidR="007942D2" w:rsidRPr="001427AF">
        <w:t>-</w:t>
      </w:r>
      <w:r w:rsidRPr="001427AF">
        <w:t>Consistently Underperforming Subgroups</w:t>
      </w:r>
      <w:bookmarkEnd w:id="825"/>
      <w:bookmarkEnd w:id="826"/>
      <w:bookmarkEnd w:id="827"/>
      <w:bookmarkEnd w:id="828"/>
      <w:bookmarkEnd w:id="829"/>
      <w:bookmarkEnd w:id="830"/>
      <w:bookmarkEnd w:id="831"/>
      <w:bookmarkEnd w:id="832"/>
      <w:r w:rsidRPr="001427AF">
        <w:t xml:space="preserve"> </w:t>
      </w:r>
    </w:p>
    <w:p w14:paraId="42F733B0" w14:textId="672DDD73" w:rsidR="00132EE6" w:rsidRDefault="00D254E9" w:rsidP="00132EE6">
      <w:pPr>
        <w:autoSpaceDE w:val="0"/>
        <w:autoSpaceDN w:val="0"/>
        <w:adjustRightInd w:val="0"/>
        <w:spacing w:line="240" w:lineRule="auto"/>
        <w:rPr>
          <w:rFonts w:ascii="Arial" w:hAnsi="Arial" w:cs="Arial"/>
          <w:szCs w:val="24"/>
        </w:rPr>
      </w:pPr>
      <w:r w:rsidRPr="001427AF">
        <w:rPr>
          <w:rFonts w:ascii="Arial" w:hAnsi="Arial" w:cs="Arial"/>
          <w:szCs w:val="24"/>
        </w:rPr>
        <w:t>All schools, regardless of Title I status, are eligible for TSI-CU identification.</w:t>
      </w:r>
    </w:p>
    <w:p w14:paraId="6EC92B01" w14:textId="77777777" w:rsidR="00132EE6" w:rsidRDefault="00132EE6" w:rsidP="00132EE6">
      <w:pPr>
        <w:autoSpaceDE w:val="0"/>
        <w:autoSpaceDN w:val="0"/>
        <w:adjustRightInd w:val="0"/>
        <w:spacing w:line="240" w:lineRule="auto"/>
        <w:rPr>
          <w:rFonts w:ascii="Arial" w:hAnsi="Arial" w:cs="Arial"/>
          <w:szCs w:val="24"/>
        </w:rPr>
      </w:pPr>
    </w:p>
    <w:p w14:paraId="6C0D3AA9" w14:textId="65956642" w:rsidR="00D254E9" w:rsidRPr="001427AF" w:rsidRDefault="00D254E9" w:rsidP="00132EE6">
      <w:pPr>
        <w:autoSpaceDE w:val="0"/>
        <w:autoSpaceDN w:val="0"/>
        <w:adjustRightInd w:val="0"/>
        <w:spacing w:line="240" w:lineRule="auto"/>
        <w:rPr>
          <w:rFonts w:ascii="Arial" w:hAnsi="Arial" w:cs="Arial"/>
          <w:szCs w:val="24"/>
        </w:rPr>
      </w:pPr>
      <w:r w:rsidRPr="001427AF">
        <w:rPr>
          <w:rFonts w:ascii="Arial" w:hAnsi="Arial" w:cs="Arial"/>
          <w:szCs w:val="24"/>
        </w:rPr>
        <w:t>The identification criteria for TSI-CU schools</w:t>
      </w:r>
      <w:r w:rsidR="00132EE6">
        <w:rPr>
          <w:rFonts w:ascii="Arial" w:hAnsi="Arial" w:cs="Arial"/>
          <w:szCs w:val="24"/>
        </w:rPr>
        <w:t xml:space="preserve"> </w:t>
      </w:r>
      <w:r w:rsidR="00E47ADE">
        <w:rPr>
          <w:rFonts w:ascii="Arial" w:hAnsi="Arial" w:cs="Arial"/>
          <w:szCs w:val="24"/>
        </w:rPr>
        <w:t>are</w:t>
      </w:r>
      <w:r w:rsidR="00132EE6">
        <w:rPr>
          <w:rFonts w:ascii="Arial" w:hAnsi="Arial" w:cs="Arial"/>
          <w:szCs w:val="24"/>
        </w:rPr>
        <w:t xml:space="preserve"> as follows</w:t>
      </w:r>
      <w:r w:rsidRPr="001427AF">
        <w:rPr>
          <w:rFonts w:ascii="Arial" w:hAnsi="Arial" w:cs="Arial"/>
          <w:szCs w:val="24"/>
        </w:rPr>
        <w:t>:</w:t>
      </w:r>
    </w:p>
    <w:p w14:paraId="52905A95" w14:textId="5CD6F328" w:rsidR="00D254E9" w:rsidRDefault="00D254E9" w:rsidP="00CA5853">
      <w:pPr>
        <w:pStyle w:val="ListParagraph"/>
        <w:numPr>
          <w:ilvl w:val="0"/>
          <w:numId w:val="159"/>
        </w:numPr>
        <w:autoSpaceDE w:val="0"/>
        <w:autoSpaceDN w:val="0"/>
        <w:adjustRightInd w:val="0"/>
        <w:spacing w:line="240" w:lineRule="auto"/>
        <w:rPr>
          <w:rFonts w:ascii="Arial" w:hAnsi="Arial" w:cs="Arial"/>
          <w:szCs w:val="24"/>
        </w:rPr>
      </w:pPr>
      <w:r w:rsidRPr="001427AF">
        <w:rPr>
          <w:rFonts w:ascii="Arial" w:hAnsi="Arial" w:cs="Arial"/>
          <w:szCs w:val="24"/>
        </w:rPr>
        <w:lastRenderedPageBreak/>
        <w:t>One or more of the same subgroup(s) with a designation of “F” on the NC statewide system of annual meaningful differentiation (</w:t>
      </w:r>
      <w:r w:rsidR="00255CF9" w:rsidRPr="001427AF">
        <w:rPr>
          <w:rFonts w:ascii="Arial" w:hAnsi="Arial" w:cs="Arial"/>
          <w:szCs w:val="24"/>
        </w:rPr>
        <w:t xml:space="preserve">i.e., </w:t>
      </w:r>
      <w:r w:rsidRPr="001427AF">
        <w:rPr>
          <w:rFonts w:ascii="Arial" w:hAnsi="Arial" w:cs="Arial"/>
          <w:szCs w:val="24"/>
        </w:rPr>
        <w:t xml:space="preserve">School </w:t>
      </w:r>
      <w:r w:rsidR="00EA4AF3" w:rsidRPr="001427AF">
        <w:rPr>
          <w:rFonts w:ascii="Arial" w:hAnsi="Arial" w:cs="Arial"/>
          <w:szCs w:val="24"/>
        </w:rPr>
        <w:t xml:space="preserve">Subgroup </w:t>
      </w:r>
      <w:r w:rsidRPr="001427AF">
        <w:rPr>
          <w:rFonts w:ascii="Arial" w:hAnsi="Arial" w:cs="Arial"/>
          <w:szCs w:val="24"/>
        </w:rPr>
        <w:t>Performance Grades) for the most recent and previous two years.</w:t>
      </w:r>
    </w:p>
    <w:p w14:paraId="5D1DA63B" w14:textId="0E8B6792" w:rsidR="00207E3E" w:rsidRPr="00207E3E" w:rsidRDefault="00207E3E" w:rsidP="00CA5853">
      <w:pPr>
        <w:pStyle w:val="ListParagraph"/>
        <w:numPr>
          <w:ilvl w:val="0"/>
          <w:numId w:val="159"/>
        </w:numPr>
        <w:autoSpaceDE w:val="0"/>
        <w:autoSpaceDN w:val="0"/>
        <w:adjustRightInd w:val="0"/>
        <w:spacing w:line="240" w:lineRule="auto"/>
        <w:rPr>
          <w:rFonts w:ascii="Arial" w:hAnsi="Arial" w:cs="Arial"/>
          <w:szCs w:val="24"/>
        </w:rPr>
      </w:pPr>
      <w:r w:rsidRPr="00207E3E">
        <w:rPr>
          <w:rFonts w:ascii="Arial" w:hAnsi="Arial" w:cs="Arial"/>
          <w:szCs w:val="24"/>
        </w:rPr>
        <w:t>Schools already identified as CSI-LP cannot be identified as TSI-CU.</w:t>
      </w:r>
    </w:p>
    <w:p w14:paraId="23E68233" w14:textId="1510F241" w:rsidR="00207E3E" w:rsidRPr="002A2780" w:rsidRDefault="002A2780" w:rsidP="00CA5853">
      <w:pPr>
        <w:pStyle w:val="ListParagraph"/>
        <w:numPr>
          <w:ilvl w:val="0"/>
          <w:numId w:val="159"/>
        </w:numPr>
        <w:autoSpaceDE w:val="0"/>
        <w:autoSpaceDN w:val="0"/>
        <w:adjustRightInd w:val="0"/>
        <w:spacing w:line="240" w:lineRule="auto"/>
        <w:rPr>
          <w:rFonts w:ascii="Arial" w:hAnsi="Arial" w:cs="Arial"/>
          <w:szCs w:val="24"/>
        </w:rPr>
      </w:pPr>
      <w:r w:rsidRPr="00F77052">
        <w:rPr>
          <w:rFonts w:ascii="Arial" w:hAnsi="Arial" w:cs="Arial"/>
          <w:szCs w:val="24"/>
        </w:rPr>
        <w:t xml:space="preserve">Schools newly identified as TSI-AT or CSI-AT can no longer be TSI-CU (for the </w:t>
      </w:r>
      <w:r>
        <w:rPr>
          <w:rFonts w:ascii="Arial" w:hAnsi="Arial" w:cs="Arial"/>
          <w:szCs w:val="24"/>
        </w:rPr>
        <w:t>pertinent</w:t>
      </w:r>
      <w:r w:rsidRPr="00F77052">
        <w:rPr>
          <w:rFonts w:ascii="Arial" w:hAnsi="Arial" w:cs="Arial"/>
          <w:szCs w:val="24"/>
        </w:rPr>
        <w:t xml:space="preserve"> subgroup).</w:t>
      </w:r>
    </w:p>
    <w:p w14:paraId="419D6EA5" w14:textId="77777777" w:rsidR="00A602BD" w:rsidRDefault="00A602BD" w:rsidP="00A602BD">
      <w:pPr>
        <w:autoSpaceDE w:val="0"/>
        <w:autoSpaceDN w:val="0"/>
        <w:adjustRightInd w:val="0"/>
        <w:spacing w:line="240" w:lineRule="auto"/>
        <w:rPr>
          <w:rFonts w:ascii="Arial" w:hAnsi="Arial" w:cs="Arial"/>
          <w:szCs w:val="24"/>
        </w:rPr>
      </w:pPr>
    </w:p>
    <w:p w14:paraId="06EFE345" w14:textId="5DD494F5" w:rsidR="00D254E9" w:rsidRPr="001427AF" w:rsidRDefault="00D254E9" w:rsidP="00A602BD">
      <w:pPr>
        <w:autoSpaceDE w:val="0"/>
        <w:autoSpaceDN w:val="0"/>
        <w:adjustRightInd w:val="0"/>
        <w:spacing w:line="240" w:lineRule="auto"/>
        <w:rPr>
          <w:rFonts w:ascii="Arial" w:hAnsi="Arial" w:cs="Arial"/>
          <w:szCs w:val="24"/>
        </w:rPr>
      </w:pPr>
      <w:r w:rsidRPr="001427AF">
        <w:rPr>
          <w:rFonts w:ascii="Arial" w:hAnsi="Arial" w:cs="Arial"/>
          <w:szCs w:val="24"/>
        </w:rPr>
        <w:t>Schools can exit TSI-CU identification if the following exit criteri</w:t>
      </w:r>
      <w:r w:rsidR="008C4521" w:rsidRPr="001427AF">
        <w:rPr>
          <w:rFonts w:ascii="Arial" w:hAnsi="Arial" w:cs="Arial"/>
          <w:szCs w:val="24"/>
        </w:rPr>
        <w:t xml:space="preserve">a </w:t>
      </w:r>
      <w:proofErr w:type="gramStart"/>
      <w:r w:rsidR="008C4521" w:rsidRPr="001427AF">
        <w:rPr>
          <w:rFonts w:ascii="Arial" w:hAnsi="Arial" w:cs="Arial"/>
          <w:szCs w:val="24"/>
        </w:rPr>
        <w:t>is</w:t>
      </w:r>
      <w:proofErr w:type="gramEnd"/>
      <w:r w:rsidR="008C4521" w:rsidRPr="001427AF">
        <w:rPr>
          <w:rFonts w:ascii="Arial" w:hAnsi="Arial" w:cs="Arial"/>
          <w:szCs w:val="24"/>
        </w:rPr>
        <w:t xml:space="preserve"> </w:t>
      </w:r>
      <w:r w:rsidRPr="001427AF">
        <w:rPr>
          <w:rFonts w:ascii="Arial" w:hAnsi="Arial" w:cs="Arial"/>
          <w:szCs w:val="24"/>
        </w:rPr>
        <w:t>met:</w:t>
      </w:r>
    </w:p>
    <w:p w14:paraId="3BEE7913" w14:textId="5EE3080A" w:rsidR="00D254E9" w:rsidRPr="001427AF" w:rsidRDefault="00D254E9" w:rsidP="00CA5853">
      <w:pPr>
        <w:numPr>
          <w:ilvl w:val="0"/>
          <w:numId w:val="160"/>
        </w:numPr>
        <w:autoSpaceDE w:val="0"/>
        <w:autoSpaceDN w:val="0"/>
        <w:adjustRightInd w:val="0"/>
        <w:spacing w:line="240" w:lineRule="auto"/>
        <w:rPr>
          <w:rFonts w:ascii="Arial" w:hAnsi="Arial" w:cs="Arial"/>
          <w:szCs w:val="24"/>
        </w:rPr>
      </w:pPr>
      <w:r w:rsidRPr="001427AF">
        <w:rPr>
          <w:rFonts w:ascii="Arial" w:hAnsi="Arial" w:cs="Arial"/>
          <w:szCs w:val="24"/>
        </w:rPr>
        <w:t>Achieve a letter grade of “D” or higher on the NC statewide system of annual meaningful differentiation (</w:t>
      </w:r>
      <w:r w:rsidR="00255CF9" w:rsidRPr="001427AF">
        <w:rPr>
          <w:rFonts w:ascii="Arial" w:hAnsi="Arial" w:cs="Arial"/>
          <w:szCs w:val="24"/>
        </w:rPr>
        <w:t xml:space="preserve">i.e., </w:t>
      </w:r>
      <w:r w:rsidRPr="001427AF">
        <w:rPr>
          <w:rFonts w:ascii="Arial" w:hAnsi="Arial" w:cs="Arial"/>
          <w:szCs w:val="24"/>
        </w:rPr>
        <w:t xml:space="preserve">School </w:t>
      </w:r>
      <w:r w:rsidR="008C4521" w:rsidRPr="001427AF">
        <w:rPr>
          <w:rFonts w:ascii="Arial" w:hAnsi="Arial" w:cs="Arial"/>
          <w:szCs w:val="24"/>
        </w:rPr>
        <w:t xml:space="preserve">Subgroup </w:t>
      </w:r>
      <w:r w:rsidRPr="001427AF">
        <w:rPr>
          <w:rFonts w:ascii="Arial" w:hAnsi="Arial" w:cs="Arial"/>
          <w:szCs w:val="24"/>
        </w:rPr>
        <w:t>Performance Grades) for previously identified subgroups in the most recent and previous</w:t>
      </w:r>
      <w:r w:rsidRPr="001427AF">
        <w:rPr>
          <w:rFonts w:ascii="Arial" w:hAnsi="Arial" w:cs="Arial"/>
          <w:i/>
          <w:sz w:val="20"/>
          <w:szCs w:val="24"/>
        </w:rPr>
        <w:t xml:space="preserve"> </w:t>
      </w:r>
      <w:r w:rsidRPr="001427AF">
        <w:rPr>
          <w:rFonts w:ascii="Arial" w:hAnsi="Arial" w:cs="Arial"/>
          <w:szCs w:val="24"/>
        </w:rPr>
        <w:t>year.</w:t>
      </w:r>
    </w:p>
    <w:p w14:paraId="46A7B1C8" w14:textId="09629B91" w:rsidR="00D254E9" w:rsidRPr="001427AF" w:rsidRDefault="00D254E9" w:rsidP="00CA5853">
      <w:pPr>
        <w:numPr>
          <w:ilvl w:val="0"/>
          <w:numId w:val="160"/>
        </w:numPr>
        <w:autoSpaceDE w:val="0"/>
        <w:autoSpaceDN w:val="0"/>
        <w:adjustRightInd w:val="0"/>
        <w:spacing w:line="240" w:lineRule="auto"/>
        <w:rPr>
          <w:rFonts w:ascii="Arial" w:hAnsi="Arial" w:cs="Arial"/>
          <w:color w:val="000000" w:themeColor="text1"/>
          <w:szCs w:val="24"/>
        </w:rPr>
      </w:pPr>
      <w:r w:rsidRPr="001427AF">
        <w:rPr>
          <w:rFonts w:ascii="Arial" w:hAnsi="Arial" w:cs="Arial"/>
          <w:szCs w:val="24"/>
        </w:rPr>
        <w:t xml:space="preserve">Exit </w:t>
      </w:r>
      <w:r w:rsidR="009153FF" w:rsidRPr="001427AF">
        <w:rPr>
          <w:rFonts w:ascii="Arial" w:hAnsi="Arial" w:cs="Arial"/>
          <w:szCs w:val="24"/>
        </w:rPr>
        <w:t>criteria</w:t>
      </w:r>
      <w:r w:rsidRPr="001427AF">
        <w:rPr>
          <w:rFonts w:ascii="Arial" w:hAnsi="Arial" w:cs="Arial"/>
          <w:szCs w:val="24"/>
        </w:rPr>
        <w:t xml:space="preserve"> are applied annually.</w:t>
      </w:r>
    </w:p>
    <w:p w14:paraId="2A5C245E" w14:textId="77777777" w:rsidR="00D254E9" w:rsidRPr="001427AF" w:rsidRDefault="00D254E9" w:rsidP="00D254E9">
      <w:pPr>
        <w:autoSpaceDE w:val="0"/>
        <w:autoSpaceDN w:val="0"/>
        <w:adjustRightInd w:val="0"/>
        <w:spacing w:line="240" w:lineRule="auto"/>
        <w:ind w:left="1440"/>
        <w:rPr>
          <w:rFonts w:ascii="Arial" w:hAnsi="Arial" w:cs="Arial"/>
          <w:szCs w:val="24"/>
        </w:rPr>
      </w:pPr>
    </w:p>
    <w:p w14:paraId="2BEBF467" w14:textId="206956B8" w:rsidR="00D254E9" w:rsidRPr="001427AF" w:rsidRDefault="00D254E9" w:rsidP="001514C3">
      <w:pPr>
        <w:pStyle w:val="Heading2"/>
      </w:pPr>
      <w:bookmarkStart w:id="833" w:name="_Toc102997790"/>
      <w:bookmarkStart w:id="834" w:name="_Toc102997896"/>
      <w:bookmarkStart w:id="835" w:name="_Toc102998002"/>
      <w:bookmarkStart w:id="836" w:name="_Toc106102921"/>
      <w:bookmarkStart w:id="837" w:name="_Toc106103026"/>
      <w:bookmarkStart w:id="838" w:name="_Toc100132584"/>
      <w:bookmarkStart w:id="839" w:name="_Toc100132788"/>
      <w:bookmarkStart w:id="840" w:name="_Toc100136589"/>
      <w:bookmarkStart w:id="841" w:name="_Toc114211834"/>
      <w:bookmarkStart w:id="842" w:name="_Toc135812561"/>
      <w:bookmarkStart w:id="843" w:name="_Toc136418942"/>
      <w:bookmarkStart w:id="844" w:name="_Toc136419198"/>
      <w:bookmarkStart w:id="845" w:name="_Toc225405018"/>
      <w:bookmarkEnd w:id="833"/>
      <w:bookmarkEnd w:id="834"/>
      <w:bookmarkEnd w:id="835"/>
      <w:bookmarkEnd w:id="836"/>
      <w:bookmarkEnd w:id="837"/>
      <w:r w:rsidRPr="001427AF">
        <w:t>TSI</w:t>
      </w:r>
      <w:r w:rsidR="00255CF9" w:rsidRPr="001427AF">
        <w:t>-</w:t>
      </w:r>
      <w:r w:rsidRPr="001427AF">
        <w:t>Additional Targeted Support (TSI-AT)</w:t>
      </w:r>
      <w:bookmarkEnd w:id="838"/>
      <w:bookmarkEnd w:id="839"/>
      <w:bookmarkEnd w:id="840"/>
      <w:bookmarkEnd w:id="841"/>
      <w:bookmarkEnd w:id="842"/>
      <w:bookmarkEnd w:id="843"/>
      <w:bookmarkEnd w:id="844"/>
      <w:bookmarkEnd w:id="845"/>
    </w:p>
    <w:p w14:paraId="160BED7C" w14:textId="3F63707E" w:rsidR="00D254E9" w:rsidRPr="001427AF" w:rsidRDefault="00D254E9" w:rsidP="00D254E9">
      <w:pPr>
        <w:autoSpaceDE w:val="0"/>
        <w:autoSpaceDN w:val="0"/>
        <w:adjustRightInd w:val="0"/>
        <w:spacing w:line="240" w:lineRule="auto"/>
        <w:rPr>
          <w:rFonts w:ascii="Arial" w:hAnsi="Arial" w:cs="Arial"/>
          <w:szCs w:val="24"/>
        </w:rPr>
      </w:pPr>
      <w:r w:rsidRPr="001427AF">
        <w:rPr>
          <w:rFonts w:ascii="Arial" w:hAnsi="Arial" w:cs="Arial"/>
          <w:szCs w:val="24"/>
        </w:rPr>
        <w:t>All schools, regardless of Title I status, are eligible for TSI-AT identification every three years.</w:t>
      </w:r>
    </w:p>
    <w:p w14:paraId="62A26E42" w14:textId="64DF646B" w:rsidR="00D254E9" w:rsidRPr="001427AF" w:rsidRDefault="00D254E9" w:rsidP="00CA5853">
      <w:pPr>
        <w:numPr>
          <w:ilvl w:val="0"/>
          <w:numId w:val="161"/>
        </w:numPr>
        <w:autoSpaceDE w:val="0"/>
        <w:autoSpaceDN w:val="0"/>
        <w:adjustRightInd w:val="0"/>
        <w:spacing w:line="240" w:lineRule="auto"/>
        <w:rPr>
          <w:rFonts w:ascii="Arial" w:hAnsi="Arial" w:cs="Arial"/>
          <w:szCs w:val="24"/>
        </w:rPr>
      </w:pPr>
      <w:r w:rsidRPr="001427AF">
        <w:rPr>
          <w:rFonts w:ascii="Arial" w:hAnsi="Arial" w:cs="Arial"/>
          <w:szCs w:val="24"/>
        </w:rPr>
        <w:t>Schools are identified as TSI-AT when:</w:t>
      </w:r>
    </w:p>
    <w:p w14:paraId="0C6CCD5F" w14:textId="659E68DD" w:rsidR="00D254E9" w:rsidRPr="001427AF" w:rsidRDefault="00D254E9" w:rsidP="00CA5853">
      <w:pPr>
        <w:numPr>
          <w:ilvl w:val="1"/>
          <w:numId w:val="161"/>
        </w:numPr>
        <w:autoSpaceDE w:val="0"/>
        <w:autoSpaceDN w:val="0"/>
        <w:adjustRightInd w:val="0"/>
        <w:spacing w:line="240" w:lineRule="auto"/>
        <w:rPr>
          <w:rFonts w:ascii="Arial" w:hAnsi="Arial" w:cs="Arial"/>
          <w:szCs w:val="24"/>
        </w:rPr>
      </w:pPr>
      <w:proofErr w:type="gramStart"/>
      <w:r w:rsidRPr="001427AF">
        <w:rPr>
          <w:rFonts w:ascii="Arial" w:hAnsi="Arial" w:cs="Arial"/>
          <w:szCs w:val="24"/>
        </w:rPr>
        <w:t>the</w:t>
      </w:r>
      <w:proofErr w:type="gramEnd"/>
      <w:r w:rsidRPr="001427AF">
        <w:rPr>
          <w:rFonts w:ascii="Arial" w:hAnsi="Arial" w:cs="Arial"/>
          <w:szCs w:val="24"/>
        </w:rPr>
        <w:t xml:space="preserve"> school has one or more subgroup(s) where the subgroup performance grade score is at or below the highest identified CSI-LP school’s All Students group during the identification year</w:t>
      </w:r>
      <w:r w:rsidR="00903CAF" w:rsidRPr="001427AF">
        <w:rPr>
          <w:rFonts w:ascii="Arial" w:hAnsi="Arial" w:cs="Arial"/>
          <w:szCs w:val="24"/>
          <w:vertAlign w:val="superscript"/>
        </w:rPr>
        <w:t>2</w:t>
      </w:r>
      <w:r w:rsidR="00314B9A" w:rsidRPr="001427AF">
        <w:rPr>
          <w:rFonts w:ascii="Arial" w:hAnsi="Arial" w:cs="Arial"/>
          <w:szCs w:val="24"/>
        </w:rPr>
        <w:t>,</w:t>
      </w:r>
      <w:r w:rsidRPr="001427AF">
        <w:rPr>
          <w:rFonts w:ascii="Arial" w:hAnsi="Arial" w:cs="Arial"/>
          <w:szCs w:val="24"/>
        </w:rPr>
        <w:t xml:space="preserve"> and</w:t>
      </w:r>
    </w:p>
    <w:p w14:paraId="450F5E7F" w14:textId="691C441F" w:rsidR="00D254E9" w:rsidRPr="001427AF" w:rsidRDefault="00D254E9" w:rsidP="00CA5853">
      <w:pPr>
        <w:numPr>
          <w:ilvl w:val="1"/>
          <w:numId w:val="161"/>
        </w:numPr>
        <w:autoSpaceDE w:val="0"/>
        <w:autoSpaceDN w:val="0"/>
        <w:adjustRightInd w:val="0"/>
        <w:spacing w:line="240" w:lineRule="auto"/>
        <w:rPr>
          <w:rFonts w:ascii="Arial" w:hAnsi="Arial" w:cs="Arial"/>
          <w:szCs w:val="24"/>
        </w:rPr>
      </w:pPr>
      <w:bookmarkStart w:id="846" w:name="_Int_i6mXmMcl"/>
      <w:proofErr w:type="gramStart"/>
      <w:r w:rsidRPr="001427AF">
        <w:rPr>
          <w:rFonts w:ascii="Arial" w:hAnsi="Arial" w:cs="Arial"/>
          <w:szCs w:val="24"/>
        </w:rPr>
        <w:t>the</w:t>
      </w:r>
      <w:bookmarkEnd w:id="846"/>
      <w:proofErr w:type="gramEnd"/>
      <w:r w:rsidRPr="001427AF">
        <w:rPr>
          <w:rFonts w:ascii="Arial" w:hAnsi="Arial" w:cs="Arial"/>
          <w:szCs w:val="24"/>
        </w:rPr>
        <w:t xml:space="preserve"> school is on the TSI-CU list for the subgroup(s) for the current year.</w:t>
      </w:r>
    </w:p>
    <w:p w14:paraId="79A915AF" w14:textId="6233735C" w:rsidR="00D254E9" w:rsidRDefault="00825384" w:rsidP="00CA5853">
      <w:pPr>
        <w:numPr>
          <w:ilvl w:val="0"/>
          <w:numId w:val="161"/>
        </w:numPr>
        <w:autoSpaceDE w:val="0"/>
        <w:autoSpaceDN w:val="0"/>
        <w:adjustRightInd w:val="0"/>
        <w:spacing w:line="240" w:lineRule="auto"/>
        <w:rPr>
          <w:rFonts w:ascii="Arial" w:hAnsi="Arial" w:cs="Arial"/>
          <w:szCs w:val="24"/>
        </w:rPr>
      </w:pPr>
      <w:r w:rsidRPr="001427AF">
        <w:rPr>
          <w:rFonts w:ascii="Arial" w:hAnsi="Arial" w:cs="Arial"/>
          <w:szCs w:val="24"/>
        </w:rPr>
        <w:t xml:space="preserve">TSI-AT schools cannot be identified as </w:t>
      </w:r>
      <w:r w:rsidR="00D254E9" w:rsidRPr="001427AF">
        <w:rPr>
          <w:rFonts w:ascii="Arial" w:hAnsi="Arial" w:cs="Arial"/>
          <w:szCs w:val="24"/>
        </w:rPr>
        <w:t>CSI-LP</w:t>
      </w:r>
      <w:r w:rsidR="00945A4D">
        <w:rPr>
          <w:rFonts w:ascii="Arial" w:hAnsi="Arial" w:cs="Arial"/>
          <w:szCs w:val="24"/>
        </w:rPr>
        <w:t>.</w:t>
      </w:r>
    </w:p>
    <w:p w14:paraId="27A736C3" w14:textId="274E1D27" w:rsidR="009D3AA9" w:rsidRPr="001427AF" w:rsidRDefault="009D3AA9" w:rsidP="00CA5853">
      <w:pPr>
        <w:numPr>
          <w:ilvl w:val="0"/>
          <w:numId w:val="161"/>
        </w:numPr>
        <w:autoSpaceDE w:val="0"/>
        <w:autoSpaceDN w:val="0"/>
        <w:adjustRightInd w:val="0"/>
        <w:spacing w:line="240" w:lineRule="auto"/>
        <w:rPr>
          <w:rFonts w:ascii="Arial" w:hAnsi="Arial" w:cs="Arial"/>
          <w:szCs w:val="24"/>
        </w:rPr>
      </w:pPr>
      <w:r>
        <w:rPr>
          <w:rFonts w:ascii="Arial" w:hAnsi="Arial" w:cs="Arial"/>
          <w:szCs w:val="24"/>
        </w:rPr>
        <w:t>TSI-AT schools cannot be identified as</w:t>
      </w:r>
      <w:r w:rsidRPr="001427AF">
        <w:rPr>
          <w:rFonts w:ascii="Arial" w:hAnsi="Arial" w:cs="Arial"/>
          <w:szCs w:val="24"/>
        </w:rPr>
        <w:t xml:space="preserve"> CSI-AT</w:t>
      </w:r>
      <w:r>
        <w:rPr>
          <w:rFonts w:ascii="Arial" w:hAnsi="Arial" w:cs="Arial"/>
          <w:szCs w:val="24"/>
        </w:rPr>
        <w:t xml:space="preserve"> or TSI-CU (for the pertinent subgroup).</w:t>
      </w:r>
    </w:p>
    <w:p w14:paraId="66B1DBD3" w14:textId="462A7384" w:rsidR="00D254E9" w:rsidRPr="001427AF" w:rsidRDefault="00F342D0" w:rsidP="00CA5853">
      <w:pPr>
        <w:numPr>
          <w:ilvl w:val="0"/>
          <w:numId w:val="161"/>
        </w:numPr>
        <w:autoSpaceDE w:val="0"/>
        <w:autoSpaceDN w:val="0"/>
        <w:adjustRightInd w:val="0"/>
        <w:spacing w:line="240" w:lineRule="auto"/>
        <w:rPr>
          <w:rFonts w:ascii="Arial" w:hAnsi="Arial" w:cs="Arial"/>
          <w:color w:val="000000" w:themeColor="text1"/>
          <w:szCs w:val="24"/>
        </w:rPr>
      </w:pPr>
      <w:r w:rsidRPr="001427AF">
        <w:rPr>
          <w:rFonts w:ascii="Arial" w:hAnsi="Arial" w:cs="Arial"/>
          <w:szCs w:val="24"/>
        </w:rPr>
        <w:t>TSI-AT s</w:t>
      </w:r>
      <w:r w:rsidR="00D254E9" w:rsidRPr="001427AF">
        <w:rPr>
          <w:rFonts w:ascii="Arial" w:hAnsi="Arial" w:cs="Arial"/>
          <w:szCs w:val="24"/>
        </w:rPr>
        <w:t xml:space="preserve">chools can </w:t>
      </w:r>
      <w:r w:rsidR="00B4480A" w:rsidRPr="001427AF">
        <w:rPr>
          <w:rFonts w:ascii="Arial" w:hAnsi="Arial" w:cs="Arial"/>
          <w:szCs w:val="24"/>
        </w:rPr>
        <w:t xml:space="preserve">also </w:t>
      </w:r>
      <w:r w:rsidR="00D254E9" w:rsidRPr="001427AF">
        <w:rPr>
          <w:rFonts w:ascii="Arial" w:hAnsi="Arial" w:cs="Arial"/>
          <w:szCs w:val="24"/>
        </w:rPr>
        <w:t xml:space="preserve">be </w:t>
      </w:r>
      <w:r w:rsidRPr="001427AF">
        <w:rPr>
          <w:rFonts w:ascii="Arial" w:hAnsi="Arial" w:cs="Arial"/>
          <w:szCs w:val="24"/>
        </w:rPr>
        <w:t>identified as CSI-LG.</w:t>
      </w:r>
    </w:p>
    <w:p w14:paraId="504B143A" w14:textId="77777777" w:rsidR="00D254E9" w:rsidRPr="001427AF" w:rsidRDefault="00D254E9" w:rsidP="00D254E9">
      <w:pPr>
        <w:autoSpaceDE w:val="0"/>
        <w:autoSpaceDN w:val="0"/>
        <w:adjustRightInd w:val="0"/>
        <w:spacing w:line="240" w:lineRule="auto"/>
        <w:ind w:left="1440"/>
        <w:rPr>
          <w:rFonts w:ascii="Arial" w:hAnsi="Arial" w:cs="Arial"/>
          <w:szCs w:val="24"/>
        </w:rPr>
      </w:pPr>
    </w:p>
    <w:p w14:paraId="6B53E875" w14:textId="5B6816AD" w:rsidR="00D254E9" w:rsidRPr="001427AF" w:rsidRDefault="008D2B71" w:rsidP="00D254E9">
      <w:pPr>
        <w:spacing w:line="240" w:lineRule="auto"/>
        <w:rPr>
          <w:rFonts w:ascii="Arial" w:hAnsi="Arial" w:cs="Arial"/>
        </w:rPr>
      </w:pPr>
      <w:r w:rsidRPr="001427AF">
        <w:rPr>
          <w:rFonts w:ascii="Arial" w:hAnsi="Arial" w:cs="Arial"/>
          <w:i/>
        </w:rPr>
        <w:t>Exit Criteri</w:t>
      </w:r>
      <w:r w:rsidR="00041E98" w:rsidRPr="001427AF">
        <w:rPr>
          <w:rFonts w:ascii="Arial" w:hAnsi="Arial" w:cs="Arial"/>
          <w:i/>
        </w:rPr>
        <w:t>on</w:t>
      </w:r>
      <w:r w:rsidRPr="001427AF">
        <w:rPr>
          <w:rFonts w:ascii="Arial" w:hAnsi="Arial" w:cs="Arial"/>
          <w:i/>
        </w:rPr>
        <w:t>.</w:t>
      </w:r>
      <w:r w:rsidRPr="001427AF">
        <w:rPr>
          <w:rFonts w:ascii="Arial" w:hAnsi="Arial" w:cs="Arial"/>
        </w:rPr>
        <w:t xml:space="preserve"> </w:t>
      </w:r>
      <w:r w:rsidR="00D254E9" w:rsidRPr="001427AF">
        <w:rPr>
          <w:rFonts w:ascii="Arial" w:hAnsi="Arial" w:cs="Arial"/>
        </w:rPr>
        <w:t xml:space="preserve">Schools </w:t>
      </w:r>
      <w:r w:rsidR="00B3034C" w:rsidRPr="001427AF">
        <w:rPr>
          <w:rFonts w:ascii="Arial" w:hAnsi="Arial" w:cs="Arial"/>
        </w:rPr>
        <w:t xml:space="preserve">can begin </w:t>
      </w:r>
      <w:r w:rsidR="00D254E9" w:rsidRPr="001427AF">
        <w:rPr>
          <w:rFonts w:ascii="Arial" w:hAnsi="Arial" w:cs="Arial"/>
        </w:rPr>
        <w:t>exit</w:t>
      </w:r>
      <w:r w:rsidR="00B3034C" w:rsidRPr="001427AF">
        <w:rPr>
          <w:rFonts w:ascii="Arial" w:hAnsi="Arial" w:cs="Arial"/>
        </w:rPr>
        <w:t xml:space="preserve">ing </w:t>
      </w:r>
      <w:r w:rsidR="00D254E9" w:rsidRPr="001427AF">
        <w:rPr>
          <w:rFonts w:ascii="Arial" w:hAnsi="Arial" w:cs="Arial"/>
        </w:rPr>
        <w:t xml:space="preserve">TSI-AT identification after three years </w:t>
      </w:r>
      <w:r w:rsidR="00152062" w:rsidRPr="001427AF">
        <w:rPr>
          <w:rFonts w:ascii="Arial" w:hAnsi="Arial" w:cs="Arial"/>
        </w:rPr>
        <w:t xml:space="preserve">and then </w:t>
      </w:r>
      <w:r w:rsidR="00EB1D6D" w:rsidRPr="001427AF">
        <w:rPr>
          <w:rFonts w:ascii="Arial" w:hAnsi="Arial" w:cs="Arial"/>
        </w:rPr>
        <w:t>exit criteri</w:t>
      </w:r>
      <w:r w:rsidR="0007336B" w:rsidRPr="001427AF">
        <w:rPr>
          <w:rFonts w:ascii="Arial" w:hAnsi="Arial" w:cs="Arial"/>
        </w:rPr>
        <w:t>on</w:t>
      </w:r>
      <w:r w:rsidR="00EB1D6D" w:rsidRPr="001427AF">
        <w:rPr>
          <w:rFonts w:ascii="Arial" w:hAnsi="Arial" w:cs="Arial"/>
        </w:rPr>
        <w:t xml:space="preserve"> is applied </w:t>
      </w:r>
      <w:r w:rsidR="00ED447E" w:rsidRPr="001427AF">
        <w:rPr>
          <w:rFonts w:ascii="Arial" w:hAnsi="Arial" w:cs="Arial"/>
        </w:rPr>
        <w:t xml:space="preserve">annually </w:t>
      </w:r>
      <w:r w:rsidR="00EB1D6D" w:rsidRPr="001427AF">
        <w:rPr>
          <w:rFonts w:ascii="Arial" w:hAnsi="Arial" w:cs="Arial"/>
        </w:rPr>
        <w:t xml:space="preserve">for three additional years. If the subgroup cannot </w:t>
      </w:r>
      <w:proofErr w:type="gramStart"/>
      <w:r w:rsidR="00EB1D6D" w:rsidRPr="001427AF">
        <w:rPr>
          <w:rFonts w:ascii="Arial" w:hAnsi="Arial" w:cs="Arial"/>
        </w:rPr>
        <w:t>exit</w:t>
      </w:r>
      <w:proofErr w:type="gramEnd"/>
      <w:r w:rsidR="00EB1D6D" w:rsidRPr="001427AF">
        <w:rPr>
          <w:rFonts w:ascii="Arial" w:hAnsi="Arial" w:cs="Arial"/>
        </w:rPr>
        <w:t xml:space="preserve"> after six years,</w:t>
      </w:r>
      <w:r w:rsidR="001E30F9" w:rsidRPr="001427AF">
        <w:rPr>
          <w:rFonts w:ascii="Arial" w:hAnsi="Arial" w:cs="Arial"/>
        </w:rPr>
        <w:t xml:space="preserve"> and the school is Title I served</w:t>
      </w:r>
      <w:r w:rsidR="007405BF" w:rsidRPr="001427AF">
        <w:rPr>
          <w:rFonts w:ascii="Arial" w:hAnsi="Arial" w:cs="Arial"/>
        </w:rPr>
        <w:t xml:space="preserve">, </w:t>
      </w:r>
      <w:r w:rsidR="00EB1D6D" w:rsidRPr="001427AF">
        <w:rPr>
          <w:rFonts w:ascii="Arial" w:hAnsi="Arial" w:cs="Arial"/>
        </w:rPr>
        <w:t>the school is identified as CSI-AT</w:t>
      </w:r>
      <w:r w:rsidR="007D1B23">
        <w:rPr>
          <w:rFonts w:ascii="Arial" w:hAnsi="Arial" w:cs="Arial"/>
        </w:rPr>
        <w:t xml:space="preserve"> (for the pertinent subgroup). </w:t>
      </w:r>
      <w:r w:rsidR="007405BF" w:rsidRPr="001427AF">
        <w:rPr>
          <w:rFonts w:ascii="Arial" w:hAnsi="Arial" w:cs="Arial"/>
        </w:rPr>
        <w:t xml:space="preserve">If the subgroup cannot </w:t>
      </w:r>
      <w:proofErr w:type="gramStart"/>
      <w:r w:rsidR="007405BF" w:rsidRPr="001427AF">
        <w:rPr>
          <w:rFonts w:ascii="Arial" w:hAnsi="Arial" w:cs="Arial"/>
        </w:rPr>
        <w:t>exit</w:t>
      </w:r>
      <w:proofErr w:type="gramEnd"/>
      <w:r w:rsidR="007405BF" w:rsidRPr="001427AF">
        <w:rPr>
          <w:rFonts w:ascii="Arial" w:hAnsi="Arial" w:cs="Arial"/>
        </w:rPr>
        <w:t xml:space="preserve"> after </w:t>
      </w:r>
      <w:r w:rsidR="002D1AC1" w:rsidRPr="001427AF">
        <w:rPr>
          <w:rFonts w:ascii="Arial" w:hAnsi="Arial" w:cs="Arial"/>
        </w:rPr>
        <w:t xml:space="preserve">six years, and the school is not Title I served, </w:t>
      </w:r>
      <w:r w:rsidR="00EB6803" w:rsidRPr="001427AF">
        <w:rPr>
          <w:rFonts w:ascii="Arial" w:hAnsi="Arial" w:cs="Arial"/>
        </w:rPr>
        <w:t>the subgroup remain</w:t>
      </w:r>
      <w:r w:rsidR="001F72B5">
        <w:rPr>
          <w:rFonts w:ascii="Arial" w:hAnsi="Arial" w:cs="Arial"/>
        </w:rPr>
        <w:t>s</w:t>
      </w:r>
      <w:r w:rsidR="00EB6803" w:rsidRPr="001427AF">
        <w:rPr>
          <w:rFonts w:ascii="Arial" w:hAnsi="Arial" w:cs="Arial"/>
        </w:rPr>
        <w:t xml:space="preserve"> in its identified cohort and </w:t>
      </w:r>
      <w:proofErr w:type="gramStart"/>
      <w:r w:rsidR="00EB6803" w:rsidRPr="001427AF">
        <w:rPr>
          <w:rFonts w:ascii="Arial" w:hAnsi="Arial" w:cs="Arial"/>
        </w:rPr>
        <w:t>continue</w:t>
      </w:r>
      <w:proofErr w:type="gramEnd"/>
      <w:r w:rsidR="00EB6803" w:rsidRPr="001427AF">
        <w:rPr>
          <w:rFonts w:ascii="Arial" w:hAnsi="Arial" w:cs="Arial"/>
        </w:rPr>
        <w:t xml:space="preserve"> to have exit </w:t>
      </w:r>
      <w:r w:rsidR="009153FF" w:rsidRPr="001427AF">
        <w:rPr>
          <w:rFonts w:ascii="Arial" w:hAnsi="Arial" w:cs="Arial"/>
        </w:rPr>
        <w:t>criteria</w:t>
      </w:r>
      <w:r w:rsidR="00EB6803" w:rsidRPr="001427AF">
        <w:rPr>
          <w:rFonts w:ascii="Arial" w:hAnsi="Arial" w:cs="Arial"/>
        </w:rPr>
        <w:t xml:space="preserve"> applied annually. </w:t>
      </w:r>
      <w:r w:rsidR="002D3BD5" w:rsidRPr="001427AF">
        <w:rPr>
          <w:rFonts w:ascii="Arial" w:hAnsi="Arial" w:cs="Arial"/>
        </w:rPr>
        <w:t>S</w:t>
      </w:r>
      <w:r w:rsidR="00D254E9" w:rsidRPr="001427AF">
        <w:rPr>
          <w:rFonts w:ascii="Arial" w:hAnsi="Arial" w:cs="Arial"/>
        </w:rPr>
        <w:t xml:space="preserve">ubgroup(s) identifying the school as TSI-AT </w:t>
      </w:r>
      <w:r w:rsidR="002D3BD5" w:rsidRPr="001427AF">
        <w:rPr>
          <w:rFonts w:ascii="Arial" w:hAnsi="Arial" w:cs="Arial"/>
        </w:rPr>
        <w:t xml:space="preserve">can exit TSI-AT status if </w:t>
      </w:r>
      <w:r w:rsidR="00D254E9" w:rsidRPr="001427AF">
        <w:rPr>
          <w:rFonts w:ascii="Arial" w:hAnsi="Arial" w:cs="Arial"/>
        </w:rPr>
        <w:t>one of the following exit criteri</w:t>
      </w:r>
      <w:r w:rsidR="00B75D23" w:rsidRPr="001427AF">
        <w:rPr>
          <w:rFonts w:ascii="Arial" w:hAnsi="Arial" w:cs="Arial"/>
        </w:rPr>
        <w:t>a</w:t>
      </w:r>
      <w:r w:rsidR="00D254E9" w:rsidRPr="001427AF">
        <w:rPr>
          <w:rFonts w:ascii="Arial" w:hAnsi="Arial" w:cs="Arial"/>
        </w:rPr>
        <w:t xml:space="preserve"> </w:t>
      </w:r>
      <w:r w:rsidR="00C21B71" w:rsidRPr="001427AF">
        <w:rPr>
          <w:rFonts w:ascii="Arial" w:hAnsi="Arial" w:cs="Arial"/>
        </w:rPr>
        <w:t xml:space="preserve">is met </w:t>
      </w:r>
      <w:r w:rsidR="00D254E9" w:rsidRPr="001427AF">
        <w:rPr>
          <w:rFonts w:ascii="Arial" w:hAnsi="Arial" w:cs="Arial"/>
        </w:rPr>
        <w:t xml:space="preserve">in </w:t>
      </w:r>
      <w:r w:rsidR="0054478B" w:rsidRPr="001427AF">
        <w:rPr>
          <w:rFonts w:ascii="Arial" w:hAnsi="Arial" w:cs="Arial"/>
        </w:rPr>
        <w:t>an</w:t>
      </w:r>
      <w:r w:rsidR="00D254E9" w:rsidRPr="001427AF">
        <w:rPr>
          <w:rFonts w:ascii="Arial" w:hAnsi="Arial" w:cs="Arial"/>
        </w:rPr>
        <w:t xml:space="preserve"> exit year</w:t>
      </w:r>
      <w:r w:rsidR="00255CF9" w:rsidRPr="001427AF">
        <w:rPr>
          <w:rFonts w:ascii="Arial" w:hAnsi="Arial" w:cs="Arial"/>
        </w:rPr>
        <w:t>:</w:t>
      </w:r>
    </w:p>
    <w:p w14:paraId="0D09C638" w14:textId="589C2DF7" w:rsidR="00D254E9" w:rsidRPr="001427AF" w:rsidRDefault="00D254E9" w:rsidP="00CA5853">
      <w:pPr>
        <w:pStyle w:val="ListParagraph"/>
        <w:numPr>
          <w:ilvl w:val="0"/>
          <w:numId w:val="99"/>
        </w:numPr>
        <w:ind w:left="360"/>
        <w:rPr>
          <w:rFonts w:ascii="Arial" w:hAnsi="Arial" w:cs="Arial"/>
        </w:rPr>
      </w:pPr>
      <w:r w:rsidRPr="001427AF">
        <w:rPr>
          <w:rFonts w:ascii="Arial" w:hAnsi="Arial" w:cs="Arial"/>
        </w:rPr>
        <w:t>Identified subgroup(s) achieve a three-year growth index of 1.0 or higher</w:t>
      </w:r>
      <w:r w:rsidR="00DB67EF">
        <w:rPr>
          <w:rFonts w:ascii="ZWAdobeF" w:hAnsi="ZWAdobeF" w:cs="ZWAdobeF"/>
          <w:color w:val="auto"/>
          <w:sz w:val="2"/>
          <w:szCs w:val="2"/>
        </w:rPr>
        <w:t>13F</w:t>
      </w:r>
      <w:r w:rsidR="0005014F" w:rsidRPr="007B6141">
        <w:rPr>
          <w:rStyle w:val="FootnoteReference"/>
          <w:rFonts w:ascii="Arial" w:hAnsi="Arial" w:cs="Arial"/>
          <w:sz w:val="20"/>
        </w:rPr>
        <w:footnoteReference w:customMarkFollows="1" w:id="15"/>
        <w:t>4</w:t>
      </w:r>
      <w:r w:rsidRPr="001427AF">
        <w:rPr>
          <w:rFonts w:ascii="Arial" w:hAnsi="Arial" w:cs="Arial"/>
        </w:rPr>
        <w:t>; or</w:t>
      </w:r>
    </w:p>
    <w:p w14:paraId="4B06139B" w14:textId="54AB0395" w:rsidR="00D254E9" w:rsidRPr="001427AF" w:rsidRDefault="009D1307" w:rsidP="00CA5853">
      <w:pPr>
        <w:pStyle w:val="ListParagraph"/>
        <w:numPr>
          <w:ilvl w:val="0"/>
          <w:numId w:val="99"/>
        </w:numPr>
        <w:ind w:left="360"/>
        <w:rPr>
          <w:rFonts w:ascii="Arial" w:hAnsi="Arial" w:cs="Arial"/>
        </w:rPr>
      </w:pPr>
      <w:r w:rsidRPr="001427AF">
        <w:rPr>
          <w:rFonts w:ascii="Arial" w:hAnsi="Arial" w:cs="Arial"/>
        </w:rPr>
        <w:t>a</w:t>
      </w:r>
      <w:r w:rsidR="00D254E9" w:rsidRPr="001427AF">
        <w:rPr>
          <w:rFonts w:ascii="Arial" w:hAnsi="Arial" w:cs="Arial"/>
        </w:rPr>
        <w:t>re on track to meet the subgroup(s) twelve-year proficiency goals in reading and math; or</w:t>
      </w:r>
    </w:p>
    <w:p w14:paraId="432B032A" w14:textId="638F064C" w:rsidR="00D254E9" w:rsidRPr="001427AF" w:rsidRDefault="009D1307" w:rsidP="00CA5853">
      <w:pPr>
        <w:pStyle w:val="ListParagraph"/>
        <w:numPr>
          <w:ilvl w:val="0"/>
          <w:numId w:val="99"/>
        </w:numPr>
        <w:ind w:left="360"/>
        <w:rPr>
          <w:rFonts w:ascii="Arial" w:hAnsi="Arial" w:cs="Arial"/>
        </w:rPr>
      </w:pPr>
      <w:proofErr w:type="gramStart"/>
      <w:r w:rsidRPr="001427AF">
        <w:rPr>
          <w:rFonts w:ascii="Arial" w:hAnsi="Arial" w:cs="Arial"/>
        </w:rPr>
        <w:t>t</w:t>
      </w:r>
      <w:r w:rsidR="00D254E9" w:rsidRPr="001427AF">
        <w:rPr>
          <w:rFonts w:ascii="Arial" w:hAnsi="Arial" w:cs="Arial"/>
        </w:rPr>
        <w:t>here</w:t>
      </w:r>
      <w:proofErr w:type="gramEnd"/>
      <w:r w:rsidR="00D254E9" w:rsidRPr="001427AF">
        <w:rPr>
          <w:rFonts w:ascii="Arial" w:hAnsi="Arial" w:cs="Arial"/>
        </w:rPr>
        <w:t xml:space="preserve"> is no longer a subgroup whose overall performance as measured by the School Performance Grade score is at or below the score designated for CSI-</w:t>
      </w:r>
      <w:r w:rsidR="00CE730E" w:rsidRPr="001427AF">
        <w:rPr>
          <w:rFonts w:ascii="Arial" w:hAnsi="Arial" w:cs="Arial"/>
        </w:rPr>
        <w:t>LP</w:t>
      </w:r>
      <w:r w:rsidR="00D254E9" w:rsidRPr="001427AF">
        <w:rPr>
          <w:rFonts w:ascii="Arial" w:hAnsi="Arial" w:cs="Arial"/>
        </w:rPr>
        <w:t xml:space="preserve"> identification and previously identified subgroup(s) improved performance on the </w:t>
      </w:r>
      <w:r w:rsidR="00D254E9" w:rsidRPr="001427AF">
        <w:rPr>
          <w:rFonts w:ascii="Arial" w:hAnsi="Arial" w:cs="Arial"/>
        </w:rPr>
        <w:lastRenderedPageBreak/>
        <w:t>School Performance Grade score as compared to the score at the time of identification.</w:t>
      </w:r>
      <w:r w:rsidR="00DB67EF">
        <w:rPr>
          <w:rFonts w:ascii="ZWAdobeF" w:hAnsi="ZWAdobeF" w:cs="ZWAdobeF"/>
          <w:color w:val="auto"/>
          <w:sz w:val="2"/>
          <w:szCs w:val="2"/>
        </w:rPr>
        <w:t>14F</w:t>
      </w:r>
      <w:r w:rsidR="00455947">
        <w:rPr>
          <w:rStyle w:val="FootnoteReference"/>
          <w:rFonts w:ascii="Arial" w:hAnsi="Arial" w:cs="Arial"/>
        </w:rPr>
        <w:footnoteReference w:customMarkFollows="1" w:id="16"/>
        <w:t>5</w:t>
      </w:r>
    </w:p>
    <w:p w14:paraId="04C70E04" w14:textId="4B5E6333" w:rsidR="00D254E9" w:rsidRPr="001427AF" w:rsidRDefault="00D254E9" w:rsidP="00B76243">
      <w:pPr>
        <w:pStyle w:val="Heading3"/>
      </w:pPr>
      <w:bookmarkStart w:id="847" w:name="_Toc135809672"/>
      <w:bookmarkStart w:id="848" w:name="_Toc135811825"/>
      <w:bookmarkStart w:id="849" w:name="_Toc135812562"/>
      <w:bookmarkStart w:id="850" w:name="_Toc135812756"/>
      <w:bookmarkStart w:id="851" w:name="_Toc135813315"/>
      <w:bookmarkStart w:id="852" w:name="_Toc136338040"/>
      <w:bookmarkStart w:id="853" w:name="_Toc136338273"/>
      <w:bookmarkStart w:id="854" w:name="_Toc136354434"/>
      <w:bookmarkStart w:id="855" w:name="_Toc136354739"/>
      <w:bookmarkStart w:id="856" w:name="_Toc136418681"/>
      <w:bookmarkStart w:id="857" w:name="_Toc136418943"/>
      <w:bookmarkStart w:id="858" w:name="_Toc136419199"/>
      <w:bookmarkStart w:id="859" w:name="_Toc136419455"/>
      <w:bookmarkStart w:id="860" w:name="_Toc135812563"/>
      <w:bookmarkStart w:id="861" w:name="_Toc136418944"/>
      <w:bookmarkStart w:id="862" w:name="_Toc136419200"/>
      <w:bookmarkStart w:id="863" w:name="_Toc225405019"/>
      <w:bookmarkEnd w:id="847"/>
      <w:bookmarkEnd w:id="848"/>
      <w:bookmarkEnd w:id="849"/>
      <w:bookmarkEnd w:id="850"/>
      <w:bookmarkEnd w:id="851"/>
      <w:bookmarkEnd w:id="852"/>
      <w:bookmarkEnd w:id="853"/>
      <w:bookmarkEnd w:id="854"/>
      <w:bookmarkEnd w:id="855"/>
      <w:bookmarkEnd w:id="856"/>
      <w:bookmarkEnd w:id="857"/>
      <w:bookmarkEnd w:id="858"/>
      <w:bookmarkEnd w:id="859"/>
      <w:r w:rsidRPr="001427AF">
        <w:t>Steps for TSI-AT Identification</w:t>
      </w:r>
      <w:bookmarkEnd w:id="860"/>
      <w:bookmarkEnd w:id="861"/>
      <w:bookmarkEnd w:id="862"/>
      <w:bookmarkEnd w:id="863"/>
      <w:r w:rsidRPr="001427AF">
        <w:t xml:space="preserve"> </w:t>
      </w:r>
    </w:p>
    <w:p w14:paraId="63715909" w14:textId="1106C32A" w:rsidR="00D254E9" w:rsidRPr="001427AF" w:rsidRDefault="00D254E9" w:rsidP="00CA5853">
      <w:pPr>
        <w:numPr>
          <w:ilvl w:val="0"/>
          <w:numId w:val="98"/>
        </w:numPr>
        <w:spacing w:line="240" w:lineRule="auto"/>
        <w:contextualSpacing/>
        <w:rPr>
          <w:rFonts w:ascii="Arial" w:hAnsi="Arial" w:cs="Arial"/>
        </w:rPr>
      </w:pPr>
      <w:r w:rsidRPr="001427AF">
        <w:rPr>
          <w:rFonts w:ascii="Arial" w:hAnsi="Arial" w:cs="Arial"/>
        </w:rPr>
        <w:t xml:space="preserve">Exit schools that meet the </w:t>
      </w:r>
      <w:r w:rsidR="00CE730E" w:rsidRPr="001427AF">
        <w:rPr>
          <w:rFonts w:ascii="Arial" w:hAnsi="Arial" w:cs="Arial"/>
        </w:rPr>
        <w:t xml:space="preserve">TSI-AT </w:t>
      </w:r>
      <w:r w:rsidRPr="001427AF">
        <w:rPr>
          <w:rFonts w:ascii="Arial" w:hAnsi="Arial" w:cs="Arial"/>
        </w:rPr>
        <w:t>exit criteria</w:t>
      </w:r>
      <w:r w:rsidR="00CE730E" w:rsidRPr="001427AF">
        <w:rPr>
          <w:rFonts w:ascii="Arial" w:hAnsi="Arial" w:cs="Arial"/>
        </w:rPr>
        <w:t xml:space="preserve"> in subsection 9.7</w:t>
      </w:r>
      <w:r w:rsidRPr="001427AF">
        <w:rPr>
          <w:rFonts w:ascii="Arial" w:hAnsi="Arial" w:cs="Arial"/>
        </w:rPr>
        <w:t>.</w:t>
      </w:r>
    </w:p>
    <w:p w14:paraId="0E71A735" w14:textId="1EE0EE99" w:rsidR="00D254E9" w:rsidRDefault="00D254E9" w:rsidP="00CA5853">
      <w:pPr>
        <w:numPr>
          <w:ilvl w:val="0"/>
          <w:numId w:val="98"/>
        </w:numPr>
        <w:spacing w:line="240" w:lineRule="auto"/>
        <w:contextualSpacing/>
        <w:rPr>
          <w:rFonts w:ascii="Arial" w:hAnsi="Arial" w:cs="Arial"/>
        </w:rPr>
      </w:pPr>
      <w:r w:rsidRPr="001427AF">
        <w:rPr>
          <w:rFonts w:ascii="Arial" w:hAnsi="Arial" w:cs="Arial"/>
        </w:rPr>
        <w:t>Schools identified in 2018–19</w:t>
      </w:r>
      <w:r w:rsidR="00E064C9" w:rsidRPr="001427AF">
        <w:rPr>
          <w:rFonts w:ascii="Arial" w:hAnsi="Arial" w:cs="Arial"/>
        </w:rPr>
        <w:t xml:space="preserve"> (using 2017–18 data)</w:t>
      </w:r>
      <w:r w:rsidRPr="001427AF">
        <w:rPr>
          <w:rFonts w:ascii="Arial" w:hAnsi="Arial" w:cs="Arial"/>
        </w:rPr>
        <w:t xml:space="preserve"> </w:t>
      </w:r>
      <w:r w:rsidR="00657668" w:rsidRPr="001427AF">
        <w:rPr>
          <w:rFonts w:ascii="Arial" w:hAnsi="Arial" w:cs="Arial"/>
        </w:rPr>
        <w:t xml:space="preserve">and </w:t>
      </w:r>
      <w:r w:rsidR="00262BF4" w:rsidRPr="001427AF">
        <w:rPr>
          <w:rFonts w:ascii="Arial" w:hAnsi="Arial" w:cs="Arial"/>
        </w:rPr>
        <w:t xml:space="preserve">are </w:t>
      </w:r>
      <w:r w:rsidRPr="001427AF">
        <w:rPr>
          <w:rFonts w:ascii="Arial" w:hAnsi="Arial" w:cs="Arial"/>
        </w:rPr>
        <w:t>unable to exit, are labeled as Cohort 1.</w:t>
      </w:r>
    </w:p>
    <w:p w14:paraId="273CF9FC" w14:textId="496D9925" w:rsidR="00950E6E" w:rsidRDefault="00950E6E" w:rsidP="00CA5853">
      <w:pPr>
        <w:numPr>
          <w:ilvl w:val="1"/>
          <w:numId w:val="98"/>
        </w:numPr>
        <w:spacing w:line="240" w:lineRule="auto"/>
        <w:contextualSpacing/>
        <w:rPr>
          <w:rFonts w:ascii="Arial" w:hAnsi="Arial" w:cs="Arial"/>
        </w:rPr>
      </w:pPr>
      <w:r>
        <w:rPr>
          <w:rFonts w:ascii="Arial" w:hAnsi="Arial" w:cs="Arial"/>
        </w:rPr>
        <w:t xml:space="preserve">After six years, if the Cohort 1 school is unable to </w:t>
      </w:r>
      <w:proofErr w:type="gramStart"/>
      <w:r>
        <w:rPr>
          <w:rFonts w:ascii="Arial" w:hAnsi="Arial" w:cs="Arial"/>
        </w:rPr>
        <w:t>exit</w:t>
      </w:r>
      <w:proofErr w:type="gramEnd"/>
      <w:r>
        <w:rPr>
          <w:rFonts w:ascii="Arial" w:hAnsi="Arial" w:cs="Arial"/>
        </w:rPr>
        <w:t xml:space="preserve"> and is a Title I school, the school </w:t>
      </w:r>
      <w:r w:rsidR="008D0205">
        <w:rPr>
          <w:rFonts w:ascii="Arial" w:hAnsi="Arial" w:cs="Arial"/>
        </w:rPr>
        <w:t>is</w:t>
      </w:r>
      <w:r>
        <w:rPr>
          <w:rFonts w:ascii="Arial" w:hAnsi="Arial" w:cs="Arial"/>
        </w:rPr>
        <w:t xml:space="preserve"> identified as CSI-AT for the pertinent subgroup.</w:t>
      </w:r>
    </w:p>
    <w:p w14:paraId="694F07F8" w14:textId="7E06BB28" w:rsidR="00950E6E" w:rsidRDefault="00950E6E" w:rsidP="00CA5853">
      <w:pPr>
        <w:numPr>
          <w:ilvl w:val="1"/>
          <w:numId w:val="98"/>
        </w:numPr>
        <w:spacing w:line="240" w:lineRule="auto"/>
        <w:contextualSpacing/>
        <w:rPr>
          <w:rFonts w:ascii="Arial" w:hAnsi="Arial" w:cs="Arial"/>
        </w:rPr>
      </w:pPr>
      <w:r>
        <w:rPr>
          <w:rFonts w:ascii="Arial" w:hAnsi="Arial" w:cs="Arial"/>
        </w:rPr>
        <w:t>After six year</w:t>
      </w:r>
      <w:r w:rsidR="008D0205">
        <w:rPr>
          <w:rFonts w:ascii="Arial" w:hAnsi="Arial" w:cs="Arial"/>
        </w:rPr>
        <w:t>s</w:t>
      </w:r>
      <w:r>
        <w:rPr>
          <w:rFonts w:ascii="Arial" w:hAnsi="Arial" w:cs="Arial"/>
        </w:rPr>
        <w:t xml:space="preserve">, if the Cohort 1 school is unable to </w:t>
      </w:r>
      <w:proofErr w:type="gramStart"/>
      <w:r>
        <w:rPr>
          <w:rFonts w:ascii="Arial" w:hAnsi="Arial" w:cs="Arial"/>
        </w:rPr>
        <w:t>exit</w:t>
      </w:r>
      <w:proofErr w:type="gramEnd"/>
      <w:r>
        <w:rPr>
          <w:rFonts w:ascii="Arial" w:hAnsi="Arial" w:cs="Arial"/>
        </w:rPr>
        <w:t xml:space="preserve"> and is not a Title I school, the school remain</w:t>
      </w:r>
      <w:r w:rsidR="008D0205">
        <w:rPr>
          <w:rFonts w:ascii="Arial" w:hAnsi="Arial" w:cs="Arial"/>
        </w:rPr>
        <w:t>s</w:t>
      </w:r>
      <w:r w:rsidDel="008D0205">
        <w:rPr>
          <w:rFonts w:ascii="Arial" w:hAnsi="Arial" w:cs="Arial"/>
        </w:rPr>
        <w:t xml:space="preserve"> </w:t>
      </w:r>
      <w:r>
        <w:rPr>
          <w:rFonts w:ascii="Arial" w:hAnsi="Arial" w:cs="Arial"/>
        </w:rPr>
        <w:t xml:space="preserve">TSI-AT, Cohort 1. </w:t>
      </w:r>
    </w:p>
    <w:p w14:paraId="17F1A39E" w14:textId="69DBB9DB" w:rsidR="00950E6E" w:rsidRPr="0021555A" w:rsidRDefault="00950E6E" w:rsidP="00CA5853">
      <w:pPr>
        <w:numPr>
          <w:ilvl w:val="1"/>
          <w:numId w:val="98"/>
        </w:numPr>
        <w:spacing w:line="240" w:lineRule="auto"/>
        <w:contextualSpacing/>
        <w:rPr>
          <w:rFonts w:ascii="Arial" w:hAnsi="Arial" w:cs="Arial"/>
        </w:rPr>
      </w:pPr>
      <w:r w:rsidRPr="001427AF">
        <w:rPr>
          <w:rFonts w:ascii="Arial" w:hAnsi="Arial" w:cs="Arial"/>
        </w:rPr>
        <w:t>Cohorts are used to track the school’s status for annual exit prior to possible identification as CSI-AT.</w:t>
      </w:r>
      <w:r>
        <w:rPr>
          <w:rFonts w:ascii="Arial" w:hAnsi="Arial" w:cs="Arial"/>
        </w:rPr>
        <w:t xml:space="preserve"> The cohort number</w:t>
      </w:r>
      <w:r w:rsidR="001F72B5">
        <w:rPr>
          <w:rFonts w:ascii="Arial" w:hAnsi="Arial" w:cs="Arial"/>
        </w:rPr>
        <w:t xml:space="preserve"> </w:t>
      </w:r>
      <w:r>
        <w:rPr>
          <w:rFonts w:ascii="Arial" w:hAnsi="Arial" w:cs="Arial"/>
        </w:rPr>
        <w:t>continue</w:t>
      </w:r>
      <w:r w:rsidR="001F72B5">
        <w:rPr>
          <w:rFonts w:ascii="Arial" w:hAnsi="Arial" w:cs="Arial"/>
        </w:rPr>
        <w:t>s</w:t>
      </w:r>
      <w:r>
        <w:rPr>
          <w:rFonts w:ascii="Arial" w:hAnsi="Arial" w:cs="Arial"/>
        </w:rPr>
        <w:t xml:space="preserve"> with the subgroup to CSI-AT identification. </w:t>
      </w:r>
    </w:p>
    <w:p w14:paraId="3928562D" w14:textId="083EA712" w:rsidR="00D254E9" w:rsidRPr="001427AF" w:rsidRDefault="00D254E9" w:rsidP="00CA5853">
      <w:pPr>
        <w:numPr>
          <w:ilvl w:val="0"/>
          <w:numId w:val="98"/>
        </w:numPr>
        <w:spacing w:line="240" w:lineRule="auto"/>
        <w:contextualSpacing/>
        <w:rPr>
          <w:rFonts w:ascii="Arial" w:hAnsi="Arial" w:cs="Arial"/>
        </w:rPr>
      </w:pPr>
      <w:r w:rsidRPr="001427AF">
        <w:rPr>
          <w:rFonts w:ascii="Arial" w:hAnsi="Arial" w:cs="Arial"/>
        </w:rPr>
        <w:t>Schools identified in 2022–23</w:t>
      </w:r>
      <w:r w:rsidR="00E064C9" w:rsidRPr="001427AF">
        <w:rPr>
          <w:rFonts w:ascii="Arial" w:hAnsi="Arial" w:cs="Arial"/>
        </w:rPr>
        <w:t xml:space="preserve"> (using 2021–22 data)</w:t>
      </w:r>
      <w:r w:rsidRPr="001427AF">
        <w:rPr>
          <w:rFonts w:ascii="Arial" w:hAnsi="Arial" w:cs="Arial"/>
        </w:rPr>
        <w:t xml:space="preserve"> </w:t>
      </w:r>
      <w:r w:rsidR="00262BF4" w:rsidRPr="001427AF">
        <w:rPr>
          <w:rFonts w:ascii="Arial" w:hAnsi="Arial" w:cs="Arial"/>
        </w:rPr>
        <w:t xml:space="preserve">and are unable to exit, </w:t>
      </w:r>
      <w:r w:rsidRPr="001427AF">
        <w:rPr>
          <w:rFonts w:ascii="Arial" w:hAnsi="Arial" w:cs="Arial"/>
        </w:rPr>
        <w:t>are labeled as Cohort 2.</w:t>
      </w:r>
    </w:p>
    <w:p w14:paraId="1F281510" w14:textId="77777777" w:rsidR="00704070" w:rsidRPr="001427AF" w:rsidRDefault="00704070" w:rsidP="00CA5853">
      <w:pPr>
        <w:numPr>
          <w:ilvl w:val="0"/>
          <w:numId w:val="98"/>
        </w:numPr>
        <w:spacing w:line="240" w:lineRule="auto"/>
        <w:contextualSpacing/>
        <w:rPr>
          <w:rFonts w:ascii="Arial" w:hAnsi="Arial" w:cs="Arial"/>
        </w:rPr>
      </w:pPr>
      <w:r w:rsidRPr="001427AF">
        <w:rPr>
          <w:rFonts w:ascii="Arial" w:hAnsi="Arial" w:cs="Arial"/>
        </w:rPr>
        <w:t xml:space="preserve">Schools newly identified in 2025–26 (using 2024–25 data), are labeled as Cohort 3. </w:t>
      </w:r>
    </w:p>
    <w:p w14:paraId="2884C84C" w14:textId="77777777" w:rsidR="00D254E9" w:rsidRPr="001427AF" w:rsidRDefault="00D254E9" w:rsidP="00D254E9">
      <w:pPr>
        <w:spacing w:line="240" w:lineRule="auto"/>
        <w:rPr>
          <w:rFonts w:ascii="Arial" w:hAnsi="Arial" w:cs="Arial"/>
        </w:rPr>
      </w:pPr>
    </w:p>
    <w:p w14:paraId="052D9F5B" w14:textId="4E19F25F" w:rsidR="00D254E9" w:rsidRPr="001427AF" w:rsidRDefault="00D254E9" w:rsidP="00D254E9">
      <w:pPr>
        <w:rPr>
          <w:rFonts w:ascii="Arial" w:hAnsi="Arial" w:cs="Arial"/>
        </w:rPr>
      </w:pPr>
      <w:r w:rsidRPr="001427AF">
        <w:rPr>
          <w:rFonts w:ascii="Arial" w:hAnsi="Arial" w:cs="Arial"/>
        </w:rPr>
        <w:t xml:space="preserve">The information displayed on the following </w:t>
      </w:r>
      <w:r w:rsidR="008D2B71" w:rsidRPr="001427AF">
        <w:rPr>
          <w:rFonts w:ascii="Arial" w:hAnsi="Arial" w:cs="Arial"/>
        </w:rPr>
        <w:t xml:space="preserve">tables </w:t>
      </w:r>
      <w:r w:rsidRPr="001427AF">
        <w:rPr>
          <w:rFonts w:ascii="Arial" w:hAnsi="Arial" w:cs="Arial"/>
        </w:rPr>
        <w:t>provide</w:t>
      </w:r>
      <w:r w:rsidR="00CE730E" w:rsidRPr="001427AF">
        <w:rPr>
          <w:rFonts w:ascii="Arial" w:hAnsi="Arial" w:cs="Arial"/>
        </w:rPr>
        <w:t>s</w:t>
      </w:r>
      <w:r w:rsidRPr="001427AF">
        <w:rPr>
          <w:rFonts w:ascii="Arial" w:hAnsi="Arial" w:cs="Arial"/>
        </w:rPr>
        <w:t xml:space="preserve"> graphic representations of all CSI and TSI identifications.</w:t>
      </w:r>
    </w:p>
    <w:p w14:paraId="424711E4" w14:textId="77777777" w:rsidR="00D254E9" w:rsidRPr="001427AF" w:rsidRDefault="00D254E9" w:rsidP="00D254E9">
      <w:pPr>
        <w:rPr>
          <w:rFonts w:ascii="Arial" w:hAnsi="Arial" w:cs="Arial"/>
          <w:b/>
          <w:iCs/>
          <w:sz w:val="20"/>
        </w:rPr>
      </w:pPr>
    </w:p>
    <w:p w14:paraId="3E13DD17" w14:textId="77777777" w:rsidR="00BA09D2" w:rsidRPr="001427AF" w:rsidRDefault="00BA09D2" w:rsidP="00D254E9">
      <w:pPr>
        <w:rPr>
          <w:rFonts w:ascii="Arial" w:hAnsi="Arial" w:cs="Arial"/>
          <w:b/>
          <w:iCs/>
          <w:sz w:val="20"/>
        </w:rPr>
        <w:sectPr w:rsidR="00BA09D2" w:rsidRPr="001427AF" w:rsidSect="0000038D">
          <w:headerReference w:type="even" r:id="rId45"/>
          <w:headerReference w:type="first" r:id="rId46"/>
          <w:footerReference w:type="first" r:id="rId47"/>
          <w:type w:val="continuous"/>
          <w:pgSz w:w="12240" w:h="15840" w:code="1"/>
          <w:pgMar w:top="1440" w:right="1440" w:bottom="1440" w:left="1440" w:header="432" w:footer="475" w:gutter="0"/>
          <w:cols w:space="720"/>
          <w:noEndnote/>
          <w:docGrid w:linePitch="326"/>
        </w:sectPr>
      </w:pPr>
    </w:p>
    <w:p w14:paraId="3B863BA2" w14:textId="0534B4BB" w:rsidR="00D254E9" w:rsidRPr="001427AF" w:rsidRDefault="00D254E9" w:rsidP="00D254E9">
      <w:pPr>
        <w:rPr>
          <w:rFonts w:ascii="Arial" w:hAnsi="Arial" w:cs="Arial"/>
          <w:bCs/>
          <w:iCs/>
          <w:szCs w:val="24"/>
        </w:rPr>
      </w:pPr>
      <w:r w:rsidRPr="001427AF">
        <w:rPr>
          <w:rFonts w:ascii="Arial" w:hAnsi="Arial" w:cs="Arial"/>
          <w:sz w:val="20"/>
        </w:rPr>
        <w:lastRenderedPageBreak/>
        <w:t xml:space="preserve">TABLE 9.7.1. CSI </w:t>
      </w:r>
      <w:r w:rsidR="009324BF" w:rsidRPr="001427AF">
        <w:rPr>
          <w:rFonts w:ascii="Arial" w:hAnsi="Arial" w:cs="Arial"/>
          <w:bCs/>
          <w:iCs/>
          <w:sz w:val="20"/>
        </w:rPr>
        <w:t>i</w:t>
      </w:r>
      <w:r w:rsidRPr="001427AF">
        <w:rPr>
          <w:rFonts w:ascii="Arial" w:hAnsi="Arial" w:cs="Arial"/>
          <w:bCs/>
          <w:iCs/>
          <w:sz w:val="20"/>
        </w:rPr>
        <w:t>dentification</w:t>
      </w:r>
      <w:r w:rsidRPr="001427AF">
        <w:rPr>
          <w:rFonts w:ascii="Arial" w:hAnsi="Arial" w:cs="Arial"/>
          <w:sz w:val="20"/>
        </w:rPr>
        <w:t xml:space="preserve"> criteria</w:t>
      </w:r>
    </w:p>
    <w:tbl>
      <w:tblPr>
        <w:tblStyle w:val="TableGrid"/>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dentification criteria for comprehensive support and improvement schools. "/>
      </w:tblPr>
      <w:tblGrid>
        <w:gridCol w:w="4156"/>
        <w:gridCol w:w="2312"/>
        <w:gridCol w:w="2529"/>
        <w:gridCol w:w="1499"/>
        <w:gridCol w:w="3808"/>
      </w:tblGrid>
      <w:tr w:rsidR="00D254E9" w:rsidRPr="001427AF" w14:paraId="07E7B1F5" w14:textId="77777777" w:rsidTr="0093533F">
        <w:trPr>
          <w:trHeight w:val="488"/>
          <w:jc w:val="center"/>
        </w:trPr>
        <w:tc>
          <w:tcPr>
            <w:tcW w:w="1453" w:type="pct"/>
            <w:shd w:val="clear" w:color="auto" w:fill="1F3864" w:themeFill="accent1" w:themeFillShade="80"/>
          </w:tcPr>
          <w:p w14:paraId="27AA8D98" w14:textId="77777777"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Designation</w:t>
            </w:r>
          </w:p>
        </w:tc>
        <w:tc>
          <w:tcPr>
            <w:tcW w:w="808" w:type="pct"/>
            <w:shd w:val="clear" w:color="auto" w:fill="1F3864" w:themeFill="accent1" w:themeFillShade="80"/>
          </w:tcPr>
          <w:p w14:paraId="5506CE98" w14:textId="26798FD4"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Eligible </w:t>
            </w:r>
            <w:r w:rsidR="00A239AA" w:rsidRPr="001427AF">
              <w:rPr>
                <w:rFonts w:ascii="Arial" w:hAnsi="Arial" w:cs="Arial"/>
                <w:b/>
                <w:bCs/>
                <w:iCs/>
                <w:color w:val="FFFFFF" w:themeColor="background1"/>
                <w:sz w:val="20"/>
              </w:rPr>
              <w:t>s</w:t>
            </w:r>
            <w:r w:rsidRPr="001427AF">
              <w:rPr>
                <w:rFonts w:ascii="Arial" w:hAnsi="Arial" w:cs="Arial"/>
                <w:b/>
                <w:bCs/>
                <w:iCs/>
                <w:color w:val="FFFFFF" w:themeColor="background1"/>
                <w:sz w:val="20"/>
              </w:rPr>
              <w:t>chools</w:t>
            </w:r>
          </w:p>
        </w:tc>
        <w:tc>
          <w:tcPr>
            <w:tcW w:w="884" w:type="pct"/>
            <w:shd w:val="clear" w:color="auto" w:fill="1F3864" w:themeFill="accent1" w:themeFillShade="80"/>
          </w:tcPr>
          <w:p w14:paraId="013076E9" w14:textId="2F47F361"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Year of </w:t>
            </w:r>
            <w:r w:rsidR="00A239AA" w:rsidRPr="001427AF">
              <w:rPr>
                <w:rFonts w:ascii="Arial" w:hAnsi="Arial" w:cs="Arial"/>
                <w:b/>
                <w:bCs/>
                <w:iCs/>
                <w:color w:val="FFFFFF" w:themeColor="background1"/>
                <w:sz w:val="20"/>
              </w:rPr>
              <w:t>i</w:t>
            </w:r>
            <w:r w:rsidRPr="001427AF">
              <w:rPr>
                <w:rFonts w:ascii="Arial" w:hAnsi="Arial" w:cs="Arial"/>
                <w:b/>
                <w:bCs/>
                <w:iCs/>
                <w:color w:val="FFFFFF" w:themeColor="background1"/>
                <w:sz w:val="20"/>
              </w:rPr>
              <w:t xml:space="preserve">dentification </w:t>
            </w:r>
          </w:p>
        </w:tc>
        <w:tc>
          <w:tcPr>
            <w:tcW w:w="524" w:type="pct"/>
            <w:shd w:val="clear" w:color="auto" w:fill="1F3864" w:themeFill="accent1" w:themeFillShade="80"/>
          </w:tcPr>
          <w:p w14:paraId="3B4E8C61" w14:textId="77D213AD"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Identification </w:t>
            </w:r>
            <w:r w:rsidR="00A239AA" w:rsidRPr="001427AF">
              <w:rPr>
                <w:rFonts w:ascii="Arial" w:hAnsi="Arial" w:cs="Arial"/>
                <w:b/>
                <w:bCs/>
                <w:iCs/>
                <w:color w:val="FFFFFF" w:themeColor="background1"/>
                <w:sz w:val="20"/>
              </w:rPr>
              <w:t>t</w:t>
            </w:r>
            <w:r w:rsidRPr="001427AF">
              <w:rPr>
                <w:rFonts w:ascii="Arial" w:hAnsi="Arial" w:cs="Arial"/>
                <w:b/>
                <w:bCs/>
                <w:iCs/>
                <w:color w:val="FFFFFF" w:themeColor="background1"/>
                <w:sz w:val="20"/>
              </w:rPr>
              <w:t>imeline</w:t>
            </w:r>
          </w:p>
        </w:tc>
        <w:tc>
          <w:tcPr>
            <w:tcW w:w="1331" w:type="pct"/>
            <w:shd w:val="clear" w:color="auto" w:fill="1F3864" w:themeFill="accent1" w:themeFillShade="80"/>
          </w:tcPr>
          <w:p w14:paraId="4F6C46DF" w14:textId="5149CB5C"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Identification </w:t>
            </w:r>
            <w:r w:rsidR="00A239AA" w:rsidRPr="001427AF">
              <w:rPr>
                <w:rFonts w:ascii="Arial" w:hAnsi="Arial" w:cs="Arial"/>
                <w:b/>
                <w:bCs/>
                <w:iCs/>
                <w:color w:val="FFFFFF" w:themeColor="background1"/>
                <w:sz w:val="20"/>
              </w:rPr>
              <w:t>c</w:t>
            </w:r>
            <w:r w:rsidRPr="001427AF">
              <w:rPr>
                <w:rFonts w:ascii="Arial" w:hAnsi="Arial" w:cs="Arial"/>
                <w:b/>
                <w:bCs/>
                <w:iCs/>
                <w:color w:val="FFFFFF" w:themeColor="background1"/>
                <w:sz w:val="20"/>
              </w:rPr>
              <w:t>riteria</w:t>
            </w:r>
          </w:p>
        </w:tc>
      </w:tr>
      <w:tr w:rsidR="00044DF0" w:rsidRPr="001427AF" w14:paraId="02DEAB16" w14:textId="77777777" w:rsidTr="0093533F">
        <w:trPr>
          <w:trHeight w:val="1132"/>
          <w:jc w:val="center"/>
        </w:trPr>
        <w:tc>
          <w:tcPr>
            <w:tcW w:w="1453" w:type="pct"/>
          </w:tcPr>
          <w:p w14:paraId="5EA2A86B" w14:textId="77777777"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Comprehensive Support and Improvement-Low Performing (CSI-LP)</w:t>
            </w:r>
          </w:p>
        </w:tc>
        <w:tc>
          <w:tcPr>
            <w:tcW w:w="808" w:type="pct"/>
          </w:tcPr>
          <w:p w14:paraId="2123F55A" w14:textId="3137EA8F"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All Title I served schools</w:t>
            </w:r>
          </w:p>
        </w:tc>
        <w:tc>
          <w:tcPr>
            <w:tcW w:w="884" w:type="pct"/>
          </w:tcPr>
          <w:p w14:paraId="1AD99832" w14:textId="77777777"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 xml:space="preserve">2018–19, Tier 2, Group 1 </w:t>
            </w:r>
          </w:p>
          <w:p w14:paraId="28B07302" w14:textId="77777777"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2022–23, Tier 2, Group 2</w:t>
            </w:r>
          </w:p>
          <w:p w14:paraId="1438DA16" w14:textId="77777777" w:rsidR="00044DF0" w:rsidRPr="001427AF" w:rsidRDefault="00044DF0" w:rsidP="00044DF0">
            <w:pPr>
              <w:spacing w:line="240" w:lineRule="auto"/>
              <w:contextualSpacing/>
              <w:rPr>
                <w:rFonts w:ascii="Arial" w:hAnsi="Arial" w:cs="Arial"/>
                <w:iCs/>
                <w:sz w:val="20"/>
              </w:rPr>
            </w:pPr>
          </w:p>
          <w:p w14:paraId="40AD6E1A" w14:textId="05240611" w:rsidR="00044DF0" w:rsidRPr="001427AF" w:rsidRDefault="00044DF0" w:rsidP="00044DF0">
            <w:pPr>
              <w:spacing w:line="240" w:lineRule="auto"/>
              <w:contextualSpacing/>
              <w:rPr>
                <w:rFonts w:ascii="Arial" w:hAnsi="Arial" w:cs="Arial"/>
                <w:b/>
                <w:iCs/>
                <w:sz w:val="20"/>
              </w:rPr>
            </w:pPr>
            <w:r w:rsidRPr="001427AF">
              <w:rPr>
                <w:rFonts w:ascii="Arial" w:hAnsi="Arial" w:cs="Arial"/>
                <w:bCs/>
                <w:iCs/>
                <w:sz w:val="20"/>
              </w:rPr>
              <w:t>2025–26, Tier 1</w:t>
            </w:r>
          </w:p>
        </w:tc>
        <w:tc>
          <w:tcPr>
            <w:tcW w:w="524" w:type="pct"/>
          </w:tcPr>
          <w:p w14:paraId="5865BA27" w14:textId="77777777"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Every 3 years</w:t>
            </w:r>
          </w:p>
        </w:tc>
        <w:tc>
          <w:tcPr>
            <w:tcW w:w="1331" w:type="pct"/>
          </w:tcPr>
          <w:p w14:paraId="51A35AC9" w14:textId="45F1BF92"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Lowest 5% SPG score of Title I served schools using the NC statewide system of annual meaningful differentiation (i.e., School Performance Grades)</w:t>
            </w:r>
          </w:p>
        </w:tc>
      </w:tr>
      <w:tr w:rsidR="00044DF0" w:rsidRPr="001427AF" w14:paraId="162C9D7C" w14:textId="77777777" w:rsidTr="0093533F">
        <w:trPr>
          <w:trHeight w:val="1088"/>
          <w:jc w:val="center"/>
        </w:trPr>
        <w:tc>
          <w:tcPr>
            <w:tcW w:w="1453" w:type="pct"/>
          </w:tcPr>
          <w:p w14:paraId="33562B35" w14:textId="77777777"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Comprehensive Support and Improvement-Low Graduation Rates (CSI-LG)</w:t>
            </w:r>
          </w:p>
        </w:tc>
        <w:tc>
          <w:tcPr>
            <w:tcW w:w="808" w:type="pct"/>
          </w:tcPr>
          <w:p w14:paraId="0BC45D49" w14:textId="0D42398B"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All high schools</w:t>
            </w:r>
          </w:p>
        </w:tc>
        <w:tc>
          <w:tcPr>
            <w:tcW w:w="884" w:type="pct"/>
          </w:tcPr>
          <w:p w14:paraId="75E4B2B6" w14:textId="77777777"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 xml:space="preserve">2018–19, Tier 2, Group 1 </w:t>
            </w:r>
          </w:p>
          <w:p w14:paraId="61A8DD23" w14:textId="77777777"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2022–23, Tier 2, Group 2</w:t>
            </w:r>
          </w:p>
          <w:p w14:paraId="26386CA5" w14:textId="77777777" w:rsidR="00044DF0" w:rsidRPr="001427AF" w:rsidRDefault="00044DF0" w:rsidP="00044DF0">
            <w:pPr>
              <w:spacing w:line="240" w:lineRule="auto"/>
              <w:contextualSpacing/>
              <w:rPr>
                <w:rFonts w:ascii="Arial" w:hAnsi="Arial" w:cs="Arial"/>
                <w:iCs/>
                <w:sz w:val="20"/>
              </w:rPr>
            </w:pPr>
          </w:p>
          <w:p w14:paraId="4AFF6281" w14:textId="1BF33AE4" w:rsidR="00044DF0" w:rsidRPr="001427AF" w:rsidRDefault="00044DF0" w:rsidP="00044DF0">
            <w:pPr>
              <w:spacing w:line="240" w:lineRule="auto"/>
              <w:contextualSpacing/>
              <w:rPr>
                <w:rFonts w:ascii="Arial" w:hAnsi="Arial" w:cs="Arial"/>
                <w:iCs/>
                <w:sz w:val="20"/>
              </w:rPr>
            </w:pPr>
            <w:r w:rsidRPr="001427AF">
              <w:rPr>
                <w:rFonts w:ascii="Arial" w:hAnsi="Arial" w:cs="Arial"/>
                <w:bCs/>
                <w:iCs/>
                <w:sz w:val="20"/>
              </w:rPr>
              <w:t>2025–26, Tier 1</w:t>
            </w:r>
          </w:p>
        </w:tc>
        <w:tc>
          <w:tcPr>
            <w:tcW w:w="524" w:type="pct"/>
          </w:tcPr>
          <w:p w14:paraId="4272C674" w14:textId="77777777"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Every 3 years</w:t>
            </w:r>
          </w:p>
        </w:tc>
        <w:tc>
          <w:tcPr>
            <w:tcW w:w="1331" w:type="pct"/>
          </w:tcPr>
          <w:p w14:paraId="483436F1" w14:textId="77777777" w:rsidR="00044DF0" w:rsidRPr="001427AF" w:rsidRDefault="00044DF0" w:rsidP="00044DF0">
            <w:pPr>
              <w:spacing w:line="240" w:lineRule="auto"/>
              <w:contextualSpacing/>
              <w:rPr>
                <w:rFonts w:ascii="Arial" w:hAnsi="Arial" w:cs="Arial"/>
                <w:b/>
                <w:iCs/>
                <w:sz w:val="20"/>
              </w:rPr>
            </w:pPr>
            <w:r w:rsidRPr="001427AF">
              <w:rPr>
                <w:rFonts w:ascii="Arial" w:hAnsi="Arial" w:cs="Arial"/>
                <w:iCs/>
                <w:sz w:val="20"/>
              </w:rPr>
              <w:t>Graduation rate below 66.7%</w:t>
            </w:r>
          </w:p>
        </w:tc>
      </w:tr>
      <w:tr w:rsidR="00044DF0" w:rsidRPr="001427AF" w14:paraId="4943EFB1" w14:textId="77777777" w:rsidTr="0093533F">
        <w:trPr>
          <w:trHeight w:val="728"/>
          <w:jc w:val="center"/>
        </w:trPr>
        <w:tc>
          <w:tcPr>
            <w:tcW w:w="1453" w:type="pct"/>
          </w:tcPr>
          <w:p w14:paraId="48A26108" w14:textId="77777777"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Comprehensive Support and Improvement-Additional Targeted Support Not Exiting Such Status (CSI-AT)</w:t>
            </w:r>
          </w:p>
        </w:tc>
        <w:tc>
          <w:tcPr>
            <w:tcW w:w="808" w:type="pct"/>
          </w:tcPr>
          <w:p w14:paraId="18715895" w14:textId="47410E51" w:rsidR="00044DF0" w:rsidRPr="001427AF" w:rsidRDefault="00044DF0" w:rsidP="00044DF0">
            <w:pPr>
              <w:spacing w:line="240" w:lineRule="auto"/>
              <w:contextualSpacing/>
              <w:rPr>
                <w:rFonts w:ascii="Arial" w:hAnsi="Arial" w:cs="Arial"/>
                <w:iCs/>
                <w:sz w:val="20"/>
              </w:rPr>
            </w:pPr>
            <w:bookmarkStart w:id="864" w:name="_Int_dQKGZG0Z"/>
            <w:proofErr w:type="gramStart"/>
            <w:r w:rsidRPr="001427AF">
              <w:rPr>
                <w:rFonts w:ascii="Arial" w:hAnsi="Arial" w:cs="Arial"/>
                <w:iCs/>
                <w:sz w:val="20"/>
              </w:rPr>
              <w:t>Title</w:t>
            </w:r>
            <w:bookmarkEnd w:id="864"/>
            <w:proofErr w:type="gramEnd"/>
            <w:r w:rsidRPr="001427AF">
              <w:rPr>
                <w:rFonts w:ascii="Arial" w:hAnsi="Arial" w:cs="Arial"/>
                <w:iCs/>
                <w:sz w:val="20"/>
              </w:rPr>
              <w:t xml:space="preserve"> I Served TSI-AT identified schools</w:t>
            </w:r>
          </w:p>
        </w:tc>
        <w:tc>
          <w:tcPr>
            <w:tcW w:w="884" w:type="pct"/>
          </w:tcPr>
          <w:p w14:paraId="4F601C74" w14:textId="36C87046"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2025–26, Tier 1</w:t>
            </w:r>
          </w:p>
        </w:tc>
        <w:tc>
          <w:tcPr>
            <w:tcW w:w="524" w:type="pct"/>
          </w:tcPr>
          <w:p w14:paraId="35305D31" w14:textId="5531B60B"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 xml:space="preserve">Every </w:t>
            </w:r>
            <w:r w:rsidR="00FC31AE" w:rsidRPr="001427AF">
              <w:rPr>
                <w:rFonts w:ascii="Arial" w:hAnsi="Arial" w:cs="Arial"/>
                <w:iCs/>
                <w:sz w:val="20"/>
              </w:rPr>
              <w:t>3</w:t>
            </w:r>
            <w:r w:rsidRPr="001427AF">
              <w:rPr>
                <w:rFonts w:ascii="Arial" w:hAnsi="Arial" w:cs="Arial"/>
                <w:iCs/>
                <w:sz w:val="20"/>
              </w:rPr>
              <w:t xml:space="preserve"> years</w:t>
            </w:r>
          </w:p>
        </w:tc>
        <w:tc>
          <w:tcPr>
            <w:tcW w:w="1331" w:type="pct"/>
          </w:tcPr>
          <w:p w14:paraId="1B73EC7B" w14:textId="3D07284D" w:rsidR="00044DF0" w:rsidRPr="001427AF" w:rsidRDefault="00044DF0" w:rsidP="00044DF0">
            <w:pPr>
              <w:spacing w:line="240" w:lineRule="auto"/>
              <w:contextualSpacing/>
              <w:rPr>
                <w:rFonts w:ascii="Arial" w:hAnsi="Arial" w:cs="Arial"/>
                <w:iCs/>
                <w:sz w:val="20"/>
              </w:rPr>
            </w:pPr>
            <w:r w:rsidRPr="001427AF">
              <w:rPr>
                <w:rFonts w:ascii="Arial" w:hAnsi="Arial" w:cs="Arial"/>
                <w:iCs/>
                <w:sz w:val="20"/>
              </w:rPr>
              <w:t>Subgroup is unable to exit TSI-AT after six years</w:t>
            </w:r>
          </w:p>
        </w:tc>
      </w:tr>
    </w:tbl>
    <w:p w14:paraId="4E4F3E4E" w14:textId="77777777" w:rsidR="00D254E9" w:rsidRPr="001427AF" w:rsidRDefault="00D254E9" w:rsidP="00D254E9">
      <w:pPr>
        <w:rPr>
          <w:rFonts w:ascii="Arial" w:hAnsi="Arial" w:cs="Arial"/>
          <w:iCs/>
        </w:rPr>
      </w:pPr>
    </w:p>
    <w:p w14:paraId="7B8F8164" w14:textId="582836BF" w:rsidR="00D254E9" w:rsidRPr="001427AF" w:rsidRDefault="00D254E9" w:rsidP="00D254E9">
      <w:pPr>
        <w:rPr>
          <w:rFonts w:ascii="Arial" w:hAnsi="Arial" w:cs="Arial"/>
          <w:iCs/>
          <w:szCs w:val="24"/>
        </w:rPr>
      </w:pPr>
      <w:r w:rsidRPr="001427AF">
        <w:rPr>
          <w:rFonts w:ascii="Arial" w:hAnsi="Arial" w:cs="Arial"/>
          <w:sz w:val="20"/>
        </w:rPr>
        <w:t xml:space="preserve">TABLE 9.7.1.1. TSI </w:t>
      </w:r>
      <w:r w:rsidR="00CA38E2" w:rsidRPr="001427AF">
        <w:rPr>
          <w:rFonts w:ascii="Arial" w:hAnsi="Arial" w:cs="Arial"/>
          <w:bCs/>
          <w:iCs/>
          <w:sz w:val="20"/>
        </w:rPr>
        <w:t>i</w:t>
      </w:r>
      <w:r w:rsidRPr="001427AF">
        <w:rPr>
          <w:rFonts w:ascii="Arial" w:hAnsi="Arial" w:cs="Arial"/>
          <w:bCs/>
          <w:iCs/>
          <w:sz w:val="20"/>
        </w:rPr>
        <w:t>dentification</w:t>
      </w:r>
      <w:r w:rsidRPr="001427AF">
        <w:rPr>
          <w:rFonts w:ascii="Arial" w:hAnsi="Arial" w:cs="Arial"/>
          <w:sz w:val="20"/>
        </w:rPr>
        <w:t xml:space="preserve"> criteria</w:t>
      </w:r>
    </w:p>
    <w:tbl>
      <w:tblPr>
        <w:tblStyle w:val="TableGrid"/>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dentification criteria for targeted support and improvement schools. "/>
      </w:tblPr>
      <w:tblGrid>
        <w:gridCol w:w="1907"/>
        <w:gridCol w:w="1884"/>
        <w:gridCol w:w="2202"/>
        <w:gridCol w:w="1959"/>
        <w:gridCol w:w="6366"/>
      </w:tblGrid>
      <w:tr w:rsidR="00D254E9" w:rsidRPr="001427AF" w14:paraId="0914955D" w14:textId="77777777" w:rsidTr="0093533F">
        <w:trPr>
          <w:trHeight w:val="354"/>
          <w:jc w:val="center"/>
        </w:trPr>
        <w:tc>
          <w:tcPr>
            <w:tcW w:w="666" w:type="pct"/>
            <w:shd w:val="clear" w:color="auto" w:fill="1F3864" w:themeFill="accent1" w:themeFillShade="80"/>
          </w:tcPr>
          <w:p w14:paraId="4B63CDEB" w14:textId="77777777" w:rsidR="00D254E9" w:rsidRPr="001427AF" w:rsidRDefault="00D254E9" w:rsidP="00D254E9">
            <w:pPr>
              <w:spacing w:line="240" w:lineRule="auto"/>
              <w:contextualSpacing/>
              <w:rPr>
                <w:rFonts w:ascii="Arial" w:hAnsi="Arial" w:cs="Arial"/>
                <w:iCs/>
                <w:sz w:val="20"/>
              </w:rPr>
            </w:pPr>
            <w:r w:rsidRPr="001427AF">
              <w:rPr>
                <w:rFonts w:ascii="Arial" w:hAnsi="Arial" w:cs="Arial"/>
                <w:b/>
                <w:bCs/>
                <w:iCs/>
                <w:color w:val="FFFFFF" w:themeColor="background1"/>
                <w:sz w:val="20"/>
              </w:rPr>
              <w:t>Designation</w:t>
            </w:r>
          </w:p>
        </w:tc>
        <w:tc>
          <w:tcPr>
            <w:tcW w:w="658" w:type="pct"/>
            <w:shd w:val="clear" w:color="auto" w:fill="1F3864" w:themeFill="accent1" w:themeFillShade="80"/>
          </w:tcPr>
          <w:p w14:paraId="4EDF7C1F" w14:textId="6D110FB3" w:rsidR="00D254E9" w:rsidRPr="001427AF" w:rsidRDefault="00D254E9" w:rsidP="00D254E9">
            <w:pPr>
              <w:spacing w:line="240" w:lineRule="auto"/>
              <w:contextualSpacing/>
              <w:rPr>
                <w:rFonts w:ascii="Arial" w:hAnsi="Arial" w:cs="Arial"/>
                <w:iCs/>
                <w:sz w:val="20"/>
              </w:rPr>
            </w:pPr>
            <w:r w:rsidRPr="001427AF">
              <w:rPr>
                <w:rFonts w:ascii="Arial" w:hAnsi="Arial" w:cs="Arial"/>
                <w:b/>
                <w:bCs/>
                <w:iCs/>
                <w:color w:val="FFFFFF" w:themeColor="background1"/>
                <w:sz w:val="20"/>
              </w:rPr>
              <w:t xml:space="preserve">Eligible </w:t>
            </w:r>
            <w:r w:rsidR="009D71F6" w:rsidRPr="001427AF">
              <w:rPr>
                <w:rFonts w:ascii="Arial" w:hAnsi="Arial" w:cs="Arial"/>
                <w:b/>
                <w:bCs/>
                <w:iCs/>
                <w:color w:val="FFFFFF" w:themeColor="background1"/>
                <w:sz w:val="20"/>
              </w:rPr>
              <w:t>s</w:t>
            </w:r>
            <w:r w:rsidRPr="001427AF">
              <w:rPr>
                <w:rFonts w:ascii="Arial" w:hAnsi="Arial" w:cs="Arial"/>
                <w:b/>
                <w:bCs/>
                <w:iCs/>
                <w:color w:val="FFFFFF" w:themeColor="background1"/>
                <w:sz w:val="20"/>
              </w:rPr>
              <w:t>chools</w:t>
            </w:r>
          </w:p>
        </w:tc>
        <w:tc>
          <w:tcPr>
            <w:tcW w:w="769" w:type="pct"/>
            <w:shd w:val="clear" w:color="auto" w:fill="1F3864" w:themeFill="accent1" w:themeFillShade="80"/>
          </w:tcPr>
          <w:p w14:paraId="6EA9A39A" w14:textId="615BF54A" w:rsidR="00D254E9" w:rsidRPr="001427AF" w:rsidRDefault="00D254E9" w:rsidP="00D254E9">
            <w:pPr>
              <w:spacing w:line="240" w:lineRule="auto"/>
              <w:contextualSpacing/>
              <w:rPr>
                <w:rFonts w:ascii="Arial" w:hAnsi="Arial" w:cs="Arial"/>
                <w:iCs/>
                <w:sz w:val="20"/>
              </w:rPr>
            </w:pPr>
            <w:r w:rsidRPr="001427AF">
              <w:rPr>
                <w:rFonts w:ascii="Arial" w:hAnsi="Arial" w:cs="Arial"/>
                <w:b/>
                <w:bCs/>
                <w:iCs/>
                <w:color w:val="FFFFFF" w:themeColor="background1"/>
                <w:sz w:val="20"/>
              </w:rPr>
              <w:t xml:space="preserve">Year of </w:t>
            </w:r>
            <w:r w:rsidR="009D71F6" w:rsidRPr="001427AF">
              <w:rPr>
                <w:rFonts w:ascii="Arial" w:hAnsi="Arial" w:cs="Arial"/>
                <w:b/>
                <w:bCs/>
                <w:iCs/>
                <w:color w:val="FFFFFF" w:themeColor="background1"/>
                <w:sz w:val="20"/>
              </w:rPr>
              <w:t>i</w:t>
            </w:r>
            <w:r w:rsidRPr="001427AF">
              <w:rPr>
                <w:rFonts w:ascii="Arial" w:hAnsi="Arial" w:cs="Arial"/>
                <w:b/>
                <w:bCs/>
                <w:iCs/>
                <w:color w:val="FFFFFF" w:themeColor="background1"/>
                <w:sz w:val="20"/>
              </w:rPr>
              <w:t xml:space="preserve">dentification </w:t>
            </w:r>
          </w:p>
        </w:tc>
        <w:tc>
          <w:tcPr>
            <w:tcW w:w="684" w:type="pct"/>
            <w:shd w:val="clear" w:color="auto" w:fill="1F3864" w:themeFill="accent1" w:themeFillShade="80"/>
          </w:tcPr>
          <w:p w14:paraId="7CF62BD3" w14:textId="3E7027F6" w:rsidR="00D254E9" w:rsidRPr="001427AF" w:rsidRDefault="00D254E9" w:rsidP="00D254E9">
            <w:pPr>
              <w:spacing w:line="240" w:lineRule="auto"/>
              <w:contextualSpacing/>
              <w:rPr>
                <w:rFonts w:ascii="Arial" w:hAnsi="Arial" w:cs="Arial"/>
                <w:iCs/>
                <w:sz w:val="20"/>
              </w:rPr>
            </w:pPr>
            <w:r w:rsidRPr="001427AF">
              <w:rPr>
                <w:rFonts w:ascii="Arial" w:hAnsi="Arial" w:cs="Arial"/>
                <w:b/>
                <w:bCs/>
                <w:iCs/>
                <w:color w:val="FFFFFF" w:themeColor="background1"/>
                <w:sz w:val="20"/>
              </w:rPr>
              <w:t xml:space="preserve">Identification </w:t>
            </w:r>
            <w:r w:rsidR="009D71F6" w:rsidRPr="001427AF">
              <w:rPr>
                <w:rFonts w:ascii="Arial" w:hAnsi="Arial" w:cs="Arial"/>
                <w:b/>
                <w:bCs/>
                <w:iCs/>
                <w:color w:val="FFFFFF" w:themeColor="background1"/>
                <w:sz w:val="20"/>
              </w:rPr>
              <w:t>t</w:t>
            </w:r>
            <w:r w:rsidRPr="001427AF">
              <w:rPr>
                <w:rFonts w:ascii="Arial" w:hAnsi="Arial" w:cs="Arial"/>
                <w:b/>
                <w:bCs/>
                <w:iCs/>
                <w:color w:val="FFFFFF" w:themeColor="background1"/>
                <w:sz w:val="20"/>
              </w:rPr>
              <w:t>imeline</w:t>
            </w:r>
          </w:p>
        </w:tc>
        <w:tc>
          <w:tcPr>
            <w:tcW w:w="2223" w:type="pct"/>
            <w:shd w:val="clear" w:color="auto" w:fill="1F3864" w:themeFill="accent1" w:themeFillShade="80"/>
          </w:tcPr>
          <w:p w14:paraId="0AFC389D" w14:textId="6FB9E26E" w:rsidR="00D254E9" w:rsidRPr="001427AF" w:rsidRDefault="00D254E9" w:rsidP="00D254E9">
            <w:pPr>
              <w:contextualSpacing/>
              <w:rPr>
                <w:rFonts w:ascii="Arial" w:hAnsi="Arial" w:cs="Arial"/>
                <w:b/>
                <w:bCs/>
                <w:sz w:val="20"/>
              </w:rPr>
            </w:pPr>
            <w:r w:rsidRPr="001427AF">
              <w:rPr>
                <w:rFonts w:ascii="Arial" w:hAnsi="Arial" w:cs="Arial"/>
                <w:b/>
                <w:bCs/>
                <w:iCs/>
                <w:color w:val="FFFFFF" w:themeColor="background1"/>
                <w:sz w:val="20"/>
              </w:rPr>
              <w:t xml:space="preserve">Identification </w:t>
            </w:r>
            <w:r w:rsidR="009D71F6" w:rsidRPr="001427AF">
              <w:rPr>
                <w:rFonts w:ascii="Arial" w:hAnsi="Arial" w:cs="Arial"/>
                <w:b/>
                <w:bCs/>
                <w:iCs/>
                <w:color w:val="FFFFFF" w:themeColor="background1"/>
                <w:sz w:val="20"/>
              </w:rPr>
              <w:t>c</w:t>
            </w:r>
            <w:r w:rsidRPr="001427AF">
              <w:rPr>
                <w:rFonts w:ascii="Arial" w:hAnsi="Arial" w:cs="Arial"/>
                <w:b/>
                <w:bCs/>
                <w:iCs/>
                <w:color w:val="FFFFFF" w:themeColor="background1"/>
                <w:sz w:val="20"/>
              </w:rPr>
              <w:t>riteria</w:t>
            </w:r>
          </w:p>
        </w:tc>
      </w:tr>
      <w:tr w:rsidR="00896DD6" w:rsidRPr="001427AF" w14:paraId="10555CDB" w14:textId="77777777" w:rsidTr="0093533F">
        <w:trPr>
          <w:trHeight w:val="1637"/>
          <w:jc w:val="center"/>
        </w:trPr>
        <w:tc>
          <w:tcPr>
            <w:tcW w:w="666" w:type="pct"/>
          </w:tcPr>
          <w:p w14:paraId="54868FA8" w14:textId="77777777" w:rsidR="00B40B02" w:rsidRDefault="00896DD6" w:rsidP="00896DD6">
            <w:pPr>
              <w:spacing w:line="240" w:lineRule="auto"/>
              <w:contextualSpacing/>
              <w:rPr>
                <w:rFonts w:ascii="Arial" w:hAnsi="Arial" w:cs="Arial"/>
                <w:iCs/>
                <w:sz w:val="20"/>
              </w:rPr>
            </w:pPr>
            <w:r w:rsidRPr="001427AF">
              <w:rPr>
                <w:rFonts w:ascii="Arial" w:hAnsi="Arial" w:cs="Arial"/>
                <w:iCs/>
                <w:sz w:val="20"/>
              </w:rPr>
              <w:t xml:space="preserve">Targeted Support and Improvement-Consistently Underperforming Subgroups </w:t>
            </w:r>
          </w:p>
          <w:p w14:paraId="75B2B858" w14:textId="09A33074" w:rsidR="00896DD6" w:rsidRPr="001427AF" w:rsidRDefault="00896DD6" w:rsidP="00896DD6">
            <w:pPr>
              <w:spacing w:line="240" w:lineRule="auto"/>
              <w:contextualSpacing/>
              <w:rPr>
                <w:rFonts w:ascii="Arial" w:hAnsi="Arial" w:cs="Arial"/>
                <w:sz w:val="20"/>
              </w:rPr>
            </w:pPr>
            <w:r w:rsidRPr="001427AF">
              <w:rPr>
                <w:rFonts w:ascii="Arial" w:hAnsi="Arial" w:cs="Arial"/>
                <w:iCs/>
                <w:sz w:val="20"/>
              </w:rPr>
              <w:t>(TSI-CU)</w:t>
            </w:r>
          </w:p>
        </w:tc>
        <w:tc>
          <w:tcPr>
            <w:tcW w:w="658" w:type="pct"/>
          </w:tcPr>
          <w:p w14:paraId="64570493" w14:textId="77777777" w:rsidR="00896DD6" w:rsidRPr="001427AF" w:rsidRDefault="00896DD6" w:rsidP="00896DD6">
            <w:pPr>
              <w:spacing w:line="240" w:lineRule="auto"/>
              <w:contextualSpacing/>
              <w:rPr>
                <w:rFonts w:ascii="Arial" w:hAnsi="Arial" w:cs="Arial"/>
                <w:b/>
                <w:iCs/>
                <w:sz w:val="20"/>
              </w:rPr>
            </w:pPr>
            <w:r w:rsidRPr="001427AF">
              <w:rPr>
                <w:rFonts w:ascii="Arial" w:hAnsi="Arial" w:cs="Arial"/>
                <w:iCs/>
                <w:sz w:val="20"/>
              </w:rPr>
              <w:t>All Schools Except CSI-LP</w:t>
            </w:r>
          </w:p>
        </w:tc>
        <w:tc>
          <w:tcPr>
            <w:tcW w:w="769" w:type="pct"/>
          </w:tcPr>
          <w:p w14:paraId="795757F0" w14:textId="4291B3E7" w:rsidR="00896DD6" w:rsidRPr="001427AF" w:rsidRDefault="00896DD6" w:rsidP="00896DD6">
            <w:pPr>
              <w:spacing w:line="240" w:lineRule="auto"/>
              <w:contextualSpacing/>
              <w:rPr>
                <w:rFonts w:ascii="Arial" w:hAnsi="Arial" w:cs="Arial"/>
                <w:iCs/>
                <w:sz w:val="20"/>
              </w:rPr>
            </w:pPr>
            <w:r w:rsidRPr="001427AF">
              <w:rPr>
                <w:rFonts w:ascii="Arial" w:hAnsi="Arial" w:cs="Arial"/>
                <w:iCs/>
                <w:sz w:val="20"/>
              </w:rPr>
              <w:t>Annually</w:t>
            </w:r>
          </w:p>
        </w:tc>
        <w:tc>
          <w:tcPr>
            <w:tcW w:w="684" w:type="pct"/>
          </w:tcPr>
          <w:p w14:paraId="26D5788B" w14:textId="77777777" w:rsidR="00896DD6" w:rsidRPr="001427AF" w:rsidRDefault="00896DD6" w:rsidP="00896DD6">
            <w:pPr>
              <w:spacing w:line="240" w:lineRule="auto"/>
              <w:contextualSpacing/>
              <w:rPr>
                <w:rFonts w:ascii="Arial" w:hAnsi="Arial" w:cs="Arial"/>
                <w:b/>
                <w:iCs/>
                <w:sz w:val="20"/>
              </w:rPr>
            </w:pPr>
            <w:r w:rsidRPr="001427AF">
              <w:rPr>
                <w:rFonts w:ascii="Arial" w:hAnsi="Arial" w:cs="Arial"/>
                <w:iCs/>
                <w:sz w:val="20"/>
              </w:rPr>
              <w:t>Annually</w:t>
            </w:r>
          </w:p>
        </w:tc>
        <w:tc>
          <w:tcPr>
            <w:tcW w:w="2223" w:type="pct"/>
          </w:tcPr>
          <w:p w14:paraId="667E24C4" w14:textId="2E313220" w:rsidR="00896DD6" w:rsidRPr="001427AF" w:rsidRDefault="00896DD6" w:rsidP="00896DD6">
            <w:pPr>
              <w:spacing w:line="240" w:lineRule="auto"/>
              <w:contextualSpacing/>
              <w:rPr>
                <w:rFonts w:ascii="Arial" w:hAnsi="Arial" w:cs="Arial"/>
                <w:sz w:val="20"/>
              </w:rPr>
            </w:pPr>
            <w:r w:rsidRPr="001427AF">
              <w:rPr>
                <w:rFonts w:ascii="Arial" w:hAnsi="Arial" w:cs="Arial"/>
                <w:sz w:val="20"/>
              </w:rPr>
              <w:t xml:space="preserve">One or more of the same </w:t>
            </w:r>
            <w:bookmarkStart w:id="865" w:name="_Int_Yvq3OuFW"/>
            <w:r w:rsidRPr="001427AF">
              <w:rPr>
                <w:rFonts w:ascii="Arial" w:hAnsi="Arial" w:cs="Arial"/>
                <w:sz w:val="20"/>
              </w:rPr>
              <w:t>subgroup</w:t>
            </w:r>
            <w:bookmarkEnd w:id="865"/>
            <w:r w:rsidRPr="001427AF">
              <w:rPr>
                <w:rFonts w:ascii="Arial" w:hAnsi="Arial" w:cs="Arial"/>
                <w:sz w:val="20"/>
              </w:rPr>
              <w:t>(s) with a designation of “F” on the NC statewide system of annual meaningful differentiation (i.e., School Performance Grades) for the most recent and previous two years</w:t>
            </w:r>
          </w:p>
        </w:tc>
      </w:tr>
      <w:tr w:rsidR="00896DD6" w:rsidRPr="001427AF" w14:paraId="7C88D936" w14:textId="77777777" w:rsidTr="0093533F">
        <w:trPr>
          <w:trHeight w:val="1529"/>
          <w:jc w:val="center"/>
        </w:trPr>
        <w:tc>
          <w:tcPr>
            <w:tcW w:w="666" w:type="pct"/>
          </w:tcPr>
          <w:p w14:paraId="61E27D65" w14:textId="77777777" w:rsidR="00B40B02" w:rsidRDefault="00896DD6" w:rsidP="00896DD6">
            <w:pPr>
              <w:spacing w:line="240" w:lineRule="auto"/>
              <w:contextualSpacing/>
              <w:rPr>
                <w:rFonts w:ascii="Arial" w:hAnsi="Arial" w:cs="Arial"/>
                <w:iCs/>
                <w:sz w:val="20"/>
              </w:rPr>
            </w:pPr>
            <w:r w:rsidRPr="001427AF">
              <w:rPr>
                <w:rFonts w:ascii="Arial" w:hAnsi="Arial" w:cs="Arial"/>
                <w:iCs/>
                <w:sz w:val="20"/>
              </w:rPr>
              <w:t xml:space="preserve">Targeted Support and Improvement-Additional Targeted Support </w:t>
            </w:r>
          </w:p>
          <w:p w14:paraId="35D7F562" w14:textId="3A802A45" w:rsidR="00896DD6" w:rsidRPr="001427AF" w:rsidRDefault="00896DD6" w:rsidP="00896DD6">
            <w:pPr>
              <w:spacing w:line="240" w:lineRule="auto"/>
              <w:contextualSpacing/>
              <w:rPr>
                <w:rFonts w:ascii="Arial" w:hAnsi="Arial" w:cs="Arial"/>
                <w:b/>
                <w:iCs/>
                <w:sz w:val="20"/>
              </w:rPr>
            </w:pPr>
            <w:r w:rsidRPr="001427AF">
              <w:rPr>
                <w:rFonts w:ascii="Arial" w:hAnsi="Arial" w:cs="Arial"/>
                <w:iCs/>
                <w:sz w:val="20"/>
              </w:rPr>
              <w:t>(TSI-AT)</w:t>
            </w:r>
          </w:p>
        </w:tc>
        <w:tc>
          <w:tcPr>
            <w:tcW w:w="658" w:type="pct"/>
          </w:tcPr>
          <w:p w14:paraId="38ED7071" w14:textId="305CD323" w:rsidR="00896DD6" w:rsidRPr="001427AF" w:rsidRDefault="00896DD6" w:rsidP="00896DD6">
            <w:pPr>
              <w:spacing w:line="240" w:lineRule="auto"/>
              <w:contextualSpacing/>
              <w:rPr>
                <w:rFonts w:ascii="Arial" w:hAnsi="Arial" w:cs="Arial"/>
                <w:b/>
                <w:iCs/>
                <w:sz w:val="20"/>
              </w:rPr>
            </w:pPr>
            <w:r w:rsidRPr="001427AF">
              <w:rPr>
                <w:rFonts w:ascii="Arial" w:hAnsi="Arial" w:cs="Arial"/>
                <w:iCs/>
                <w:sz w:val="20"/>
              </w:rPr>
              <w:t>All TSI-CU schools</w:t>
            </w:r>
          </w:p>
        </w:tc>
        <w:tc>
          <w:tcPr>
            <w:tcW w:w="769" w:type="pct"/>
          </w:tcPr>
          <w:p w14:paraId="6987AB2E" w14:textId="77777777" w:rsidR="00896DD6" w:rsidRPr="001427AF" w:rsidRDefault="00896DD6" w:rsidP="00896DD6">
            <w:pPr>
              <w:spacing w:line="240" w:lineRule="auto"/>
              <w:contextualSpacing/>
              <w:rPr>
                <w:rFonts w:ascii="Arial" w:hAnsi="Arial" w:cs="Arial"/>
                <w:iCs/>
                <w:sz w:val="20"/>
              </w:rPr>
            </w:pPr>
            <w:r w:rsidRPr="001427AF">
              <w:rPr>
                <w:rFonts w:ascii="Arial" w:hAnsi="Arial" w:cs="Arial"/>
                <w:iCs/>
                <w:sz w:val="20"/>
              </w:rPr>
              <w:t xml:space="preserve">2018–19, Cohort 1 </w:t>
            </w:r>
          </w:p>
          <w:p w14:paraId="14BEFE12" w14:textId="77777777" w:rsidR="00896DD6" w:rsidRPr="001427AF" w:rsidRDefault="00896DD6" w:rsidP="00896DD6">
            <w:pPr>
              <w:spacing w:line="240" w:lineRule="auto"/>
              <w:contextualSpacing/>
              <w:rPr>
                <w:rFonts w:ascii="Arial" w:hAnsi="Arial" w:cs="Arial"/>
                <w:iCs/>
                <w:sz w:val="20"/>
              </w:rPr>
            </w:pPr>
            <w:r w:rsidRPr="001427AF">
              <w:rPr>
                <w:rFonts w:ascii="Arial" w:hAnsi="Arial" w:cs="Arial"/>
                <w:iCs/>
                <w:sz w:val="20"/>
              </w:rPr>
              <w:t>2022–23, Cohort 2</w:t>
            </w:r>
          </w:p>
          <w:p w14:paraId="2A244B08" w14:textId="7E25C3C3" w:rsidR="00896DD6" w:rsidRPr="001427AF" w:rsidRDefault="00896DD6" w:rsidP="00896DD6">
            <w:pPr>
              <w:spacing w:line="240" w:lineRule="auto"/>
              <w:contextualSpacing/>
              <w:rPr>
                <w:rFonts w:ascii="Arial" w:hAnsi="Arial" w:cs="Arial"/>
                <w:iCs/>
                <w:sz w:val="20"/>
              </w:rPr>
            </w:pPr>
            <w:r w:rsidRPr="001427AF">
              <w:rPr>
                <w:rFonts w:ascii="Arial" w:hAnsi="Arial" w:cs="Arial"/>
                <w:iCs/>
                <w:sz w:val="20"/>
              </w:rPr>
              <w:t>2025–26, Cohort 3</w:t>
            </w:r>
          </w:p>
        </w:tc>
        <w:tc>
          <w:tcPr>
            <w:tcW w:w="684" w:type="pct"/>
          </w:tcPr>
          <w:p w14:paraId="4D5F3172" w14:textId="77777777" w:rsidR="00896DD6" w:rsidRPr="001427AF" w:rsidRDefault="00896DD6" w:rsidP="00896DD6">
            <w:pPr>
              <w:spacing w:line="240" w:lineRule="auto"/>
              <w:contextualSpacing/>
              <w:rPr>
                <w:rFonts w:ascii="Arial" w:hAnsi="Arial" w:cs="Arial"/>
                <w:b/>
                <w:iCs/>
                <w:sz w:val="20"/>
              </w:rPr>
            </w:pPr>
            <w:r w:rsidRPr="001427AF">
              <w:rPr>
                <w:rFonts w:ascii="Arial" w:hAnsi="Arial" w:cs="Arial"/>
                <w:iCs/>
                <w:sz w:val="20"/>
              </w:rPr>
              <w:t>Every 3 years</w:t>
            </w:r>
          </w:p>
        </w:tc>
        <w:tc>
          <w:tcPr>
            <w:tcW w:w="2223" w:type="pct"/>
          </w:tcPr>
          <w:p w14:paraId="57F8BD73" w14:textId="77777777" w:rsidR="00896DD6" w:rsidRPr="001427AF" w:rsidRDefault="00896DD6" w:rsidP="00896DD6">
            <w:pPr>
              <w:spacing w:line="240" w:lineRule="auto"/>
              <w:contextualSpacing/>
              <w:rPr>
                <w:rFonts w:ascii="Arial" w:hAnsi="Arial" w:cs="Arial"/>
                <w:b/>
                <w:iCs/>
                <w:sz w:val="20"/>
              </w:rPr>
            </w:pPr>
            <w:r w:rsidRPr="001427AF">
              <w:rPr>
                <w:rFonts w:ascii="Arial" w:hAnsi="Arial" w:cs="Arial"/>
                <w:iCs/>
                <w:sz w:val="20"/>
              </w:rPr>
              <w:t>Subgroup(s) performance grade at or below highest CSI-LP identified school and school’s subgroup(s) is identified as TSI-CU in the identification year</w:t>
            </w:r>
          </w:p>
        </w:tc>
      </w:tr>
    </w:tbl>
    <w:p w14:paraId="02F6647C" w14:textId="77777777" w:rsidR="0097690F" w:rsidRPr="00BF1F0E" w:rsidRDefault="0097690F">
      <w:pPr>
        <w:spacing w:line="240" w:lineRule="auto"/>
        <w:rPr>
          <w:rFonts w:ascii="Arial" w:hAnsi="Arial" w:cs="Arial"/>
          <w:sz w:val="20"/>
        </w:rPr>
      </w:pPr>
      <w:r w:rsidRPr="00BF1F0E">
        <w:rPr>
          <w:rFonts w:ascii="Arial" w:hAnsi="Arial" w:cs="Arial"/>
          <w:sz w:val="20"/>
        </w:rPr>
        <w:br w:type="page"/>
      </w:r>
    </w:p>
    <w:p w14:paraId="2405DBA9" w14:textId="6B06E7C5" w:rsidR="00D254E9" w:rsidRPr="001427AF" w:rsidRDefault="00D254E9" w:rsidP="00D254E9">
      <w:pPr>
        <w:rPr>
          <w:rFonts w:ascii="Arial" w:hAnsi="Arial" w:cs="Arial"/>
          <w:sz w:val="20"/>
        </w:rPr>
      </w:pPr>
      <w:r w:rsidRPr="001427AF">
        <w:rPr>
          <w:rFonts w:ascii="Arial" w:hAnsi="Arial" w:cs="Arial"/>
          <w:sz w:val="20"/>
        </w:rPr>
        <w:lastRenderedPageBreak/>
        <w:t xml:space="preserve">TABLE 9.7.1.2. CSI </w:t>
      </w:r>
      <w:r w:rsidR="00CA38E2" w:rsidRPr="001427AF">
        <w:rPr>
          <w:rFonts w:ascii="Arial" w:hAnsi="Arial" w:cs="Arial"/>
          <w:sz w:val="20"/>
        </w:rPr>
        <w:t>e</w:t>
      </w:r>
      <w:r w:rsidRPr="001427AF">
        <w:rPr>
          <w:rFonts w:ascii="Arial" w:hAnsi="Arial" w:cs="Arial"/>
          <w:sz w:val="20"/>
        </w:rPr>
        <w:t xml:space="preserve">xit </w:t>
      </w:r>
      <w:r w:rsidR="00CA38E2" w:rsidRPr="001427AF">
        <w:rPr>
          <w:rFonts w:ascii="Arial" w:hAnsi="Arial" w:cs="Arial"/>
          <w:sz w:val="20"/>
        </w:rPr>
        <w:t>c</w:t>
      </w:r>
      <w:r w:rsidRPr="001427AF">
        <w:rPr>
          <w:rFonts w:ascii="Arial" w:hAnsi="Arial" w:cs="Arial"/>
          <w:sz w:val="20"/>
        </w:rPr>
        <w:t>riteria</w:t>
      </w:r>
    </w:p>
    <w:tbl>
      <w:tblPr>
        <w:tblStyle w:val="TableGrid"/>
        <w:tblW w:w="51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xit criteria for comprehensive support and improvement schools. "/>
      </w:tblPr>
      <w:tblGrid>
        <w:gridCol w:w="1798"/>
        <w:gridCol w:w="1208"/>
        <w:gridCol w:w="2792"/>
        <w:gridCol w:w="5987"/>
        <w:gridCol w:w="2910"/>
      </w:tblGrid>
      <w:tr w:rsidR="00D254E9" w:rsidRPr="001427AF" w14:paraId="4B14A6F5" w14:textId="77777777" w:rsidTr="0093533F">
        <w:trPr>
          <w:trHeight w:val="800"/>
          <w:jc w:val="center"/>
        </w:trPr>
        <w:tc>
          <w:tcPr>
            <w:tcW w:w="612" w:type="pct"/>
            <w:shd w:val="clear" w:color="auto" w:fill="1F3864" w:themeFill="accent1" w:themeFillShade="80"/>
          </w:tcPr>
          <w:p w14:paraId="0FC89713" w14:textId="77777777"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Designation</w:t>
            </w:r>
          </w:p>
        </w:tc>
        <w:tc>
          <w:tcPr>
            <w:tcW w:w="411" w:type="pct"/>
            <w:shd w:val="clear" w:color="auto" w:fill="1F3864" w:themeFill="accent1" w:themeFillShade="80"/>
          </w:tcPr>
          <w:p w14:paraId="1D585B9E" w14:textId="7B716017"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Eligible </w:t>
            </w:r>
            <w:r w:rsidR="00482ECF" w:rsidRPr="001427AF">
              <w:rPr>
                <w:rFonts w:ascii="Arial" w:hAnsi="Arial" w:cs="Arial"/>
                <w:b/>
                <w:bCs/>
                <w:iCs/>
                <w:color w:val="FFFFFF" w:themeColor="background1"/>
                <w:sz w:val="20"/>
              </w:rPr>
              <w:t>s</w:t>
            </w:r>
            <w:r w:rsidRPr="001427AF">
              <w:rPr>
                <w:rFonts w:ascii="Arial" w:hAnsi="Arial" w:cs="Arial"/>
                <w:b/>
                <w:bCs/>
                <w:iCs/>
                <w:color w:val="FFFFFF" w:themeColor="background1"/>
                <w:sz w:val="20"/>
              </w:rPr>
              <w:t>chools</w:t>
            </w:r>
          </w:p>
        </w:tc>
        <w:tc>
          <w:tcPr>
            <w:tcW w:w="950" w:type="pct"/>
            <w:shd w:val="clear" w:color="auto" w:fill="1F3864" w:themeFill="accent1" w:themeFillShade="80"/>
          </w:tcPr>
          <w:p w14:paraId="61BF7A36" w14:textId="5A897EB0"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Year of </w:t>
            </w:r>
            <w:r w:rsidR="00482ECF" w:rsidRPr="001427AF">
              <w:rPr>
                <w:rFonts w:ascii="Arial" w:hAnsi="Arial" w:cs="Arial"/>
                <w:b/>
                <w:bCs/>
                <w:iCs/>
                <w:color w:val="FFFFFF" w:themeColor="background1"/>
                <w:sz w:val="20"/>
              </w:rPr>
              <w:t>i</w:t>
            </w:r>
            <w:r w:rsidRPr="001427AF">
              <w:rPr>
                <w:rFonts w:ascii="Arial" w:hAnsi="Arial" w:cs="Arial"/>
                <w:b/>
                <w:bCs/>
                <w:iCs/>
                <w:color w:val="FFFFFF" w:themeColor="background1"/>
                <w:sz w:val="20"/>
              </w:rPr>
              <w:t>dentification</w:t>
            </w:r>
          </w:p>
        </w:tc>
        <w:tc>
          <w:tcPr>
            <w:tcW w:w="2037" w:type="pct"/>
            <w:shd w:val="clear" w:color="auto" w:fill="1F3864" w:themeFill="accent1" w:themeFillShade="80"/>
          </w:tcPr>
          <w:p w14:paraId="09C06434" w14:textId="785FDD46" w:rsidR="00D254E9" w:rsidRPr="001427AF" w:rsidRDefault="00D254E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Exit </w:t>
            </w:r>
            <w:r w:rsidR="00482ECF" w:rsidRPr="001427AF">
              <w:rPr>
                <w:rFonts w:ascii="Arial" w:hAnsi="Arial" w:cs="Arial"/>
                <w:b/>
                <w:bCs/>
                <w:iCs/>
                <w:color w:val="FFFFFF" w:themeColor="background1"/>
                <w:sz w:val="20"/>
              </w:rPr>
              <w:t>c</w:t>
            </w:r>
            <w:r w:rsidRPr="001427AF">
              <w:rPr>
                <w:rFonts w:ascii="Arial" w:hAnsi="Arial" w:cs="Arial"/>
                <w:b/>
                <w:bCs/>
                <w:iCs/>
                <w:color w:val="FFFFFF" w:themeColor="background1"/>
                <w:sz w:val="20"/>
              </w:rPr>
              <w:t>riteria</w:t>
            </w:r>
          </w:p>
        </w:tc>
        <w:tc>
          <w:tcPr>
            <w:tcW w:w="991" w:type="pct"/>
            <w:shd w:val="clear" w:color="auto" w:fill="1F3864" w:themeFill="accent1" w:themeFillShade="80"/>
          </w:tcPr>
          <w:p w14:paraId="34D0D8A9" w14:textId="3B9CB076" w:rsidR="00D254E9" w:rsidRPr="001427AF" w:rsidRDefault="006F7549" w:rsidP="00D254E9">
            <w:pPr>
              <w:spacing w:line="240" w:lineRule="auto"/>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Exit year (using previous years </w:t>
            </w:r>
            <w:proofErr w:type="gramStart"/>
            <w:r w:rsidR="00F634FE" w:rsidRPr="001427AF">
              <w:rPr>
                <w:rFonts w:ascii="Arial" w:hAnsi="Arial" w:cs="Arial"/>
                <w:b/>
                <w:bCs/>
                <w:iCs/>
                <w:color w:val="FFFFFF" w:themeColor="background1"/>
                <w:sz w:val="20"/>
              </w:rPr>
              <w:t xml:space="preserve">data)  </w:t>
            </w:r>
            <w:r w:rsidRPr="001427AF">
              <w:rPr>
                <w:rFonts w:ascii="Arial" w:hAnsi="Arial" w:cs="Arial"/>
                <w:b/>
                <w:bCs/>
                <w:iCs/>
                <w:color w:val="FFFFFF" w:themeColor="background1"/>
                <w:sz w:val="20"/>
              </w:rPr>
              <w:t xml:space="preserve"> </w:t>
            </w:r>
            <w:proofErr w:type="gramEnd"/>
            <w:r w:rsidRPr="001427AF">
              <w:rPr>
                <w:rFonts w:ascii="Arial" w:hAnsi="Arial" w:cs="Arial"/>
                <w:b/>
                <w:bCs/>
                <w:iCs/>
                <w:color w:val="FFFFFF" w:themeColor="background1"/>
                <w:sz w:val="20"/>
              </w:rPr>
              <w:t xml:space="preserve">       </w:t>
            </w:r>
          </w:p>
        </w:tc>
      </w:tr>
      <w:tr w:rsidR="0098421E" w:rsidRPr="001427AF" w14:paraId="35D24E8C" w14:textId="77777777" w:rsidTr="0093533F">
        <w:trPr>
          <w:trHeight w:val="1610"/>
          <w:jc w:val="center"/>
        </w:trPr>
        <w:tc>
          <w:tcPr>
            <w:tcW w:w="612" w:type="pct"/>
          </w:tcPr>
          <w:p w14:paraId="7255DD7E" w14:textId="77777777" w:rsidR="0098421E" w:rsidRPr="001427AF" w:rsidRDefault="0098421E" w:rsidP="0098421E">
            <w:pPr>
              <w:spacing w:line="240" w:lineRule="auto"/>
              <w:contextualSpacing/>
              <w:rPr>
                <w:rFonts w:ascii="Arial" w:hAnsi="Arial" w:cs="Arial"/>
                <w:b/>
                <w:iCs/>
                <w:sz w:val="20"/>
              </w:rPr>
            </w:pPr>
            <w:r w:rsidRPr="001427AF">
              <w:rPr>
                <w:rFonts w:ascii="Arial" w:hAnsi="Arial" w:cs="Arial"/>
                <w:iCs/>
                <w:sz w:val="20"/>
              </w:rPr>
              <w:t>Comprehensive Support and Improvement-Low Performing (CSI-LP)</w:t>
            </w:r>
          </w:p>
        </w:tc>
        <w:tc>
          <w:tcPr>
            <w:tcW w:w="411" w:type="pct"/>
          </w:tcPr>
          <w:p w14:paraId="631F1877" w14:textId="3AF33023" w:rsidR="0098421E" w:rsidRPr="001427AF" w:rsidRDefault="0098421E" w:rsidP="0098421E">
            <w:pPr>
              <w:spacing w:line="240" w:lineRule="auto"/>
              <w:contextualSpacing/>
              <w:rPr>
                <w:rFonts w:ascii="Arial" w:hAnsi="Arial" w:cs="Arial"/>
                <w:b/>
                <w:iCs/>
                <w:sz w:val="20"/>
              </w:rPr>
            </w:pPr>
            <w:r w:rsidRPr="001427AF">
              <w:rPr>
                <w:rFonts w:ascii="Arial" w:hAnsi="Arial" w:cs="Arial"/>
                <w:iCs/>
                <w:sz w:val="20"/>
              </w:rPr>
              <w:t>All Title I Served schools</w:t>
            </w:r>
          </w:p>
        </w:tc>
        <w:tc>
          <w:tcPr>
            <w:tcW w:w="950" w:type="pct"/>
          </w:tcPr>
          <w:p w14:paraId="669E8DA3"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Every 3 years</w:t>
            </w:r>
          </w:p>
          <w:p w14:paraId="6BAC8C57" w14:textId="77777777" w:rsidR="0098421E" w:rsidRPr="001427AF" w:rsidRDefault="0098421E" w:rsidP="0098421E">
            <w:pPr>
              <w:spacing w:line="240" w:lineRule="auto"/>
              <w:contextualSpacing/>
              <w:rPr>
                <w:rFonts w:ascii="Arial" w:hAnsi="Arial" w:cs="Arial"/>
                <w:iCs/>
                <w:sz w:val="20"/>
              </w:rPr>
            </w:pPr>
          </w:p>
          <w:p w14:paraId="5590D58C"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 xml:space="preserve">2018–19, Tier 2, Group 1 </w:t>
            </w:r>
          </w:p>
          <w:p w14:paraId="305D4416"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2022–23, Tier 2, Group 2</w:t>
            </w:r>
          </w:p>
          <w:p w14:paraId="34A4E1C7" w14:textId="22CB9035" w:rsidR="0098421E" w:rsidRPr="001427AF" w:rsidRDefault="0098421E" w:rsidP="0098421E">
            <w:pPr>
              <w:spacing w:line="240" w:lineRule="auto"/>
              <w:contextualSpacing/>
              <w:rPr>
                <w:rFonts w:ascii="Arial" w:hAnsi="Arial" w:cs="Arial"/>
                <w:b/>
                <w:iCs/>
                <w:sz w:val="20"/>
              </w:rPr>
            </w:pPr>
            <w:r w:rsidRPr="001427AF">
              <w:rPr>
                <w:rFonts w:ascii="Arial" w:hAnsi="Arial" w:cs="Arial"/>
                <w:bCs/>
                <w:iCs/>
                <w:sz w:val="20"/>
              </w:rPr>
              <w:t>2025–26, Tier 1</w:t>
            </w:r>
          </w:p>
        </w:tc>
        <w:tc>
          <w:tcPr>
            <w:tcW w:w="2037" w:type="pct"/>
          </w:tcPr>
          <w:p w14:paraId="34766DA1" w14:textId="34CB0174" w:rsidR="0098421E" w:rsidRPr="001427AF" w:rsidRDefault="0098421E" w:rsidP="0098421E">
            <w:pPr>
              <w:spacing w:line="240" w:lineRule="auto"/>
              <w:contextualSpacing/>
              <w:rPr>
                <w:rFonts w:ascii="Arial" w:hAnsi="Arial" w:cs="Arial"/>
                <w:b/>
                <w:iCs/>
                <w:sz w:val="20"/>
              </w:rPr>
            </w:pPr>
            <w:proofErr w:type="gramStart"/>
            <w:r w:rsidRPr="001427AF">
              <w:rPr>
                <w:rFonts w:ascii="Arial" w:hAnsi="Arial" w:cs="Arial"/>
                <w:sz w:val="20"/>
              </w:rPr>
              <w:t>Achieve</w:t>
            </w:r>
            <w:proofErr w:type="gramEnd"/>
            <w:r w:rsidRPr="001427AF">
              <w:rPr>
                <w:rFonts w:ascii="Arial" w:hAnsi="Arial" w:cs="Arial"/>
                <w:sz w:val="20"/>
              </w:rPr>
              <w:t xml:space="preserve"> above the lowest 5 % of Title I served schools for the most recent and previous school year </w:t>
            </w:r>
            <w:r w:rsidRPr="001427AF">
              <w:rPr>
                <w:rFonts w:ascii="Arial" w:hAnsi="Arial" w:cs="Arial"/>
                <w:i/>
                <w:iCs/>
                <w:sz w:val="20"/>
              </w:rPr>
              <w:t>and</w:t>
            </w:r>
            <w:r w:rsidRPr="001427AF">
              <w:rPr>
                <w:rFonts w:ascii="Arial" w:hAnsi="Arial" w:cs="Arial"/>
                <w:sz w:val="20"/>
              </w:rPr>
              <w:t xml:space="preserve"> meet measure of interim progress for the </w:t>
            </w:r>
            <w:bookmarkStart w:id="866" w:name="_Int_wt8TXZcW"/>
            <w:proofErr w:type="gramStart"/>
            <w:r w:rsidRPr="001427AF">
              <w:rPr>
                <w:rFonts w:ascii="Arial" w:hAnsi="Arial" w:cs="Arial"/>
                <w:sz w:val="20"/>
              </w:rPr>
              <w:t>All Student</w:t>
            </w:r>
            <w:bookmarkEnd w:id="866"/>
            <w:proofErr w:type="gramEnd"/>
            <w:r w:rsidRPr="001427AF">
              <w:rPr>
                <w:rFonts w:ascii="Arial" w:hAnsi="Arial" w:cs="Arial"/>
                <w:sz w:val="20"/>
              </w:rPr>
              <w:t xml:space="preserve"> subgroup in all subjects (i.e., reading and math)</w:t>
            </w:r>
          </w:p>
        </w:tc>
        <w:tc>
          <w:tcPr>
            <w:tcW w:w="991" w:type="pct"/>
          </w:tcPr>
          <w:p w14:paraId="2392597B"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 xml:space="preserve">Every 3 years </w:t>
            </w:r>
          </w:p>
          <w:p w14:paraId="407F8AB7" w14:textId="77777777" w:rsidR="0098421E" w:rsidRPr="001427AF" w:rsidRDefault="0098421E" w:rsidP="0098421E">
            <w:pPr>
              <w:spacing w:line="240" w:lineRule="auto"/>
              <w:contextualSpacing/>
              <w:rPr>
                <w:rFonts w:ascii="Arial" w:hAnsi="Arial" w:cs="Arial"/>
                <w:bCs/>
                <w:iCs/>
                <w:sz w:val="20"/>
              </w:rPr>
            </w:pPr>
          </w:p>
          <w:p w14:paraId="77F96FCF"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bCs/>
                <w:iCs/>
                <w:sz w:val="20"/>
              </w:rPr>
              <w:t xml:space="preserve">2025–26, </w:t>
            </w:r>
            <w:r w:rsidRPr="001427AF">
              <w:rPr>
                <w:rFonts w:ascii="Arial" w:hAnsi="Arial" w:cs="Arial"/>
                <w:iCs/>
                <w:sz w:val="20"/>
              </w:rPr>
              <w:t>Tier 2, Group 1</w:t>
            </w:r>
          </w:p>
          <w:p w14:paraId="37435687"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bCs/>
                <w:iCs/>
                <w:sz w:val="20"/>
              </w:rPr>
              <w:t xml:space="preserve">2025–26, </w:t>
            </w:r>
            <w:r w:rsidRPr="001427AF">
              <w:rPr>
                <w:rFonts w:ascii="Arial" w:hAnsi="Arial" w:cs="Arial"/>
                <w:iCs/>
                <w:sz w:val="20"/>
              </w:rPr>
              <w:t>Tier 2, Group 2</w:t>
            </w:r>
          </w:p>
          <w:p w14:paraId="4CC4D2A8" w14:textId="646057AD" w:rsidR="0098421E" w:rsidRPr="001427AF" w:rsidRDefault="0098421E" w:rsidP="00230353">
            <w:pPr>
              <w:spacing w:line="240" w:lineRule="auto"/>
              <w:contextualSpacing/>
              <w:rPr>
                <w:rFonts w:ascii="Arial" w:hAnsi="Arial" w:cs="Arial"/>
                <w:b/>
                <w:iCs/>
                <w:sz w:val="20"/>
              </w:rPr>
            </w:pPr>
            <w:r w:rsidRPr="001427AF">
              <w:rPr>
                <w:rFonts w:ascii="Arial" w:hAnsi="Arial" w:cs="Arial"/>
                <w:bCs/>
                <w:iCs/>
                <w:sz w:val="20"/>
              </w:rPr>
              <w:t xml:space="preserve">2028–29, Tier 1 </w:t>
            </w:r>
          </w:p>
        </w:tc>
      </w:tr>
      <w:tr w:rsidR="0098421E" w:rsidRPr="001427AF" w14:paraId="211BAEE2" w14:textId="77777777" w:rsidTr="0093533F">
        <w:trPr>
          <w:trHeight w:val="1138"/>
          <w:jc w:val="center"/>
        </w:trPr>
        <w:tc>
          <w:tcPr>
            <w:tcW w:w="612" w:type="pct"/>
          </w:tcPr>
          <w:p w14:paraId="601C30B1" w14:textId="77777777" w:rsidR="0098421E" w:rsidRPr="001427AF" w:rsidRDefault="0098421E" w:rsidP="0098421E">
            <w:pPr>
              <w:spacing w:line="240" w:lineRule="auto"/>
              <w:contextualSpacing/>
              <w:rPr>
                <w:rFonts w:ascii="Arial" w:hAnsi="Arial" w:cs="Arial"/>
                <w:b/>
                <w:iCs/>
                <w:sz w:val="20"/>
              </w:rPr>
            </w:pPr>
            <w:r w:rsidRPr="001427AF">
              <w:rPr>
                <w:rFonts w:ascii="Arial" w:hAnsi="Arial" w:cs="Arial"/>
                <w:iCs/>
                <w:sz w:val="20"/>
              </w:rPr>
              <w:t>Comprehensive Support and Improvement-Low Graduation Rates (CSI-LG)</w:t>
            </w:r>
          </w:p>
        </w:tc>
        <w:tc>
          <w:tcPr>
            <w:tcW w:w="411" w:type="pct"/>
          </w:tcPr>
          <w:p w14:paraId="3484DC5B" w14:textId="2F27465D" w:rsidR="0098421E" w:rsidRPr="001427AF" w:rsidRDefault="0098421E" w:rsidP="0098421E">
            <w:pPr>
              <w:spacing w:line="240" w:lineRule="auto"/>
              <w:contextualSpacing/>
              <w:rPr>
                <w:rFonts w:ascii="Arial" w:hAnsi="Arial" w:cs="Arial"/>
                <w:b/>
                <w:iCs/>
                <w:sz w:val="20"/>
              </w:rPr>
            </w:pPr>
            <w:r w:rsidRPr="001427AF">
              <w:rPr>
                <w:rFonts w:ascii="Arial" w:hAnsi="Arial" w:cs="Arial"/>
                <w:iCs/>
                <w:sz w:val="20"/>
              </w:rPr>
              <w:t>All High schools</w:t>
            </w:r>
          </w:p>
        </w:tc>
        <w:tc>
          <w:tcPr>
            <w:tcW w:w="950" w:type="pct"/>
          </w:tcPr>
          <w:p w14:paraId="6D89B1AE"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Every 3 years</w:t>
            </w:r>
          </w:p>
          <w:p w14:paraId="56724DC1" w14:textId="77777777" w:rsidR="0098421E" w:rsidRPr="001427AF" w:rsidRDefault="0098421E" w:rsidP="0098421E">
            <w:pPr>
              <w:spacing w:line="240" w:lineRule="auto"/>
              <w:contextualSpacing/>
              <w:rPr>
                <w:rFonts w:ascii="Arial" w:hAnsi="Arial" w:cs="Arial"/>
                <w:iCs/>
                <w:sz w:val="20"/>
              </w:rPr>
            </w:pPr>
          </w:p>
          <w:p w14:paraId="7A1DD487"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 xml:space="preserve">2018–19, Tier 2, Group 1 </w:t>
            </w:r>
          </w:p>
          <w:p w14:paraId="656F4311"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2022–23, Tier 2, Group 2</w:t>
            </w:r>
          </w:p>
          <w:p w14:paraId="22984A9C" w14:textId="766817CB" w:rsidR="0098421E" w:rsidRPr="001427AF" w:rsidRDefault="0098421E" w:rsidP="0098421E">
            <w:pPr>
              <w:spacing w:line="240" w:lineRule="auto"/>
              <w:contextualSpacing/>
              <w:rPr>
                <w:rFonts w:ascii="Arial" w:hAnsi="Arial" w:cs="Arial"/>
                <w:iCs/>
                <w:sz w:val="20"/>
              </w:rPr>
            </w:pPr>
            <w:r w:rsidRPr="001427AF">
              <w:rPr>
                <w:rFonts w:ascii="Arial" w:hAnsi="Arial" w:cs="Arial"/>
                <w:bCs/>
                <w:iCs/>
                <w:sz w:val="20"/>
              </w:rPr>
              <w:t>2025–26, Tier 1</w:t>
            </w:r>
          </w:p>
        </w:tc>
        <w:tc>
          <w:tcPr>
            <w:tcW w:w="2037" w:type="pct"/>
          </w:tcPr>
          <w:p w14:paraId="4772FC84" w14:textId="10C3227F" w:rsidR="0098421E" w:rsidRPr="001427AF" w:rsidRDefault="0098421E" w:rsidP="0098421E">
            <w:pPr>
              <w:spacing w:line="240" w:lineRule="auto"/>
              <w:contextualSpacing/>
              <w:rPr>
                <w:rFonts w:ascii="Arial" w:hAnsi="Arial" w:cs="Arial"/>
                <w:b/>
                <w:iCs/>
                <w:sz w:val="20"/>
              </w:rPr>
            </w:pPr>
            <w:r w:rsidRPr="001427AF">
              <w:rPr>
                <w:rFonts w:ascii="Arial" w:hAnsi="Arial" w:cs="Arial"/>
                <w:iCs/>
                <w:sz w:val="20"/>
              </w:rPr>
              <w:t>Graduation rate greater than or equal to 66.7% in the most recent and previous year</w:t>
            </w:r>
          </w:p>
        </w:tc>
        <w:tc>
          <w:tcPr>
            <w:tcW w:w="991" w:type="pct"/>
          </w:tcPr>
          <w:p w14:paraId="202483F8"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 xml:space="preserve">Every 3 years </w:t>
            </w:r>
          </w:p>
          <w:p w14:paraId="33E79670" w14:textId="77777777" w:rsidR="0098421E" w:rsidRPr="001427AF" w:rsidRDefault="0098421E" w:rsidP="0098421E">
            <w:pPr>
              <w:spacing w:line="240" w:lineRule="auto"/>
              <w:contextualSpacing/>
              <w:rPr>
                <w:rFonts w:ascii="Arial" w:hAnsi="Arial" w:cs="Arial"/>
                <w:b/>
                <w:iCs/>
                <w:sz w:val="20"/>
              </w:rPr>
            </w:pPr>
          </w:p>
          <w:p w14:paraId="56831C41"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bCs/>
                <w:iCs/>
                <w:sz w:val="20"/>
              </w:rPr>
              <w:t xml:space="preserve">2025–26, </w:t>
            </w:r>
            <w:r w:rsidRPr="001427AF">
              <w:rPr>
                <w:rFonts w:ascii="Arial" w:hAnsi="Arial" w:cs="Arial"/>
                <w:iCs/>
                <w:sz w:val="20"/>
              </w:rPr>
              <w:t>Tier 2, Group 1</w:t>
            </w:r>
          </w:p>
          <w:p w14:paraId="7EDFD415"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bCs/>
                <w:iCs/>
                <w:sz w:val="20"/>
              </w:rPr>
              <w:t xml:space="preserve">2025–26, </w:t>
            </w:r>
            <w:r w:rsidRPr="001427AF">
              <w:rPr>
                <w:rFonts w:ascii="Arial" w:hAnsi="Arial" w:cs="Arial"/>
                <w:iCs/>
                <w:sz w:val="20"/>
              </w:rPr>
              <w:t>Tier 2, Group 2</w:t>
            </w:r>
          </w:p>
          <w:p w14:paraId="45888323" w14:textId="5F1079E3" w:rsidR="0098421E" w:rsidRPr="001427AF" w:rsidRDefault="0098421E" w:rsidP="00230353">
            <w:pPr>
              <w:spacing w:line="240" w:lineRule="auto"/>
              <w:contextualSpacing/>
              <w:rPr>
                <w:rFonts w:ascii="Arial" w:hAnsi="Arial" w:cs="Arial"/>
                <w:bCs/>
                <w:iCs/>
                <w:sz w:val="20"/>
              </w:rPr>
            </w:pPr>
            <w:r w:rsidRPr="001427AF">
              <w:rPr>
                <w:rFonts w:ascii="Arial" w:hAnsi="Arial" w:cs="Arial"/>
                <w:bCs/>
                <w:iCs/>
                <w:sz w:val="20"/>
              </w:rPr>
              <w:t xml:space="preserve">2028–29, Tier 1 </w:t>
            </w:r>
          </w:p>
        </w:tc>
      </w:tr>
      <w:tr w:rsidR="0098421E" w:rsidRPr="001427AF" w14:paraId="2ADC3FF4" w14:textId="77777777" w:rsidTr="0093533F">
        <w:trPr>
          <w:trHeight w:val="1637"/>
          <w:jc w:val="center"/>
        </w:trPr>
        <w:tc>
          <w:tcPr>
            <w:tcW w:w="612" w:type="pct"/>
          </w:tcPr>
          <w:p w14:paraId="6F026947" w14:textId="77777777" w:rsidR="005B4005" w:rsidRDefault="0098421E" w:rsidP="0098421E">
            <w:pPr>
              <w:spacing w:line="240" w:lineRule="auto"/>
              <w:contextualSpacing/>
              <w:rPr>
                <w:rFonts w:ascii="Arial" w:hAnsi="Arial" w:cs="Arial"/>
                <w:iCs/>
                <w:sz w:val="20"/>
              </w:rPr>
            </w:pPr>
            <w:r w:rsidRPr="001427AF">
              <w:rPr>
                <w:rFonts w:ascii="Arial" w:hAnsi="Arial" w:cs="Arial"/>
                <w:iCs/>
                <w:sz w:val="20"/>
              </w:rPr>
              <w:t xml:space="preserve">Comprehensive Support and Improvement-Additional Targeted Support Not Exiting Such Status </w:t>
            </w:r>
          </w:p>
          <w:p w14:paraId="3E10CD6C" w14:textId="5E4743D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(CSI-AT)</w:t>
            </w:r>
          </w:p>
        </w:tc>
        <w:tc>
          <w:tcPr>
            <w:tcW w:w="411" w:type="pct"/>
          </w:tcPr>
          <w:p w14:paraId="25A5805A" w14:textId="77777777" w:rsidR="0098421E" w:rsidRPr="001427AF" w:rsidRDefault="0098421E" w:rsidP="0098421E">
            <w:pPr>
              <w:spacing w:line="240" w:lineRule="auto"/>
              <w:contextualSpacing/>
              <w:rPr>
                <w:rFonts w:ascii="Arial" w:hAnsi="Arial" w:cs="Arial"/>
                <w:iCs/>
                <w:sz w:val="20"/>
              </w:rPr>
            </w:pPr>
            <w:bookmarkStart w:id="867" w:name="_Int_wblpQm1F"/>
            <w:proofErr w:type="gramStart"/>
            <w:r w:rsidRPr="001427AF">
              <w:rPr>
                <w:rFonts w:ascii="Arial" w:hAnsi="Arial" w:cs="Arial"/>
                <w:iCs/>
                <w:sz w:val="20"/>
              </w:rPr>
              <w:t>Title</w:t>
            </w:r>
            <w:bookmarkEnd w:id="867"/>
            <w:proofErr w:type="gramEnd"/>
            <w:r w:rsidRPr="001427AF">
              <w:rPr>
                <w:rFonts w:ascii="Arial" w:hAnsi="Arial" w:cs="Arial"/>
                <w:iCs/>
                <w:sz w:val="20"/>
              </w:rPr>
              <w:t xml:space="preserve"> I Served TSI-AT Identified Schools</w:t>
            </w:r>
          </w:p>
        </w:tc>
        <w:tc>
          <w:tcPr>
            <w:tcW w:w="950" w:type="pct"/>
          </w:tcPr>
          <w:p w14:paraId="7AA2922B"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Every 3 years</w:t>
            </w:r>
          </w:p>
          <w:p w14:paraId="49CE7CF2" w14:textId="77777777" w:rsidR="0098421E" w:rsidRPr="001427AF" w:rsidRDefault="0098421E" w:rsidP="0098421E">
            <w:pPr>
              <w:spacing w:line="240" w:lineRule="auto"/>
              <w:contextualSpacing/>
              <w:rPr>
                <w:rFonts w:ascii="Arial" w:hAnsi="Arial" w:cs="Arial"/>
                <w:iCs/>
                <w:sz w:val="20"/>
              </w:rPr>
            </w:pPr>
          </w:p>
          <w:p w14:paraId="6F35CBB8" w14:textId="1265BF16"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2025–26, Tier 1</w:t>
            </w:r>
          </w:p>
        </w:tc>
        <w:tc>
          <w:tcPr>
            <w:tcW w:w="2037" w:type="pct"/>
          </w:tcPr>
          <w:p w14:paraId="0A6B6323"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 xml:space="preserve">Same as TSI-AT in the exit year: </w:t>
            </w:r>
          </w:p>
          <w:p w14:paraId="54C6E512" w14:textId="77777777" w:rsidR="0098421E" w:rsidRPr="001427AF" w:rsidRDefault="0098421E" w:rsidP="00CA5853">
            <w:pPr>
              <w:numPr>
                <w:ilvl w:val="0"/>
                <w:numId w:val="97"/>
              </w:numPr>
              <w:spacing w:line="240" w:lineRule="auto"/>
              <w:contextualSpacing/>
              <w:rPr>
                <w:rFonts w:ascii="Arial" w:hAnsi="Arial" w:cs="Arial"/>
                <w:b/>
                <w:iCs/>
                <w:sz w:val="20"/>
              </w:rPr>
            </w:pPr>
            <w:r w:rsidRPr="001427AF">
              <w:rPr>
                <w:rFonts w:ascii="Arial" w:hAnsi="Arial" w:cs="Arial"/>
                <w:sz w:val="20"/>
              </w:rPr>
              <w:t xml:space="preserve">Identified subgroup(s) achieve a three-year growth index of 1.0 or higher; or </w:t>
            </w:r>
          </w:p>
          <w:p w14:paraId="6D4EB595" w14:textId="77777777" w:rsidR="0098421E" w:rsidRPr="001427AF" w:rsidRDefault="0098421E" w:rsidP="00CA5853">
            <w:pPr>
              <w:numPr>
                <w:ilvl w:val="0"/>
                <w:numId w:val="97"/>
              </w:numPr>
              <w:spacing w:line="240" w:lineRule="auto"/>
              <w:contextualSpacing/>
              <w:rPr>
                <w:rFonts w:ascii="Arial" w:hAnsi="Arial" w:cs="Arial"/>
                <w:b/>
                <w:iCs/>
                <w:sz w:val="20"/>
              </w:rPr>
            </w:pPr>
            <w:r w:rsidRPr="001427AF">
              <w:rPr>
                <w:rFonts w:ascii="Arial" w:hAnsi="Arial" w:cs="Arial"/>
                <w:sz w:val="20"/>
              </w:rPr>
              <w:t>are on track to meet the subgroup(s) twelve-year proficiency goals in reading and math; or</w:t>
            </w:r>
          </w:p>
          <w:p w14:paraId="7DD551BE" w14:textId="383BC77E" w:rsidR="0098421E" w:rsidRPr="001427AF" w:rsidRDefault="0098421E" w:rsidP="00CA5853">
            <w:pPr>
              <w:pStyle w:val="ListParagraph"/>
              <w:numPr>
                <w:ilvl w:val="0"/>
                <w:numId w:val="97"/>
              </w:numPr>
              <w:spacing w:line="240" w:lineRule="auto"/>
              <w:rPr>
                <w:rFonts w:ascii="Arial" w:hAnsi="Arial" w:cs="Arial"/>
                <w:iCs/>
                <w:sz w:val="20"/>
              </w:rPr>
            </w:pPr>
            <w:r w:rsidRPr="001427AF">
              <w:rPr>
                <w:rFonts w:ascii="Arial" w:hAnsi="Arial" w:cs="Arial"/>
                <w:bCs/>
                <w:iCs/>
                <w:sz w:val="20"/>
              </w:rPr>
              <w:t>There is no longer a subgroup whose overall performance as measured by the School Performance Grade score is at or below the score designated for CSI-Low Performing identification and previously identified subgroup(s) improved performance on the School Performance Grade score as compared to the score at the time of identification.</w:t>
            </w:r>
          </w:p>
        </w:tc>
        <w:tc>
          <w:tcPr>
            <w:tcW w:w="991" w:type="pct"/>
          </w:tcPr>
          <w:p w14:paraId="060839F5" w14:textId="77777777" w:rsidR="0098421E" w:rsidRPr="001427AF" w:rsidRDefault="0098421E" w:rsidP="0098421E">
            <w:pPr>
              <w:spacing w:line="240" w:lineRule="auto"/>
              <w:contextualSpacing/>
              <w:rPr>
                <w:rFonts w:ascii="Arial" w:hAnsi="Arial" w:cs="Arial"/>
                <w:iCs/>
                <w:sz w:val="20"/>
              </w:rPr>
            </w:pPr>
            <w:r w:rsidRPr="001427AF">
              <w:rPr>
                <w:rFonts w:ascii="Arial" w:hAnsi="Arial" w:cs="Arial"/>
                <w:iCs/>
                <w:sz w:val="20"/>
              </w:rPr>
              <w:t xml:space="preserve">Every 3 years </w:t>
            </w:r>
          </w:p>
          <w:p w14:paraId="04A43031" w14:textId="77777777" w:rsidR="0098421E" w:rsidRPr="001427AF" w:rsidRDefault="0098421E" w:rsidP="0098421E">
            <w:pPr>
              <w:spacing w:line="240" w:lineRule="auto"/>
              <w:contextualSpacing/>
              <w:rPr>
                <w:rFonts w:ascii="Arial" w:hAnsi="Arial" w:cs="Arial"/>
                <w:iCs/>
                <w:sz w:val="20"/>
              </w:rPr>
            </w:pPr>
          </w:p>
          <w:p w14:paraId="6E115AFB" w14:textId="1620E4D7" w:rsidR="0098421E" w:rsidRPr="001427AF" w:rsidRDefault="0098421E" w:rsidP="0098421E">
            <w:pPr>
              <w:spacing w:line="240" w:lineRule="auto"/>
              <w:contextualSpacing/>
              <w:rPr>
                <w:rFonts w:ascii="Arial" w:hAnsi="Arial" w:cs="Arial"/>
                <w:iCs/>
                <w:sz w:val="20"/>
              </w:rPr>
            </w:pPr>
            <w:r w:rsidRPr="001427AF">
              <w:rPr>
                <w:rFonts w:ascii="Arial" w:hAnsi="Arial" w:cs="Arial"/>
                <w:bCs/>
                <w:iCs/>
                <w:sz w:val="20"/>
              </w:rPr>
              <w:t xml:space="preserve">2028–29, Tier 1 </w:t>
            </w:r>
          </w:p>
        </w:tc>
      </w:tr>
    </w:tbl>
    <w:p w14:paraId="5E8E355A" w14:textId="79247CEB" w:rsidR="00BA09D2" w:rsidRPr="001427AF" w:rsidRDefault="00BA09D2" w:rsidP="00D254E9">
      <w:pPr>
        <w:rPr>
          <w:rFonts w:ascii="Arial" w:hAnsi="Arial" w:cs="Arial"/>
          <w:b/>
          <w:bCs/>
          <w:sz w:val="20"/>
        </w:rPr>
      </w:pPr>
      <w:r w:rsidRPr="001427AF">
        <w:rPr>
          <w:rFonts w:ascii="Arial" w:hAnsi="Arial" w:cs="Arial"/>
          <w:b/>
          <w:bCs/>
          <w:sz w:val="20"/>
        </w:rPr>
        <w:br w:type="page"/>
      </w:r>
    </w:p>
    <w:p w14:paraId="198EDA98" w14:textId="396A4C68" w:rsidR="00D254E9" w:rsidRPr="001427AF" w:rsidRDefault="00D254E9" w:rsidP="003B202A">
      <w:pPr>
        <w:spacing w:line="240" w:lineRule="auto"/>
        <w:rPr>
          <w:rFonts w:ascii="Arial" w:hAnsi="Arial" w:cs="Arial"/>
          <w:sz w:val="20"/>
        </w:rPr>
      </w:pPr>
      <w:r w:rsidRPr="001427AF">
        <w:rPr>
          <w:rFonts w:ascii="Arial" w:hAnsi="Arial" w:cs="Arial"/>
          <w:sz w:val="20"/>
        </w:rPr>
        <w:lastRenderedPageBreak/>
        <w:t xml:space="preserve">TABLE 9.7.1.3. TSI </w:t>
      </w:r>
      <w:r w:rsidR="00CA38E2" w:rsidRPr="001427AF">
        <w:rPr>
          <w:rFonts w:ascii="Arial" w:hAnsi="Arial" w:cs="Arial"/>
          <w:sz w:val="20"/>
        </w:rPr>
        <w:t>e</w:t>
      </w:r>
      <w:r w:rsidRPr="001427AF">
        <w:rPr>
          <w:rFonts w:ascii="Arial" w:hAnsi="Arial" w:cs="Arial"/>
          <w:sz w:val="20"/>
        </w:rPr>
        <w:t xml:space="preserve">xit </w:t>
      </w:r>
      <w:r w:rsidR="00CA38E2" w:rsidRPr="001427AF">
        <w:rPr>
          <w:rFonts w:ascii="Arial" w:hAnsi="Arial" w:cs="Arial"/>
          <w:sz w:val="20"/>
        </w:rPr>
        <w:t>c</w:t>
      </w:r>
      <w:r w:rsidRPr="001427AF">
        <w:rPr>
          <w:rFonts w:ascii="Arial" w:hAnsi="Arial" w:cs="Arial"/>
          <w:sz w:val="20"/>
        </w:rPr>
        <w:t>riteria</w:t>
      </w:r>
    </w:p>
    <w:tbl>
      <w:tblPr>
        <w:tblStyle w:val="TableGrid"/>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xit criteria for targeted support and improvement schools. "/>
      </w:tblPr>
      <w:tblGrid>
        <w:gridCol w:w="2094"/>
        <w:gridCol w:w="1609"/>
        <w:gridCol w:w="2147"/>
        <w:gridCol w:w="6752"/>
        <w:gridCol w:w="2001"/>
      </w:tblGrid>
      <w:tr w:rsidR="00D254E9" w:rsidRPr="001427AF" w14:paraId="64C20AD4" w14:textId="77777777" w:rsidTr="0093533F">
        <w:trPr>
          <w:trHeight w:val="800"/>
          <w:jc w:val="center"/>
        </w:trPr>
        <w:tc>
          <w:tcPr>
            <w:tcW w:w="717" w:type="pct"/>
            <w:shd w:val="clear" w:color="auto" w:fill="1F3864" w:themeFill="accent1" w:themeFillShade="80"/>
          </w:tcPr>
          <w:p w14:paraId="1864AE45" w14:textId="77777777" w:rsidR="00D254E9" w:rsidRPr="001427AF" w:rsidRDefault="00D254E9" w:rsidP="00D254E9">
            <w:pPr>
              <w:spacing w:line="240" w:lineRule="auto"/>
              <w:contextualSpacing/>
              <w:rPr>
                <w:rFonts w:ascii="Arial" w:hAnsi="Arial" w:cs="Arial"/>
                <w:iCs/>
                <w:sz w:val="20"/>
              </w:rPr>
            </w:pPr>
            <w:r w:rsidRPr="001427AF">
              <w:rPr>
                <w:rFonts w:ascii="Arial" w:hAnsi="Arial" w:cs="Arial"/>
                <w:b/>
                <w:bCs/>
                <w:iCs/>
                <w:color w:val="FFFFFF" w:themeColor="background1"/>
                <w:sz w:val="20"/>
              </w:rPr>
              <w:t>Designation</w:t>
            </w:r>
          </w:p>
        </w:tc>
        <w:tc>
          <w:tcPr>
            <w:tcW w:w="551" w:type="pct"/>
            <w:shd w:val="clear" w:color="auto" w:fill="1F3864" w:themeFill="accent1" w:themeFillShade="80"/>
          </w:tcPr>
          <w:p w14:paraId="697E579E" w14:textId="101A7C4E" w:rsidR="00D254E9" w:rsidRPr="001427AF" w:rsidRDefault="00D254E9" w:rsidP="00D254E9">
            <w:pPr>
              <w:spacing w:line="240" w:lineRule="auto"/>
              <w:contextualSpacing/>
              <w:rPr>
                <w:rFonts w:ascii="Arial" w:hAnsi="Arial" w:cs="Arial"/>
                <w:iCs/>
                <w:sz w:val="20"/>
              </w:rPr>
            </w:pPr>
            <w:r w:rsidRPr="001427AF">
              <w:rPr>
                <w:rFonts w:ascii="Arial" w:hAnsi="Arial" w:cs="Arial"/>
                <w:b/>
                <w:bCs/>
                <w:iCs/>
                <w:color w:val="FFFFFF" w:themeColor="background1"/>
                <w:sz w:val="20"/>
              </w:rPr>
              <w:t xml:space="preserve">Eligible </w:t>
            </w:r>
            <w:r w:rsidR="00872377" w:rsidRPr="001427AF">
              <w:rPr>
                <w:rFonts w:ascii="Arial" w:hAnsi="Arial" w:cs="Arial"/>
                <w:b/>
                <w:bCs/>
                <w:iCs/>
                <w:color w:val="FFFFFF" w:themeColor="background1"/>
                <w:sz w:val="20"/>
              </w:rPr>
              <w:t>s</w:t>
            </w:r>
            <w:r w:rsidRPr="001427AF">
              <w:rPr>
                <w:rFonts w:ascii="Arial" w:hAnsi="Arial" w:cs="Arial"/>
                <w:b/>
                <w:bCs/>
                <w:iCs/>
                <w:color w:val="FFFFFF" w:themeColor="background1"/>
                <w:sz w:val="20"/>
              </w:rPr>
              <w:t>chools</w:t>
            </w:r>
          </w:p>
        </w:tc>
        <w:tc>
          <w:tcPr>
            <w:tcW w:w="735" w:type="pct"/>
            <w:shd w:val="clear" w:color="auto" w:fill="1F3864" w:themeFill="accent1" w:themeFillShade="80"/>
          </w:tcPr>
          <w:p w14:paraId="2EF43E56" w14:textId="07CB9740" w:rsidR="00D254E9" w:rsidRPr="001427AF" w:rsidRDefault="00D254E9" w:rsidP="00D254E9">
            <w:pPr>
              <w:spacing w:line="240" w:lineRule="auto"/>
              <w:contextualSpacing/>
              <w:rPr>
                <w:rFonts w:ascii="Arial" w:hAnsi="Arial" w:cs="Arial"/>
                <w:iCs/>
                <w:sz w:val="20"/>
              </w:rPr>
            </w:pPr>
            <w:r w:rsidRPr="001427AF">
              <w:rPr>
                <w:rFonts w:ascii="Arial" w:hAnsi="Arial" w:cs="Arial"/>
                <w:b/>
                <w:bCs/>
                <w:iCs/>
                <w:color w:val="FFFFFF" w:themeColor="background1"/>
                <w:sz w:val="20"/>
              </w:rPr>
              <w:t xml:space="preserve">Year of </w:t>
            </w:r>
            <w:r w:rsidR="00872377" w:rsidRPr="001427AF">
              <w:rPr>
                <w:rFonts w:ascii="Arial" w:hAnsi="Arial" w:cs="Arial"/>
                <w:b/>
                <w:bCs/>
                <w:iCs/>
                <w:color w:val="FFFFFF" w:themeColor="background1"/>
                <w:sz w:val="20"/>
              </w:rPr>
              <w:t>i</w:t>
            </w:r>
            <w:r w:rsidRPr="001427AF">
              <w:rPr>
                <w:rFonts w:ascii="Arial" w:hAnsi="Arial" w:cs="Arial"/>
                <w:b/>
                <w:bCs/>
                <w:iCs/>
                <w:color w:val="FFFFFF" w:themeColor="background1"/>
                <w:sz w:val="20"/>
              </w:rPr>
              <w:t xml:space="preserve">dentification </w:t>
            </w:r>
          </w:p>
        </w:tc>
        <w:tc>
          <w:tcPr>
            <w:tcW w:w="2312" w:type="pct"/>
            <w:shd w:val="clear" w:color="auto" w:fill="1F3864" w:themeFill="accent1" w:themeFillShade="80"/>
          </w:tcPr>
          <w:p w14:paraId="6B083F55" w14:textId="474EA29C" w:rsidR="00D254E9" w:rsidRPr="001427AF" w:rsidRDefault="00D254E9" w:rsidP="00D254E9">
            <w:pPr>
              <w:contextualSpacing/>
              <w:rPr>
                <w:rFonts w:ascii="Arial" w:hAnsi="Arial" w:cs="Arial"/>
                <w:b/>
                <w:bCs/>
                <w:sz w:val="20"/>
              </w:rPr>
            </w:pPr>
            <w:r w:rsidRPr="001427AF">
              <w:rPr>
                <w:rFonts w:ascii="Arial" w:hAnsi="Arial" w:cs="Arial"/>
                <w:b/>
                <w:bCs/>
                <w:iCs/>
                <w:color w:val="FFFFFF" w:themeColor="background1"/>
                <w:sz w:val="20"/>
              </w:rPr>
              <w:t xml:space="preserve">Exit </w:t>
            </w:r>
            <w:r w:rsidR="00872377" w:rsidRPr="001427AF">
              <w:rPr>
                <w:rFonts w:ascii="Arial" w:hAnsi="Arial" w:cs="Arial"/>
                <w:b/>
                <w:bCs/>
                <w:iCs/>
                <w:color w:val="FFFFFF" w:themeColor="background1"/>
                <w:sz w:val="20"/>
              </w:rPr>
              <w:t>c</w:t>
            </w:r>
            <w:r w:rsidRPr="001427AF">
              <w:rPr>
                <w:rFonts w:ascii="Arial" w:hAnsi="Arial" w:cs="Arial"/>
                <w:b/>
                <w:bCs/>
                <w:iCs/>
                <w:color w:val="FFFFFF" w:themeColor="background1"/>
                <w:sz w:val="20"/>
              </w:rPr>
              <w:t>riteria</w:t>
            </w:r>
          </w:p>
        </w:tc>
        <w:tc>
          <w:tcPr>
            <w:tcW w:w="685" w:type="pct"/>
            <w:shd w:val="clear" w:color="auto" w:fill="1F3864" w:themeFill="accent1" w:themeFillShade="80"/>
          </w:tcPr>
          <w:p w14:paraId="367294C5" w14:textId="72989A20" w:rsidR="00D254E9" w:rsidRPr="001427AF" w:rsidRDefault="00D254E9" w:rsidP="00D254E9">
            <w:pPr>
              <w:contextualSpacing/>
              <w:rPr>
                <w:rFonts w:ascii="Arial" w:hAnsi="Arial" w:cs="Arial"/>
                <w:b/>
                <w:bCs/>
                <w:iCs/>
                <w:color w:val="FFFFFF" w:themeColor="background1"/>
                <w:sz w:val="20"/>
              </w:rPr>
            </w:pPr>
            <w:r w:rsidRPr="001427AF">
              <w:rPr>
                <w:rFonts w:ascii="Arial" w:hAnsi="Arial" w:cs="Arial"/>
                <w:b/>
                <w:bCs/>
                <w:iCs/>
                <w:color w:val="FFFFFF" w:themeColor="background1"/>
                <w:sz w:val="20"/>
              </w:rPr>
              <w:t xml:space="preserve">Exit </w:t>
            </w:r>
            <w:r w:rsidR="00872377" w:rsidRPr="001427AF">
              <w:rPr>
                <w:rFonts w:ascii="Arial" w:hAnsi="Arial" w:cs="Arial"/>
                <w:b/>
                <w:bCs/>
                <w:iCs/>
                <w:color w:val="FFFFFF" w:themeColor="background1"/>
                <w:sz w:val="20"/>
              </w:rPr>
              <w:t>y</w:t>
            </w:r>
            <w:r w:rsidRPr="001427AF">
              <w:rPr>
                <w:rFonts w:ascii="Arial" w:hAnsi="Arial" w:cs="Arial"/>
                <w:b/>
                <w:bCs/>
                <w:iCs/>
                <w:color w:val="FFFFFF" w:themeColor="background1"/>
                <w:sz w:val="20"/>
              </w:rPr>
              <w:t xml:space="preserve">ear </w:t>
            </w:r>
            <w:r w:rsidR="00987C3A" w:rsidRPr="001427AF">
              <w:rPr>
                <w:rFonts w:ascii="Arial" w:hAnsi="Arial" w:cs="Arial"/>
                <w:b/>
                <w:bCs/>
                <w:iCs/>
                <w:color w:val="FFFFFF" w:themeColor="background1"/>
                <w:sz w:val="20"/>
              </w:rPr>
              <w:t xml:space="preserve">(using previous </w:t>
            </w:r>
            <w:r w:rsidR="00BC6A11" w:rsidRPr="001427AF">
              <w:rPr>
                <w:rFonts w:ascii="Arial" w:hAnsi="Arial" w:cs="Arial"/>
                <w:b/>
                <w:bCs/>
                <w:iCs/>
                <w:color w:val="FFFFFF" w:themeColor="background1"/>
                <w:sz w:val="20"/>
              </w:rPr>
              <w:t>year’s</w:t>
            </w:r>
            <w:r w:rsidR="00987C3A" w:rsidRPr="001427AF">
              <w:rPr>
                <w:rFonts w:ascii="Arial" w:hAnsi="Arial" w:cs="Arial"/>
                <w:b/>
                <w:bCs/>
                <w:iCs/>
                <w:color w:val="FFFFFF" w:themeColor="background1"/>
                <w:sz w:val="20"/>
              </w:rPr>
              <w:t xml:space="preserve"> data)</w:t>
            </w:r>
          </w:p>
        </w:tc>
      </w:tr>
      <w:tr w:rsidR="00D254E9" w:rsidRPr="001427AF" w14:paraId="7EB63110" w14:textId="77777777" w:rsidTr="0093533F">
        <w:trPr>
          <w:trHeight w:val="1065"/>
          <w:jc w:val="center"/>
        </w:trPr>
        <w:tc>
          <w:tcPr>
            <w:tcW w:w="717" w:type="pct"/>
          </w:tcPr>
          <w:p w14:paraId="4B5851D1" w14:textId="77777777" w:rsidR="005B4005" w:rsidRDefault="00D254E9" w:rsidP="00D254E9">
            <w:pPr>
              <w:spacing w:line="240" w:lineRule="auto"/>
              <w:contextualSpacing/>
              <w:rPr>
                <w:rFonts w:ascii="Arial" w:hAnsi="Arial" w:cs="Arial"/>
                <w:iCs/>
                <w:sz w:val="20"/>
              </w:rPr>
            </w:pPr>
            <w:r w:rsidRPr="001427AF">
              <w:rPr>
                <w:rFonts w:ascii="Arial" w:hAnsi="Arial" w:cs="Arial"/>
                <w:iCs/>
                <w:sz w:val="20"/>
              </w:rPr>
              <w:t xml:space="preserve">Targeted Support and Improvement-Consistently Underperforming Subgroups </w:t>
            </w:r>
          </w:p>
          <w:p w14:paraId="032648E0" w14:textId="3BFF471F" w:rsidR="00D254E9" w:rsidRPr="001427AF" w:rsidRDefault="00D254E9" w:rsidP="00D254E9">
            <w:pPr>
              <w:spacing w:line="240" w:lineRule="auto"/>
              <w:contextualSpacing/>
              <w:rPr>
                <w:rFonts w:ascii="Arial" w:hAnsi="Arial" w:cs="Arial"/>
                <w:sz w:val="20"/>
              </w:rPr>
            </w:pPr>
            <w:r w:rsidRPr="001427AF">
              <w:rPr>
                <w:rFonts w:ascii="Arial" w:hAnsi="Arial" w:cs="Arial"/>
                <w:iCs/>
                <w:sz w:val="20"/>
              </w:rPr>
              <w:t>(TSI-CU)</w:t>
            </w:r>
          </w:p>
        </w:tc>
        <w:tc>
          <w:tcPr>
            <w:tcW w:w="551" w:type="pct"/>
          </w:tcPr>
          <w:p w14:paraId="79D08614" w14:textId="77777777" w:rsidR="00B44256" w:rsidRPr="001427AF" w:rsidRDefault="00B44256" w:rsidP="00B44256">
            <w:pPr>
              <w:spacing w:line="240" w:lineRule="auto"/>
              <w:contextualSpacing/>
              <w:rPr>
                <w:rFonts w:ascii="Arial" w:hAnsi="Arial" w:cs="Arial"/>
                <w:iCs/>
                <w:sz w:val="20"/>
              </w:rPr>
            </w:pPr>
            <w:r w:rsidRPr="001427AF">
              <w:rPr>
                <w:rFonts w:ascii="Arial" w:hAnsi="Arial" w:cs="Arial"/>
                <w:iCs/>
                <w:sz w:val="20"/>
              </w:rPr>
              <w:t xml:space="preserve">All schools except CSI-LP and </w:t>
            </w:r>
          </w:p>
          <w:p w14:paraId="6EC67564" w14:textId="4FB49617" w:rsidR="00D254E9" w:rsidRPr="001427AF" w:rsidRDefault="00B44256" w:rsidP="00B44256">
            <w:pPr>
              <w:spacing w:line="240" w:lineRule="auto"/>
              <w:contextualSpacing/>
              <w:rPr>
                <w:rFonts w:ascii="Arial" w:hAnsi="Arial" w:cs="Arial"/>
                <w:b/>
                <w:iCs/>
                <w:sz w:val="20"/>
              </w:rPr>
            </w:pPr>
            <w:r w:rsidRPr="001427AF">
              <w:rPr>
                <w:rFonts w:ascii="Arial" w:hAnsi="Arial" w:cs="Arial"/>
                <w:iCs/>
                <w:sz w:val="20"/>
              </w:rPr>
              <w:t>CSI-AT</w:t>
            </w:r>
          </w:p>
        </w:tc>
        <w:tc>
          <w:tcPr>
            <w:tcW w:w="735" w:type="pct"/>
          </w:tcPr>
          <w:p w14:paraId="4E926A20" w14:textId="77777777" w:rsidR="00D254E9" w:rsidRPr="001427AF" w:rsidRDefault="00D254E9" w:rsidP="00D254E9">
            <w:pPr>
              <w:spacing w:line="240" w:lineRule="auto"/>
              <w:contextualSpacing/>
              <w:rPr>
                <w:rFonts w:ascii="Arial" w:hAnsi="Arial" w:cs="Arial"/>
                <w:iCs/>
                <w:sz w:val="20"/>
              </w:rPr>
            </w:pPr>
            <w:r w:rsidRPr="001427AF">
              <w:rPr>
                <w:rFonts w:ascii="Arial" w:hAnsi="Arial" w:cs="Arial"/>
                <w:iCs/>
                <w:sz w:val="20"/>
              </w:rPr>
              <w:t>Annually</w:t>
            </w:r>
          </w:p>
        </w:tc>
        <w:tc>
          <w:tcPr>
            <w:tcW w:w="2312" w:type="pct"/>
          </w:tcPr>
          <w:p w14:paraId="61FE34A6" w14:textId="77777777" w:rsidR="00D254E9" w:rsidRPr="001427AF" w:rsidRDefault="00D254E9" w:rsidP="00D254E9">
            <w:pPr>
              <w:spacing w:line="240" w:lineRule="auto"/>
              <w:contextualSpacing/>
              <w:rPr>
                <w:rFonts w:ascii="Arial" w:hAnsi="Arial" w:cs="Arial"/>
                <w:b/>
                <w:iCs/>
                <w:sz w:val="20"/>
              </w:rPr>
            </w:pPr>
            <w:r w:rsidRPr="001427AF">
              <w:rPr>
                <w:rFonts w:ascii="Arial" w:hAnsi="Arial" w:cs="Arial"/>
                <w:sz w:val="20"/>
              </w:rPr>
              <w:t>Achieve a letter grade of “D” or higher on the NC statewide system of annual meaningful differentiation (School Performance Grades) for previously identified subgroups in the most recent and previous year.</w:t>
            </w:r>
          </w:p>
        </w:tc>
        <w:tc>
          <w:tcPr>
            <w:tcW w:w="685" w:type="pct"/>
          </w:tcPr>
          <w:p w14:paraId="7036BB23" w14:textId="77777777" w:rsidR="00D254E9" w:rsidRPr="001427AF" w:rsidRDefault="00D254E9" w:rsidP="00D254E9">
            <w:pPr>
              <w:contextualSpacing/>
              <w:rPr>
                <w:rFonts w:ascii="Arial" w:hAnsi="Arial" w:cs="Arial"/>
                <w:sz w:val="20"/>
              </w:rPr>
            </w:pPr>
            <w:r w:rsidRPr="001427AF">
              <w:rPr>
                <w:rFonts w:ascii="Arial" w:hAnsi="Arial" w:cs="Arial"/>
                <w:sz w:val="20"/>
              </w:rPr>
              <w:t>Annually</w:t>
            </w:r>
          </w:p>
        </w:tc>
      </w:tr>
      <w:tr w:rsidR="00D254E9" w:rsidRPr="001427AF" w14:paraId="299454E4" w14:textId="77777777" w:rsidTr="0093533F">
        <w:trPr>
          <w:trHeight w:val="450"/>
          <w:jc w:val="center"/>
        </w:trPr>
        <w:tc>
          <w:tcPr>
            <w:tcW w:w="717" w:type="pct"/>
          </w:tcPr>
          <w:p w14:paraId="2E851CB0" w14:textId="77777777" w:rsidR="00D254E9" w:rsidRPr="001427AF" w:rsidRDefault="00D254E9" w:rsidP="00D254E9">
            <w:pPr>
              <w:spacing w:line="240" w:lineRule="auto"/>
              <w:contextualSpacing/>
              <w:rPr>
                <w:rFonts w:ascii="Arial" w:hAnsi="Arial" w:cs="Arial"/>
                <w:b/>
                <w:iCs/>
                <w:sz w:val="20"/>
              </w:rPr>
            </w:pPr>
            <w:r w:rsidRPr="001427AF">
              <w:rPr>
                <w:rFonts w:ascii="Arial" w:hAnsi="Arial" w:cs="Arial"/>
                <w:iCs/>
                <w:sz w:val="20"/>
              </w:rPr>
              <w:t>Targeted Support and Improvement-Additional Targeted Support (TSI-AT)</w:t>
            </w:r>
          </w:p>
        </w:tc>
        <w:tc>
          <w:tcPr>
            <w:tcW w:w="551" w:type="pct"/>
          </w:tcPr>
          <w:p w14:paraId="43AA58BD" w14:textId="1A19B4D9" w:rsidR="00D254E9" w:rsidRPr="001427AF" w:rsidRDefault="00D254E9" w:rsidP="00D254E9">
            <w:pPr>
              <w:spacing w:line="240" w:lineRule="auto"/>
              <w:contextualSpacing/>
              <w:rPr>
                <w:rFonts w:ascii="Arial" w:hAnsi="Arial" w:cs="Arial"/>
                <w:b/>
                <w:iCs/>
                <w:sz w:val="20"/>
              </w:rPr>
            </w:pPr>
            <w:r w:rsidRPr="001427AF">
              <w:rPr>
                <w:rFonts w:ascii="Arial" w:hAnsi="Arial" w:cs="Arial"/>
                <w:iCs/>
                <w:sz w:val="20"/>
              </w:rPr>
              <w:t xml:space="preserve">All TSI-CU </w:t>
            </w:r>
            <w:r w:rsidR="00CA38E2" w:rsidRPr="001427AF">
              <w:rPr>
                <w:rFonts w:ascii="Arial" w:hAnsi="Arial" w:cs="Arial"/>
                <w:iCs/>
                <w:sz w:val="20"/>
              </w:rPr>
              <w:t>i</w:t>
            </w:r>
            <w:r w:rsidRPr="001427AF">
              <w:rPr>
                <w:rFonts w:ascii="Arial" w:hAnsi="Arial" w:cs="Arial"/>
                <w:iCs/>
                <w:sz w:val="20"/>
              </w:rPr>
              <w:t xml:space="preserve">dentified </w:t>
            </w:r>
            <w:r w:rsidR="00CA38E2" w:rsidRPr="001427AF">
              <w:rPr>
                <w:rFonts w:ascii="Arial" w:hAnsi="Arial" w:cs="Arial"/>
                <w:iCs/>
                <w:sz w:val="20"/>
              </w:rPr>
              <w:t>s</w:t>
            </w:r>
            <w:r w:rsidRPr="001427AF">
              <w:rPr>
                <w:rFonts w:ascii="Arial" w:hAnsi="Arial" w:cs="Arial"/>
                <w:iCs/>
                <w:sz w:val="20"/>
              </w:rPr>
              <w:t>chools</w:t>
            </w:r>
          </w:p>
        </w:tc>
        <w:tc>
          <w:tcPr>
            <w:tcW w:w="735" w:type="pct"/>
          </w:tcPr>
          <w:p w14:paraId="702A534D" w14:textId="77777777" w:rsidR="005D3C74" w:rsidRPr="001427AF" w:rsidRDefault="005D3C74" w:rsidP="005D3C74">
            <w:pPr>
              <w:spacing w:line="240" w:lineRule="auto"/>
              <w:contextualSpacing/>
              <w:rPr>
                <w:rFonts w:ascii="Arial" w:hAnsi="Arial" w:cs="Arial"/>
                <w:iCs/>
                <w:sz w:val="20"/>
              </w:rPr>
            </w:pPr>
            <w:r w:rsidRPr="001427AF">
              <w:rPr>
                <w:rFonts w:ascii="Arial" w:hAnsi="Arial" w:cs="Arial"/>
                <w:iCs/>
                <w:sz w:val="20"/>
              </w:rPr>
              <w:t>Every 3 years</w:t>
            </w:r>
          </w:p>
          <w:p w14:paraId="22CAB2D3" w14:textId="77777777" w:rsidR="005D3C74" w:rsidRPr="001427AF" w:rsidRDefault="005D3C74" w:rsidP="005D3C74">
            <w:pPr>
              <w:spacing w:line="240" w:lineRule="auto"/>
              <w:contextualSpacing/>
              <w:rPr>
                <w:rFonts w:ascii="Arial" w:hAnsi="Arial" w:cs="Arial"/>
                <w:iCs/>
                <w:sz w:val="20"/>
              </w:rPr>
            </w:pPr>
          </w:p>
          <w:p w14:paraId="553B1A40" w14:textId="77777777" w:rsidR="005D3C74" w:rsidRPr="001427AF" w:rsidRDefault="005D3C74" w:rsidP="005D3C74">
            <w:pPr>
              <w:spacing w:line="240" w:lineRule="auto"/>
              <w:contextualSpacing/>
              <w:rPr>
                <w:rFonts w:ascii="Arial" w:hAnsi="Arial" w:cs="Arial"/>
                <w:iCs/>
                <w:sz w:val="20"/>
              </w:rPr>
            </w:pPr>
            <w:r w:rsidRPr="001427AF">
              <w:rPr>
                <w:rFonts w:ascii="Arial" w:hAnsi="Arial" w:cs="Arial"/>
                <w:iCs/>
                <w:sz w:val="20"/>
              </w:rPr>
              <w:t xml:space="preserve">2018–19, Cohort 1 </w:t>
            </w:r>
          </w:p>
          <w:p w14:paraId="576ADBAC" w14:textId="77777777" w:rsidR="005D3C74" w:rsidRPr="001427AF" w:rsidRDefault="005D3C74" w:rsidP="005D3C74">
            <w:pPr>
              <w:spacing w:line="240" w:lineRule="auto"/>
              <w:contextualSpacing/>
              <w:rPr>
                <w:rFonts w:ascii="Arial" w:hAnsi="Arial" w:cs="Arial"/>
                <w:iCs/>
                <w:sz w:val="20"/>
              </w:rPr>
            </w:pPr>
            <w:r w:rsidRPr="001427AF">
              <w:rPr>
                <w:rFonts w:ascii="Arial" w:hAnsi="Arial" w:cs="Arial"/>
                <w:iCs/>
                <w:sz w:val="20"/>
              </w:rPr>
              <w:t>2022–23, Cohort 2</w:t>
            </w:r>
          </w:p>
          <w:p w14:paraId="40CC3E7B" w14:textId="397A27D5" w:rsidR="00D254E9" w:rsidRPr="001427AF" w:rsidRDefault="005D3C74" w:rsidP="005D3C74">
            <w:pPr>
              <w:spacing w:line="240" w:lineRule="auto"/>
              <w:contextualSpacing/>
              <w:rPr>
                <w:rFonts w:ascii="Arial" w:hAnsi="Arial" w:cs="Arial"/>
                <w:iCs/>
                <w:sz w:val="20"/>
              </w:rPr>
            </w:pPr>
            <w:r w:rsidRPr="001427AF">
              <w:rPr>
                <w:rFonts w:ascii="Arial" w:hAnsi="Arial" w:cs="Arial"/>
                <w:iCs/>
                <w:sz w:val="20"/>
              </w:rPr>
              <w:t>2025–26, Cohort 3</w:t>
            </w:r>
          </w:p>
        </w:tc>
        <w:tc>
          <w:tcPr>
            <w:tcW w:w="2312" w:type="pct"/>
          </w:tcPr>
          <w:p w14:paraId="7685C0A8" w14:textId="77777777" w:rsidR="00D254E9" w:rsidRPr="001427AF" w:rsidRDefault="00D254E9" w:rsidP="00CA5853">
            <w:pPr>
              <w:numPr>
                <w:ilvl w:val="0"/>
                <w:numId w:val="114"/>
              </w:numPr>
              <w:spacing w:line="240" w:lineRule="auto"/>
              <w:contextualSpacing/>
              <w:rPr>
                <w:rFonts w:ascii="Arial" w:hAnsi="Arial" w:cs="Arial"/>
                <w:b/>
                <w:iCs/>
                <w:sz w:val="20"/>
              </w:rPr>
            </w:pPr>
            <w:r w:rsidRPr="001427AF">
              <w:rPr>
                <w:rFonts w:ascii="Arial" w:hAnsi="Arial" w:cs="Arial"/>
                <w:sz w:val="20"/>
              </w:rPr>
              <w:t xml:space="preserve">Identified subgroup(s) achieve a three-year growth index of 1.0 or higher; or </w:t>
            </w:r>
          </w:p>
          <w:p w14:paraId="043CF448" w14:textId="673BABF7" w:rsidR="00D254E9" w:rsidRPr="001427AF" w:rsidRDefault="00864EFE" w:rsidP="00CA5853">
            <w:pPr>
              <w:numPr>
                <w:ilvl w:val="0"/>
                <w:numId w:val="114"/>
              </w:numPr>
              <w:spacing w:line="240" w:lineRule="auto"/>
              <w:contextualSpacing/>
              <w:rPr>
                <w:rFonts w:ascii="Arial" w:hAnsi="Arial" w:cs="Arial"/>
                <w:b/>
                <w:iCs/>
                <w:sz w:val="20"/>
              </w:rPr>
            </w:pPr>
            <w:r w:rsidRPr="001427AF">
              <w:rPr>
                <w:rFonts w:ascii="Arial" w:hAnsi="Arial" w:cs="Arial"/>
                <w:sz w:val="20"/>
              </w:rPr>
              <w:t>a</w:t>
            </w:r>
            <w:r w:rsidR="00D254E9" w:rsidRPr="001427AF">
              <w:rPr>
                <w:rFonts w:ascii="Arial" w:hAnsi="Arial" w:cs="Arial"/>
                <w:sz w:val="20"/>
              </w:rPr>
              <w:t>re on track to meet the subgroup(s) twelve-year proficiency goals in reading and math; or</w:t>
            </w:r>
          </w:p>
          <w:p w14:paraId="31741C63" w14:textId="77411957" w:rsidR="00D254E9" w:rsidRPr="001427AF" w:rsidRDefault="00864EFE" w:rsidP="00CA5853">
            <w:pPr>
              <w:numPr>
                <w:ilvl w:val="0"/>
                <w:numId w:val="114"/>
              </w:numPr>
              <w:spacing w:line="240" w:lineRule="auto"/>
              <w:contextualSpacing/>
              <w:rPr>
                <w:rFonts w:ascii="Arial" w:hAnsi="Arial" w:cs="Arial"/>
                <w:bCs/>
                <w:iCs/>
                <w:sz w:val="20"/>
              </w:rPr>
            </w:pPr>
            <w:proofErr w:type="gramStart"/>
            <w:r w:rsidRPr="001427AF">
              <w:rPr>
                <w:rFonts w:ascii="Arial" w:hAnsi="Arial" w:cs="Arial"/>
                <w:bCs/>
                <w:iCs/>
                <w:sz w:val="20"/>
              </w:rPr>
              <w:t>t</w:t>
            </w:r>
            <w:r w:rsidR="00D254E9" w:rsidRPr="001427AF">
              <w:rPr>
                <w:rFonts w:ascii="Arial" w:hAnsi="Arial" w:cs="Arial"/>
                <w:bCs/>
                <w:iCs/>
                <w:sz w:val="20"/>
              </w:rPr>
              <w:t>here</w:t>
            </w:r>
            <w:proofErr w:type="gramEnd"/>
            <w:r w:rsidR="00D254E9" w:rsidRPr="001427AF">
              <w:rPr>
                <w:rFonts w:ascii="Arial" w:hAnsi="Arial" w:cs="Arial"/>
                <w:bCs/>
                <w:iCs/>
                <w:sz w:val="20"/>
              </w:rPr>
              <w:t xml:space="preserve"> is no longer a subgroup whose overall performance as measured by the School Performance Grade score is at or below the score designated for CSI-Low Performing identification and previously identified subgroup(s) improved performance on the School Performance Grade score as compared to the score at the time of identification.</w:t>
            </w:r>
          </w:p>
        </w:tc>
        <w:tc>
          <w:tcPr>
            <w:tcW w:w="685" w:type="pct"/>
          </w:tcPr>
          <w:p w14:paraId="0B1F1AC3" w14:textId="77777777" w:rsidR="00F77B4F" w:rsidRPr="001427AF" w:rsidRDefault="00F77B4F" w:rsidP="00F77B4F">
            <w:pPr>
              <w:contextualSpacing/>
              <w:rPr>
                <w:rFonts w:ascii="Arial" w:hAnsi="Arial" w:cs="Arial"/>
                <w:sz w:val="20"/>
              </w:rPr>
            </w:pPr>
            <w:r w:rsidRPr="001427AF">
              <w:rPr>
                <w:rFonts w:ascii="Arial" w:hAnsi="Arial" w:cs="Arial"/>
                <w:sz w:val="20"/>
              </w:rPr>
              <w:t>After 3 years, and then annually</w:t>
            </w:r>
          </w:p>
          <w:p w14:paraId="43527099" w14:textId="77777777" w:rsidR="00F77B4F" w:rsidRPr="001427AF" w:rsidRDefault="00F77B4F" w:rsidP="00F77B4F">
            <w:pPr>
              <w:contextualSpacing/>
              <w:rPr>
                <w:rFonts w:ascii="Arial" w:hAnsi="Arial" w:cs="Arial"/>
                <w:sz w:val="20"/>
              </w:rPr>
            </w:pPr>
          </w:p>
          <w:p w14:paraId="4CB67B8B" w14:textId="77777777" w:rsidR="00F77B4F" w:rsidRPr="001427AF" w:rsidRDefault="00F77B4F" w:rsidP="00F77B4F">
            <w:pPr>
              <w:contextualSpacing/>
              <w:rPr>
                <w:rFonts w:ascii="Arial" w:hAnsi="Arial" w:cs="Arial"/>
                <w:sz w:val="20"/>
              </w:rPr>
            </w:pPr>
            <w:r w:rsidRPr="001427AF">
              <w:rPr>
                <w:rFonts w:ascii="Arial" w:hAnsi="Arial" w:cs="Arial"/>
                <w:sz w:val="20"/>
              </w:rPr>
              <w:t>Cohort 1 and 2</w:t>
            </w:r>
          </w:p>
          <w:p w14:paraId="0FAE54CC" w14:textId="77777777" w:rsidR="00F77B4F" w:rsidRPr="001427AF" w:rsidRDefault="00F77B4F" w:rsidP="00F77B4F">
            <w:pPr>
              <w:contextualSpacing/>
              <w:rPr>
                <w:rFonts w:ascii="Arial" w:hAnsi="Arial" w:cs="Arial"/>
                <w:sz w:val="20"/>
              </w:rPr>
            </w:pPr>
            <w:r w:rsidRPr="001427AF">
              <w:rPr>
                <w:rFonts w:ascii="Arial" w:hAnsi="Arial" w:cs="Arial"/>
                <w:sz w:val="20"/>
              </w:rPr>
              <w:t>(annually)</w:t>
            </w:r>
          </w:p>
          <w:p w14:paraId="2DF7CCA9" w14:textId="77777777" w:rsidR="00F77B4F" w:rsidRPr="001427AF" w:rsidRDefault="00F77B4F" w:rsidP="00F77B4F">
            <w:pPr>
              <w:contextualSpacing/>
              <w:rPr>
                <w:rFonts w:ascii="Arial" w:hAnsi="Arial" w:cs="Arial"/>
                <w:sz w:val="20"/>
              </w:rPr>
            </w:pPr>
          </w:p>
          <w:p w14:paraId="16732BDD" w14:textId="77777777" w:rsidR="00F77B4F" w:rsidRPr="001427AF" w:rsidRDefault="00F77B4F" w:rsidP="00F77B4F">
            <w:pPr>
              <w:contextualSpacing/>
              <w:rPr>
                <w:rFonts w:ascii="Arial" w:hAnsi="Arial" w:cs="Arial"/>
                <w:sz w:val="20"/>
              </w:rPr>
            </w:pPr>
            <w:r w:rsidRPr="001427AF">
              <w:rPr>
                <w:rFonts w:ascii="Arial" w:hAnsi="Arial" w:cs="Arial"/>
                <w:sz w:val="20"/>
              </w:rPr>
              <w:t>Cohort 3</w:t>
            </w:r>
          </w:p>
          <w:p w14:paraId="4030C221" w14:textId="5B66872A" w:rsidR="005A5747" w:rsidRPr="001427AF" w:rsidRDefault="00F77B4F" w:rsidP="00F77B4F">
            <w:pPr>
              <w:contextualSpacing/>
              <w:rPr>
                <w:rFonts w:ascii="Arial" w:hAnsi="Arial" w:cs="Arial"/>
                <w:sz w:val="20"/>
              </w:rPr>
            </w:pPr>
            <w:r w:rsidRPr="001427AF">
              <w:rPr>
                <w:rFonts w:ascii="Arial" w:hAnsi="Arial" w:cs="Arial"/>
                <w:sz w:val="20"/>
              </w:rPr>
              <w:t>2028–29</w:t>
            </w:r>
          </w:p>
        </w:tc>
      </w:tr>
    </w:tbl>
    <w:p w14:paraId="367B1477" w14:textId="77777777" w:rsidR="00BA09D2" w:rsidRPr="001427AF" w:rsidRDefault="00BA09D2" w:rsidP="00D254E9">
      <w:pPr>
        <w:rPr>
          <w:rFonts w:ascii="Arial" w:hAnsi="Arial" w:cs="Arial"/>
          <w:b/>
          <w:bCs/>
          <w:sz w:val="20"/>
        </w:rPr>
      </w:pPr>
      <w:r w:rsidRPr="001427AF">
        <w:rPr>
          <w:rFonts w:ascii="Arial" w:hAnsi="Arial" w:cs="Arial"/>
          <w:b/>
          <w:bCs/>
          <w:sz w:val="20"/>
        </w:rPr>
        <w:br w:type="page"/>
      </w:r>
    </w:p>
    <w:p w14:paraId="60425C56" w14:textId="16CE7FAE" w:rsidR="00A6231B" w:rsidRPr="00807970" w:rsidRDefault="00A6231B" w:rsidP="00807970">
      <w:pPr>
        <w:spacing w:line="240" w:lineRule="auto"/>
        <w:rPr>
          <w:rFonts w:ascii="Arial" w:hAnsi="Arial" w:cs="Arial"/>
          <w:szCs w:val="24"/>
        </w:rPr>
      </w:pPr>
      <w:r w:rsidRPr="00807970">
        <w:rPr>
          <w:rFonts w:ascii="Arial" w:hAnsi="Arial" w:cs="Arial"/>
          <w:szCs w:val="24"/>
        </w:rPr>
        <w:lastRenderedPageBreak/>
        <w:t>Table 9.7.1.4 provides the identification and exit timeline for CSI-LP schools. To be identified as CSI-LP</w:t>
      </w:r>
      <w:r w:rsidR="006D6FDD" w:rsidRPr="00807970">
        <w:rPr>
          <w:rFonts w:ascii="Arial" w:hAnsi="Arial" w:cs="Arial"/>
          <w:szCs w:val="24"/>
        </w:rPr>
        <w:t>, a school must p</w:t>
      </w:r>
      <w:r w:rsidR="006D6FDD" w:rsidRPr="00807970">
        <w:rPr>
          <w:rFonts w:ascii="Arial" w:hAnsi="Arial" w:cs="Arial"/>
          <w:color w:val="auto"/>
          <w:szCs w:val="24"/>
        </w:rPr>
        <w:t>erform in the lowest 5%</w:t>
      </w:r>
      <w:r w:rsidR="006D6FDD" w:rsidRPr="00807970" w:rsidDel="00864EFE">
        <w:rPr>
          <w:rFonts w:ascii="Arial" w:hAnsi="Arial" w:cs="Arial"/>
          <w:color w:val="auto"/>
          <w:szCs w:val="24"/>
        </w:rPr>
        <w:t xml:space="preserve"> </w:t>
      </w:r>
      <w:r w:rsidR="006D6FDD" w:rsidRPr="00807970">
        <w:rPr>
          <w:rFonts w:ascii="Arial" w:hAnsi="Arial" w:cs="Arial"/>
          <w:color w:val="auto"/>
          <w:szCs w:val="24"/>
        </w:rPr>
        <w:t>of all Title I served schools using the NC statewide system of annual meaningful differentiation (i.e., School Performance Grades).</w:t>
      </w:r>
      <w:r w:rsidR="006D6FDD" w:rsidRPr="00622D3F">
        <w:rPr>
          <w:rFonts w:ascii="Arial" w:hAnsi="Arial" w:cs="Arial"/>
          <w:color w:val="auto"/>
          <w:szCs w:val="24"/>
        </w:rPr>
        <w:t xml:space="preserve"> To exit </w:t>
      </w:r>
      <w:r w:rsidR="00622D3F" w:rsidRPr="00622D3F">
        <w:rPr>
          <w:rFonts w:ascii="Arial" w:hAnsi="Arial" w:cs="Arial"/>
          <w:color w:val="auto"/>
          <w:szCs w:val="24"/>
        </w:rPr>
        <w:t>the CSI-LP designation, a school must a</w:t>
      </w:r>
      <w:r w:rsidR="00622D3F" w:rsidRPr="00807970">
        <w:rPr>
          <w:rFonts w:ascii="Arial" w:hAnsi="Arial" w:cs="Arial"/>
          <w:color w:val="auto"/>
          <w:szCs w:val="24"/>
        </w:rPr>
        <w:t>chieve above the lowest 5%</w:t>
      </w:r>
      <w:r w:rsidR="00622D3F" w:rsidRPr="00807970" w:rsidDel="00864EFE">
        <w:rPr>
          <w:rFonts w:ascii="Arial" w:hAnsi="Arial" w:cs="Arial"/>
          <w:color w:val="auto"/>
          <w:szCs w:val="24"/>
        </w:rPr>
        <w:t xml:space="preserve"> </w:t>
      </w:r>
      <w:r w:rsidR="00622D3F" w:rsidRPr="00807970">
        <w:rPr>
          <w:rFonts w:ascii="Arial" w:hAnsi="Arial" w:cs="Arial"/>
          <w:color w:val="auto"/>
          <w:szCs w:val="24"/>
        </w:rPr>
        <w:t xml:space="preserve">of Title I served schools for the most recent and previous school year </w:t>
      </w:r>
      <w:r w:rsidR="00622D3F" w:rsidRPr="00807970">
        <w:rPr>
          <w:rFonts w:ascii="Arial" w:hAnsi="Arial" w:cs="Arial"/>
          <w:i/>
          <w:color w:val="auto"/>
          <w:szCs w:val="24"/>
        </w:rPr>
        <w:t>and</w:t>
      </w:r>
      <w:r w:rsidR="00622D3F" w:rsidRPr="00807970">
        <w:rPr>
          <w:rFonts w:ascii="Arial" w:hAnsi="Arial" w:cs="Arial"/>
          <w:color w:val="auto"/>
          <w:szCs w:val="24"/>
        </w:rPr>
        <w:t xml:space="preserve"> meet measure of interim progress for the </w:t>
      </w:r>
      <w:proofErr w:type="gramStart"/>
      <w:r w:rsidR="00622D3F" w:rsidRPr="00807970">
        <w:rPr>
          <w:rFonts w:ascii="Arial" w:hAnsi="Arial" w:cs="Arial"/>
          <w:color w:val="auto"/>
          <w:szCs w:val="24"/>
        </w:rPr>
        <w:t>All Student</w:t>
      </w:r>
      <w:proofErr w:type="gramEnd"/>
      <w:r w:rsidR="00622D3F" w:rsidRPr="00807970">
        <w:rPr>
          <w:rFonts w:ascii="Arial" w:hAnsi="Arial" w:cs="Arial"/>
          <w:color w:val="auto"/>
          <w:szCs w:val="24"/>
        </w:rPr>
        <w:t xml:space="preserve"> subgroup in all subjects (i.e., reading and math).</w:t>
      </w:r>
    </w:p>
    <w:p w14:paraId="3B65B7FC" w14:textId="77777777" w:rsidR="00A6231B" w:rsidRDefault="00A6231B" w:rsidP="00D254E9">
      <w:pPr>
        <w:rPr>
          <w:rFonts w:ascii="Arial" w:hAnsi="Arial" w:cs="Arial"/>
          <w:sz w:val="20"/>
        </w:rPr>
      </w:pPr>
    </w:p>
    <w:p w14:paraId="2CDDAC1F" w14:textId="0D767957" w:rsidR="00E623C3" w:rsidRDefault="00D254E9" w:rsidP="00D254E9">
      <w:pPr>
        <w:rPr>
          <w:rFonts w:ascii="Arial" w:hAnsi="Arial" w:cs="Arial"/>
          <w:sz w:val="20"/>
        </w:rPr>
      </w:pPr>
      <w:r w:rsidRPr="001427AF">
        <w:rPr>
          <w:rFonts w:ascii="Arial" w:hAnsi="Arial" w:cs="Arial"/>
          <w:sz w:val="20"/>
        </w:rPr>
        <w:t>TABLE 9.7.1.4. CSI</w:t>
      </w:r>
      <w:r w:rsidR="00546159">
        <w:rPr>
          <w:rFonts w:ascii="Arial" w:hAnsi="Arial" w:cs="Arial"/>
          <w:sz w:val="20"/>
        </w:rPr>
        <w:t>- Low Performin</w:t>
      </w:r>
      <w:r w:rsidR="00E623C3">
        <w:rPr>
          <w:rFonts w:ascii="Arial" w:hAnsi="Arial" w:cs="Arial"/>
          <w:sz w:val="20"/>
        </w:rPr>
        <w:t xml:space="preserve">g </w:t>
      </w:r>
      <w:r w:rsidRPr="001427AF">
        <w:rPr>
          <w:rFonts w:ascii="Arial" w:hAnsi="Arial" w:cs="Arial"/>
          <w:sz w:val="20"/>
        </w:rPr>
        <w:t xml:space="preserve">school identification </w:t>
      </w:r>
      <w:r w:rsidR="00632152">
        <w:rPr>
          <w:rFonts w:ascii="Arial" w:hAnsi="Arial" w:cs="Arial"/>
          <w:sz w:val="20"/>
        </w:rPr>
        <w:t xml:space="preserve">and </w:t>
      </w:r>
      <w:r w:rsidR="000025F4">
        <w:rPr>
          <w:rFonts w:ascii="Arial" w:hAnsi="Arial" w:cs="Arial"/>
          <w:sz w:val="20"/>
        </w:rPr>
        <w:t xml:space="preserve">exit </w:t>
      </w:r>
      <w:r w:rsidRPr="001427AF">
        <w:rPr>
          <w:rFonts w:ascii="Arial" w:hAnsi="Arial" w:cs="Arial"/>
          <w:sz w:val="20"/>
        </w:rPr>
        <w:t>timeline</w:t>
      </w:r>
    </w:p>
    <w:tbl>
      <w:tblPr>
        <w:tblStyle w:val="GridTable4-Accent3"/>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070"/>
        <w:gridCol w:w="1066"/>
        <w:gridCol w:w="1067"/>
        <w:gridCol w:w="1067"/>
        <w:gridCol w:w="1066"/>
        <w:gridCol w:w="1066"/>
        <w:gridCol w:w="1066"/>
        <w:gridCol w:w="1117"/>
        <w:gridCol w:w="1066"/>
        <w:gridCol w:w="1066"/>
        <w:gridCol w:w="1117"/>
      </w:tblGrid>
      <w:tr w:rsidR="000779D3" w14:paraId="689CE867" w14:textId="22F02CC3" w:rsidTr="00A955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vAlign w:val="center"/>
          </w:tcPr>
          <w:p w14:paraId="430B5E6D" w14:textId="31A4AE1D" w:rsidR="000779D3" w:rsidRDefault="000779D3" w:rsidP="008E4FD8">
            <w:pPr>
              <w:jc w:val="center"/>
              <w:rPr>
                <w:rFonts w:ascii="Arial" w:hAnsi="Arial" w:cs="Arial"/>
                <w:sz w:val="20"/>
              </w:rPr>
            </w:pPr>
            <w:r w:rsidRPr="00C27664">
              <w:rPr>
                <w:rFonts w:ascii="Arial" w:hAnsi="Arial" w:cs="Arial"/>
                <w:color w:val="auto"/>
                <w:sz w:val="20"/>
              </w:rPr>
              <w:t>2017–18</w:t>
            </w:r>
          </w:p>
        </w:tc>
        <w:tc>
          <w:tcPr>
            <w:tcW w:w="1070" w:type="dxa"/>
            <w:vAlign w:val="center"/>
          </w:tcPr>
          <w:p w14:paraId="263251B1" w14:textId="15B86B4D"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2018–19</w:t>
            </w:r>
          </w:p>
        </w:tc>
        <w:tc>
          <w:tcPr>
            <w:tcW w:w="1066" w:type="dxa"/>
            <w:vAlign w:val="center"/>
          </w:tcPr>
          <w:p w14:paraId="7374C1D3" w14:textId="5EF91780"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2019–20</w:t>
            </w:r>
          </w:p>
        </w:tc>
        <w:tc>
          <w:tcPr>
            <w:tcW w:w="1067" w:type="dxa"/>
            <w:vAlign w:val="center"/>
          </w:tcPr>
          <w:p w14:paraId="613CA347" w14:textId="150781FD"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2020–21</w:t>
            </w:r>
          </w:p>
        </w:tc>
        <w:tc>
          <w:tcPr>
            <w:tcW w:w="1067" w:type="dxa"/>
            <w:vAlign w:val="center"/>
          </w:tcPr>
          <w:p w14:paraId="6E50BCB9" w14:textId="5C127D62"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2021–22</w:t>
            </w:r>
          </w:p>
        </w:tc>
        <w:tc>
          <w:tcPr>
            <w:tcW w:w="1066" w:type="dxa"/>
            <w:vAlign w:val="center"/>
          </w:tcPr>
          <w:p w14:paraId="2A64EE8F" w14:textId="4C60F477"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2022–23</w:t>
            </w:r>
          </w:p>
        </w:tc>
        <w:tc>
          <w:tcPr>
            <w:tcW w:w="1066" w:type="dxa"/>
            <w:vAlign w:val="center"/>
          </w:tcPr>
          <w:p w14:paraId="7D20A668" w14:textId="3E8F473B"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2023–24</w:t>
            </w:r>
          </w:p>
        </w:tc>
        <w:tc>
          <w:tcPr>
            <w:tcW w:w="1066" w:type="dxa"/>
            <w:vAlign w:val="center"/>
          </w:tcPr>
          <w:p w14:paraId="72F1EA1C" w14:textId="19AC7FA6"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2024–25</w:t>
            </w:r>
          </w:p>
        </w:tc>
        <w:tc>
          <w:tcPr>
            <w:tcW w:w="1117" w:type="dxa"/>
          </w:tcPr>
          <w:p w14:paraId="45AF39FE" w14:textId="09A9B549"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2025–26</w:t>
            </w:r>
          </w:p>
        </w:tc>
        <w:tc>
          <w:tcPr>
            <w:tcW w:w="1066" w:type="dxa"/>
          </w:tcPr>
          <w:p w14:paraId="6E50AEFF" w14:textId="4E9C6AEA"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2026–27</w:t>
            </w:r>
          </w:p>
        </w:tc>
        <w:tc>
          <w:tcPr>
            <w:tcW w:w="1066" w:type="dxa"/>
          </w:tcPr>
          <w:p w14:paraId="285651CB" w14:textId="61BE7217"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2027–28</w:t>
            </w:r>
          </w:p>
        </w:tc>
        <w:tc>
          <w:tcPr>
            <w:tcW w:w="1117" w:type="dxa"/>
          </w:tcPr>
          <w:p w14:paraId="128C949E" w14:textId="622BC973" w:rsidR="000779D3" w:rsidRDefault="000779D3" w:rsidP="008E4FD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2028–29</w:t>
            </w:r>
          </w:p>
        </w:tc>
      </w:tr>
      <w:tr w:rsidR="00033A5A" w14:paraId="133715D4" w14:textId="30D6976D" w:rsidTr="00A95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Pr>
          <w:p w14:paraId="668CA4BC" w14:textId="1C0B0BBF" w:rsidR="000779D3" w:rsidRPr="00B578F5" w:rsidRDefault="000779D3" w:rsidP="008E4FD8">
            <w:pPr>
              <w:jc w:val="center"/>
              <w:rPr>
                <w:rFonts w:ascii="Arial" w:hAnsi="Arial" w:cs="Arial"/>
                <w:b w:val="0"/>
                <w:bCs w:val="0"/>
                <w:sz w:val="20"/>
              </w:rPr>
            </w:pPr>
            <w:proofErr w:type="gramStart"/>
            <w:r w:rsidRPr="00B578F5">
              <w:rPr>
                <w:rFonts w:ascii="Arial" w:hAnsi="Arial" w:cs="Arial"/>
                <w:b w:val="0"/>
                <w:bCs w:val="0"/>
                <w:color w:val="auto"/>
                <w:sz w:val="20"/>
              </w:rPr>
              <w:t>Continue</w:t>
            </w:r>
            <w:proofErr w:type="gramEnd"/>
            <w:r w:rsidRPr="00B578F5">
              <w:rPr>
                <w:rFonts w:ascii="Arial" w:hAnsi="Arial" w:cs="Arial"/>
                <w:b w:val="0"/>
                <w:bCs w:val="0"/>
                <w:color w:val="auto"/>
                <w:sz w:val="20"/>
              </w:rPr>
              <w:t xml:space="preserve"> services for priority schools using NC ESEA flexibility definition</w:t>
            </w:r>
          </w:p>
        </w:tc>
        <w:tc>
          <w:tcPr>
            <w:tcW w:w="1070" w:type="dxa"/>
          </w:tcPr>
          <w:p w14:paraId="3C98C106" w14:textId="6ECE62F2"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2018</w:t>
            </w:r>
            <w:r w:rsidRPr="00C27664">
              <w:rPr>
                <w:rFonts w:ascii="Arial" w:hAnsi="Arial" w:cs="Arial"/>
                <w:b/>
                <w:color w:val="auto"/>
                <w:sz w:val="20"/>
              </w:rPr>
              <w:t>–</w:t>
            </w:r>
            <w:r w:rsidRPr="00C27664">
              <w:rPr>
                <w:rFonts w:ascii="Arial" w:hAnsi="Arial" w:cs="Arial"/>
                <w:color w:val="auto"/>
                <w:sz w:val="20"/>
              </w:rPr>
              <w:t>19 CSI schools (planning year)</w:t>
            </w:r>
          </w:p>
        </w:tc>
        <w:tc>
          <w:tcPr>
            <w:tcW w:w="1066" w:type="dxa"/>
          </w:tcPr>
          <w:p w14:paraId="4B31DF44" w14:textId="7EB6BF78"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67" w:type="dxa"/>
          </w:tcPr>
          <w:p w14:paraId="534F169C" w14:textId="43DC4B9D"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67" w:type="dxa"/>
          </w:tcPr>
          <w:p w14:paraId="1C232F86" w14:textId="754DAAF6"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66" w:type="dxa"/>
            <w:shd w:val="clear" w:color="auto" w:fill="C5E0B3" w:themeFill="accent6" w:themeFillTint="66"/>
          </w:tcPr>
          <w:p w14:paraId="0CE2DAC9" w14:textId="3FA492E8"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Exit criteria applied for 2018</w:t>
            </w:r>
            <w:r w:rsidRPr="00C27664">
              <w:rPr>
                <w:rFonts w:ascii="Arial" w:hAnsi="Arial" w:cs="Arial"/>
                <w:b/>
                <w:color w:val="auto"/>
                <w:sz w:val="20"/>
              </w:rPr>
              <w:t>–</w:t>
            </w:r>
            <w:r w:rsidRPr="00C27664">
              <w:rPr>
                <w:rFonts w:ascii="Arial" w:hAnsi="Arial" w:cs="Arial"/>
                <w:color w:val="auto"/>
                <w:sz w:val="20"/>
              </w:rPr>
              <w:t>19 identified schools</w:t>
            </w:r>
          </w:p>
        </w:tc>
        <w:tc>
          <w:tcPr>
            <w:tcW w:w="1066" w:type="dxa"/>
          </w:tcPr>
          <w:p w14:paraId="75EFFFD9" w14:textId="27A4ABB8"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and 2022</w:t>
            </w:r>
            <w:r w:rsidRPr="00C27664">
              <w:rPr>
                <w:rFonts w:ascii="Arial" w:hAnsi="Arial" w:cs="Arial"/>
                <w:b/>
                <w:color w:val="auto"/>
                <w:sz w:val="20"/>
              </w:rPr>
              <w:t>–</w:t>
            </w:r>
            <w:r w:rsidRPr="00C27664">
              <w:rPr>
                <w:rFonts w:ascii="Arial" w:hAnsi="Arial" w:cs="Arial"/>
                <w:color w:val="auto"/>
                <w:sz w:val="20"/>
              </w:rPr>
              <w:t>23 identified schools that did not meet exit criteria</w:t>
            </w:r>
          </w:p>
        </w:tc>
        <w:tc>
          <w:tcPr>
            <w:tcW w:w="1066" w:type="dxa"/>
          </w:tcPr>
          <w:p w14:paraId="337BF190" w14:textId="735C78B9"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and 2022</w:t>
            </w:r>
            <w:r w:rsidRPr="00C27664">
              <w:rPr>
                <w:rFonts w:ascii="Arial" w:hAnsi="Arial" w:cs="Arial"/>
                <w:b/>
                <w:color w:val="auto"/>
                <w:sz w:val="20"/>
              </w:rPr>
              <w:t>–</w:t>
            </w:r>
            <w:r w:rsidRPr="00C27664">
              <w:rPr>
                <w:rFonts w:ascii="Arial" w:hAnsi="Arial" w:cs="Arial"/>
                <w:color w:val="auto"/>
                <w:sz w:val="20"/>
              </w:rPr>
              <w:t>23 identified schools that did not meet exit criteria</w:t>
            </w:r>
          </w:p>
        </w:tc>
        <w:tc>
          <w:tcPr>
            <w:tcW w:w="1117" w:type="dxa"/>
            <w:shd w:val="clear" w:color="auto" w:fill="C5E0B3" w:themeFill="accent6" w:themeFillTint="66"/>
          </w:tcPr>
          <w:p w14:paraId="34EEE74C" w14:textId="3D904AF7"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Exit criteria applied for all previously identified schools</w:t>
            </w:r>
          </w:p>
        </w:tc>
        <w:tc>
          <w:tcPr>
            <w:tcW w:w="1066" w:type="dxa"/>
          </w:tcPr>
          <w:p w14:paraId="4C2C1B1C" w14:textId="6398C603"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all identified schools that did not meet exit criteria</w:t>
            </w:r>
          </w:p>
        </w:tc>
        <w:tc>
          <w:tcPr>
            <w:tcW w:w="1066" w:type="dxa"/>
          </w:tcPr>
          <w:p w14:paraId="5318EC78" w14:textId="76F14A96"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all identified schools that did not meet exit criteria</w:t>
            </w:r>
          </w:p>
        </w:tc>
        <w:tc>
          <w:tcPr>
            <w:tcW w:w="1117" w:type="dxa"/>
            <w:shd w:val="clear" w:color="auto" w:fill="C5E0B3" w:themeFill="accent6" w:themeFillTint="66"/>
          </w:tcPr>
          <w:p w14:paraId="7E3495A0" w14:textId="21C7531B" w:rsidR="000779D3" w:rsidRDefault="000779D3" w:rsidP="008E4F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Exit criteria applied for all previously identified schools</w:t>
            </w:r>
          </w:p>
        </w:tc>
      </w:tr>
      <w:tr w:rsidR="00033A5A" w14:paraId="6F7B28F4" w14:textId="2A0715DE" w:rsidTr="00A95586">
        <w:tc>
          <w:tcPr>
            <w:cnfStyle w:val="001000000000" w:firstRow="0" w:lastRow="0" w:firstColumn="1" w:lastColumn="0" w:oddVBand="0" w:evenVBand="0" w:oddHBand="0" w:evenHBand="0" w:firstRowFirstColumn="0" w:firstRowLastColumn="0" w:lastRowFirstColumn="0" w:lastRowLastColumn="0"/>
            <w:tcW w:w="1116" w:type="dxa"/>
            <w:vAlign w:val="center"/>
          </w:tcPr>
          <w:p w14:paraId="434D325E" w14:textId="1DA6D770" w:rsidR="008E4FD8" w:rsidRDefault="00177444" w:rsidP="008E4FD8">
            <w:pPr>
              <w:jc w:val="center"/>
              <w:rPr>
                <w:rFonts w:ascii="Arial" w:hAnsi="Arial" w:cs="Arial"/>
                <w:sz w:val="20"/>
              </w:rPr>
            </w:pPr>
            <w:r>
              <w:rPr>
                <w:rFonts w:ascii="Arial" w:hAnsi="Arial" w:cs="Arial"/>
                <w:sz w:val="20"/>
              </w:rPr>
              <w:t>-</w:t>
            </w:r>
          </w:p>
        </w:tc>
        <w:tc>
          <w:tcPr>
            <w:tcW w:w="1070" w:type="dxa"/>
            <w:vAlign w:val="center"/>
          </w:tcPr>
          <w:p w14:paraId="03921D83" w14:textId="049F4C65"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vAlign w:val="center"/>
          </w:tcPr>
          <w:p w14:paraId="1782EA82" w14:textId="6E4284AC"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7" w:type="dxa"/>
            <w:vAlign w:val="center"/>
          </w:tcPr>
          <w:p w14:paraId="146B2E62" w14:textId="08E8AD5A"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7" w:type="dxa"/>
            <w:vAlign w:val="center"/>
          </w:tcPr>
          <w:p w14:paraId="6EDF1F12" w14:textId="614F1AB4"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shd w:val="clear" w:color="auto" w:fill="ACB9CA" w:themeFill="text2" w:themeFillTint="66"/>
            <w:vAlign w:val="center"/>
          </w:tcPr>
          <w:p w14:paraId="00B7DB98" w14:textId="281B3EA0" w:rsidR="008E4FD8" w:rsidRDefault="008E4FD8" w:rsidP="0061790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Identify</w:t>
            </w:r>
            <w:r w:rsidR="00617907" w:rsidRPr="00BF1F0E">
              <w:rPr>
                <w:rFonts w:ascii="Arial" w:hAnsi="Arial" w:cs="Arial"/>
                <w:color w:val="auto"/>
                <w:sz w:val="20"/>
              </w:rPr>
              <w:t xml:space="preserve"> </w:t>
            </w:r>
            <w:r w:rsidRPr="00C27664">
              <w:rPr>
                <w:rFonts w:ascii="Arial" w:hAnsi="Arial" w:cs="Arial"/>
                <w:color w:val="auto"/>
                <w:sz w:val="20"/>
              </w:rPr>
              <w:t>2022</w:t>
            </w:r>
            <w:r w:rsidRPr="00C27664">
              <w:rPr>
                <w:rFonts w:ascii="Arial" w:hAnsi="Arial" w:cs="Arial"/>
                <w:b/>
                <w:color w:val="auto"/>
                <w:sz w:val="20"/>
              </w:rPr>
              <w:t>–</w:t>
            </w:r>
            <w:r w:rsidRPr="00C27664">
              <w:rPr>
                <w:rFonts w:ascii="Arial" w:hAnsi="Arial" w:cs="Arial"/>
                <w:color w:val="auto"/>
                <w:sz w:val="20"/>
              </w:rPr>
              <w:t>23</w:t>
            </w:r>
            <w:r w:rsidR="00617907" w:rsidRPr="00BF1F0E">
              <w:rPr>
                <w:rFonts w:ascii="Arial" w:hAnsi="Arial" w:cs="Arial"/>
                <w:color w:val="auto"/>
                <w:sz w:val="20"/>
              </w:rPr>
              <w:t xml:space="preserve"> </w:t>
            </w:r>
            <w:r w:rsidRPr="00C27664">
              <w:rPr>
                <w:rFonts w:ascii="Arial" w:hAnsi="Arial" w:cs="Arial"/>
                <w:color w:val="auto"/>
                <w:sz w:val="20"/>
              </w:rPr>
              <w:t>CSI schools</w:t>
            </w:r>
          </w:p>
        </w:tc>
        <w:tc>
          <w:tcPr>
            <w:tcW w:w="1066" w:type="dxa"/>
            <w:vAlign w:val="center"/>
          </w:tcPr>
          <w:p w14:paraId="287018FB" w14:textId="32C05065"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vAlign w:val="center"/>
          </w:tcPr>
          <w:p w14:paraId="6CDEA3C3" w14:textId="16D906D7"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117" w:type="dxa"/>
            <w:shd w:val="clear" w:color="auto" w:fill="ACB9CA" w:themeFill="text2" w:themeFillTint="66"/>
            <w:vAlign w:val="center"/>
          </w:tcPr>
          <w:p w14:paraId="343D5FEF" w14:textId="1184E670" w:rsidR="008E4FD8" w:rsidRDefault="008E4FD8" w:rsidP="0061790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Identify</w:t>
            </w:r>
            <w:r w:rsidR="00617907" w:rsidRPr="00BF1F0E">
              <w:rPr>
                <w:rFonts w:ascii="Arial" w:hAnsi="Arial" w:cs="Arial"/>
                <w:color w:val="auto"/>
                <w:sz w:val="20"/>
              </w:rPr>
              <w:t xml:space="preserve"> </w:t>
            </w:r>
            <w:r w:rsidRPr="00C27664">
              <w:rPr>
                <w:rFonts w:ascii="Arial" w:hAnsi="Arial" w:cs="Arial"/>
                <w:color w:val="auto"/>
                <w:sz w:val="20"/>
              </w:rPr>
              <w:t>2025</w:t>
            </w:r>
            <w:r w:rsidRPr="00C27664">
              <w:rPr>
                <w:rFonts w:ascii="Arial" w:hAnsi="Arial" w:cs="Arial"/>
                <w:b/>
                <w:color w:val="auto"/>
                <w:sz w:val="20"/>
              </w:rPr>
              <w:t>–</w:t>
            </w:r>
            <w:r w:rsidRPr="00C27664">
              <w:rPr>
                <w:rFonts w:ascii="Arial" w:hAnsi="Arial" w:cs="Arial"/>
                <w:color w:val="auto"/>
                <w:sz w:val="20"/>
              </w:rPr>
              <w:t>26</w:t>
            </w:r>
            <w:r w:rsidR="00617907" w:rsidRPr="00BF1F0E">
              <w:rPr>
                <w:rFonts w:ascii="Arial" w:hAnsi="Arial" w:cs="Arial"/>
                <w:color w:val="auto"/>
                <w:sz w:val="20"/>
              </w:rPr>
              <w:t xml:space="preserve"> </w:t>
            </w:r>
            <w:r w:rsidRPr="00C27664">
              <w:rPr>
                <w:rFonts w:ascii="Arial" w:hAnsi="Arial" w:cs="Arial"/>
                <w:color w:val="auto"/>
                <w:sz w:val="20"/>
              </w:rPr>
              <w:t>CSI schools</w:t>
            </w:r>
          </w:p>
        </w:tc>
        <w:tc>
          <w:tcPr>
            <w:tcW w:w="1066" w:type="dxa"/>
            <w:vAlign w:val="center"/>
          </w:tcPr>
          <w:p w14:paraId="31962379" w14:textId="1EE818E9"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vAlign w:val="center"/>
          </w:tcPr>
          <w:p w14:paraId="67DBB604" w14:textId="49105BF7" w:rsidR="008E4FD8" w:rsidRDefault="001D414A" w:rsidP="008E4F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117" w:type="dxa"/>
            <w:shd w:val="clear" w:color="auto" w:fill="ACB9CA" w:themeFill="text2" w:themeFillTint="66"/>
          </w:tcPr>
          <w:p w14:paraId="72E2A838" w14:textId="52AF6B64" w:rsidR="008E4FD8" w:rsidRDefault="008E4FD8" w:rsidP="0061790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Identify</w:t>
            </w:r>
            <w:r w:rsidR="00617907" w:rsidRPr="00BF1F0E">
              <w:rPr>
                <w:rFonts w:ascii="Arial" w:hAnsi="Arial" w:cs="Arial"/>
                <w:color w:val="auto"/>
                <w:sz w:val="20"/>
              </w:rPr>
              <w:t xml:space="preserve"> </w:t>
            </w:r>
            <w:r w:rsidRPr="00C27664">
              <w:rPr>
                <w:rFonts w:ascii="Arial" w:hAnsi="Arial" w:cs="Arial"/>
                <w:color w:val="auto"/>
                <w:sz w:val="20"/>
              </w:rPr>
              <w:t>2028</w:t>
            </w:r>
            <w:r w:rsidRPr="00C27664">
              <w:rPr>
                <w:rFonts w:ascii="Arial" w:hAnsi="Arial" w:cs="Arial"/>
                <w:b/>
                <w:color w:val="auto"/>
                <w:sz w:val="20"/>
              </w:rPr>
              <w:t>–</w:t>
            </w:r>
            <w:r w:rsidRPr="00C27664">
              <w:rPr>
                <w:rFonts w:ascii="Arial" w:hAnsi="Arial" w:cs="Arial"/>
                <w:color w:val="auto"/>
                <w:sz w:val="20"/>
              </w:rPr>
              <w:t>29</w:t>
            </w:r>
            <w:r w:rsidR="00617907" w:rsidRPr="00BF1F0E">
              <w:rPr>
                <w:rFonts w:ascii="Arial" w:hAnsi="Arial" w:cs="Arial"/>
                <w:color w:val="auto"/>
                <w:sz w:val="20"/>
              </w:rPr>
              <w:t xml:space="preserve"> </w:t>
            </w:r>
            <w:r w:rsidRPr="00C27664">
              <w:rPr>
                <w:rFonts w:ascii="Arial" w:hAnsi="Arial" w:cs="Arial"/>
                <w:color w:val="auto"/>
                <w:sz w:val="20"/>
              </w:rPr>
              <w:t>CSI schools</w:t>
            </w:r>
          </w:p>
        </w:tc>
      </w:tr>
    </w:tbl>
    <w:p w14:paraId="74BB6ECE" w14:textId="77777777" w:rsidR="00F948CB" w:rsidRPr="00BF1F0E" w:rsidRDefault="00F948CB">
      <w:pPr>
        <w:spacing w:line="240" w:lineRule="auto"/>
        <w:rPr>
          <w:rFonts w:ascii="Arial" w:hAnsi="Arial" w:cs="Arial"/>
          <w:szCs w:val="24"/>
        </w:rPr>
      </w:pPr>
      <w:r w:rsidRPr="00BF1F0E">
        <w:rPr>
          <w:rFonts w:ascii="Arial" w:hAnsi="Arial" w:cs="Arial"/>
          <w:szCs w:val="24"/>
        </w:rPr>
        <w:br w:type="page"/>
      </w:r>
    </w:p>
    <w:p w14:paraId="58B64D06" w14:textId="718E2201" w:rsidR="000208E2" w:rsidRPr="001F4DD9" w:rsidRDefault="000208E2" w:rsidP="00CC28A4">
      <w:pPr>
        <w:spacing w:line="240" w:lineRule="auto"/>
        <w:rPr>
          <w:rFonts w:ascii="Arial" w:hAnsi="Arial" w:cs="Arial"/>
          <w:szCs w:val="24"/>
        </w:rPr>
      </w:pPr>
      <w:r w:rsidRPr="00CC28A4">
        <w:rPr>
          <w:rFonts w:ascii="Arial" w:hAnsi="Arial" w:cs="Arial"/>
          <w:szCs w:val="24"/>
        </w:rPr>
        <w:lastRenderedPageBreak/>
        <w:t xml:space="preserve">Table 9.7.1.5 provides the identification and exit timeline for CSI-LG schools. To be identified as CSI-LG, </w:t>
      </w:r>
      <w:r w:rsidRPr="001F4DD9">
        <w:rPr>
          <w:rFonts w:ascii="Arial" w:hAnsi="Arial" w:cs="Arial"/>
          <w:color w:val="auto"/>
          <w:szCs w:val="24"/>
        </w:rPr>
        <w:t>high schools with a four-year cohort graduation rate fall below 66.7%.</w:t>
      </w:r>
      <w:r w:rsidRPr="00CC28A4">
        <w:rPr>
          <w:rFonts w:ascii="Arial" w:hAnsi="Arial" w:cs="Arial"/>
          <w:color w:val="auto"/>
          <w:szCs w:val="24"/>
        </w:rPr>
        <w:t xml:space="preserve"> To exit the CSI-L</w:t>
      </w:r>
      <w:r w:rsidR="00CC28A4" w:rsidRPr="00CC28A4">
        <w:rPr>
          <w:rFonts w:ascii="Arial" w:hAnsi="Arial" w:cs="Arial"/>
          <w:color w:val="auto"/>
          <w:szCs w:val="24"/>
        </w:rPr>
        <w:t>G</w:t>
      </w:r>
      <w:r w:rsidRPr="00CC28A4">
        <w:rPr>
          <w:rFonts w:ascii="Arial" w:hAnsi="Arial" w:cs="Arial"/>
          <w:color w:val="auto"/>
          <w:szCs w:val="24"/>
        </w:rPr>
        <w:t xml:space="preserve"> designation, </w:t>
      </w:r>
      <w:r w:rsidR="00CC28A4" w:rsidRPr="00CC28A4">
        <w:rPr>
          <w:rFonts w:ascii="Arial" w:hAnsi="Arial" w:cs="Arial"/>
          <w:color w:val="auto"/>
          <w:szCs w:val="24"/>
        </w:rPr>
        <w:t>high schools must a</w:t>
      </w:r>
      <w:r w:rsidR="00CC28A4" w:rsidRPr="001F4DD9">
        <w:rPr>
          <w:rFonts w:ascii="Arial" w:hAnsi="Arial" w:cs="Arial"/>
          <w:color w:val="auto"/>
          <w:szCs w:val="24"/>
        </w:rPr>
        <w:t>chieve a four-</w:t>
      </w:r>
      <w:proofErr w:type="gramStart"/>
      <w:r w:rsidR="00CC28A4" w:rsidRPr="001F4DD9">
        <w:rPr>
          <w:rFonts w:ascii="Arial" w:hAnsi="Arial" w:cs="Arial"/>
          <w:color w:val="auto"/>
          <w:szCs w:val="24"/>
        </w:rPr>
        <w:t>year cohort</w:t>
      </w:r>
      <w:proofErr w:type="gramEnd"/>
      <w:r w:rsidR="00CC28A4" w:rsidRPr="001F4DD9">
        <w:rPr>
          <w:rFonts w:ascii="Arial" w:hAnsi="Arial" w:cs="Arial"/>
          <w:color w:val="auto"/>
          <w:szCs w:val="24"/>
        </w:rPr>
        <w:t xml:space="preserve"> graduation rate above or equal to 66.7%</w:t>
      </w:r>
      <w:r w:rsidR="00CC28A4" w:rsidRPr="001F4DD9" w:rsidDel="00864EFE">
        <w:rPr>
          <w:rFonts w:ascii="Arial" w:hAnsi="Arial" w:cs="Arial"/>
          <w:color w:val="auto"/>
          <w:szCs w:val="24"/>
        </w:rPr>
        <w:t xml:space="preserve"> </w:t>
      </w:r>
      <w:r w:rsidR="00CC28A4" w:rsidRPr="001F4DD9">
        <w:rPr>
          <w:rFonts w:ascii="Arial" w:hAnsi="Arial" w:cs="Arial"/>
          <w:color w:val="auto"/>
          <w:szCs w:val="24"/>
        </w:rPr>
        <w:t>for the most recent and previous school year.</w:t>
      </w:r>
    </w:p>
    <w:p w14:paraId="1E05743B" w14:textId="5B924DD0" w:rsidR="00FF233A" w:rsidRDefault="00FF233A">
      <w:pPr>
        <w:spacing w:line="240" w:lineRule="auto"/>
        <w:rPr>
          <w:rFonts w:ascii="Arial" w:hAnsi="Arial" w:cs="Arial"/>
          <w:sz w:val="20"/>
        </w:rPr>
      </w:pPr>
    </w:p>
    <w:p w14:paraId="6CC65A6C" w14:textId="7A0E9F62" w:rsidR="002348D2" w:rsidRDefault="002348D2" w:rsidP="00D254E9">
      <w:pPr>
        <w:rPr>
          <w:rFonts w:ascii="Arial" w:hAnsi="Arial" w:cs="Arial"/>
          <w:sz w:val="20"/>
        </w:rPr>
      </w:pPr>
      <w:r w:rsidRPr="001427AF">
        <w:rPr>
          <w:rFonts w:ascii="Arial" w:hAnsi="Arial" w:cs="Arial"/>
          <w:sz w:val="20"/>
        </w:rPr>
        <w:t>TABLE 9.7.1.</w:t>
      </w:r>
      <w:r>
        <w:rPr>
          <w:rFonts w:ascii="Arial" w:hAnsi="Arial" w:cs="Arial"/>
          <w:sz w:val="20"/>
        </w:rPr>
        <w:t>5</w:t>
      </w:r>
      <w:r w:rsidRPr="001427AF">
        <w:rPr>
          <w:rFonts w:ascii="Arial" w:hAnsi="Arial" w:cs="Arial"/>
          <w:sz w:val="20"/>
        </w:rPr>
        <w:t>. CSI</w:t>
      </w:r>
      <w:r>
        <w:rPr>
          <w:rFonts w:ascii="Arial" w:hAnsi="Arial" w:cs="Arial"/>
          <w:sz w:val="20"/>
        </w:rPr>
        <w:t xml:space="preserve">- Low Graduation Rate </w:t>
      </w:r>
      <w:r w:rsidRPr="001427AF">
        <w:rPr>
          <w:rFonts w:ascii="Arial" w:hAnsi="Arial" w:cs="Arial"/>
          <w:sz w:val="20"/>
        </w:rPr>
        <w:t xml:space="preserve">school identification </w:t>
      </w:r>
      <w:r w:rsidR="000025F4">
        <w:rPr>
          <w:rFonts w:ascii="Arial" w:hAnsi="Arial" w:cs="Arial"/>
          <w:sz w:val="20"/>
        </w:rPr>
        <w:t xml:space="preserve">and exit </w:t>
      </w:r>
      <w:r w:rsidRPr="001427AF">
        <w:rPr>
          <w:rFonts w:ascii="Arial" w:hAnsi="Arial" w:cs="Arial"/>
          <w:sz w:val="20"/>
        </w:rPr>
        <w:t>timeline</w:t>
      </w:r>
    </w:p>
    <w:tbl>
      <w:tblPr>
        <w:tblStyle w:val="GridTable4-Accent3"/>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070"/>
        <w:gridCol w:w="1066"/>
        <w:gridCol w:w="1067"/>
        <w:gridCol w:w="1067"/>
        <w:gridCol w:w="1066"/>
        <w:gridCol w:w="1066"/>
        <w:gridCol w:w="1066"/>
        <w:gridCol w:w="1117"/>
        <w:gridCol w:w="1066"/>
        <w:gridCol w:w="1066"/>
        <w:gridCol w:w="1117"/>
      </w:tblGrid>
      <w:tr w:rsidR="00B578F5" w14:paraId="6550228F" w14:textId="77777777" w:rsidTr="00AC6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16" w:type="dxa"/>
            <w:vAlign w:val="center"/>
          </w:tcPr>
          <w:p w14:paraId="4554706C" w14:textId="77777777" w:rsidR="00B578F5" w:rsidRDefault="00B578F5" w:rsidP="006A2006">
            <w:pPr>
              <w:jc w:val="center"/>
              <w:rPr>
                <w:rFonts w:ascii="Arial" w:hAnsi="Arial" w:cs="Arial"/>
                <w:sz w:val="20"/>
              </w:rPr>
            </w:pPr>
            <w:r w:rsidRPr="00C27664">
              <w:rPr>
                <w:rFonts w:ascii="Arial" w:hAnsi="Arial" w:cs="Arial"/>
                <w:color w:val="auto"/>
                <w:sz w:val="20"/>
              </w:rPr>
              <w:t>2017–18</w:t>
            </w:r>
          </w:p>
        </w:tc>
        <w:tc>
          <w:tcPr>
            <w:tcW w:w="1070" w:type="dxa"/>
            <w:vAlign w:val="center"/>
          </w:tcPr>
          <w:p w14:paraId="5369C2D0"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2018–19</w:t>
            </w:r>
          </w:p>
        </w:tc>
        <w:tc>
          <w:tcPr>
            <w:tcW w:w="1066" w:type="dxa"/>
            <w:vAlign w:val="center"/>
          </w:tcPr>
          <w:p w14:paraId="1B638EC4"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2019–20</w:t>
            </w:r>
          </w:p>
        </w:tc>
        <w:tc>
          <w:tcPr>
            <w:tcW w:w="1067" w:type="dxa"/>
            <w:vAlign w:val="center"/>
          </w:tcPr>
          <w:p w14:paraId="5568A994"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2020–21</w:t>
            </w:r>
          </w:p>
        </w:tc>
        <w:tc>
          <w:tcPr>
            <w:tcW w:w="1067" w:type="dxa"/>
            <w:vAlign w:val="center"/>
          </w:tcPr>
          <w:p w14:paraId="2B3E6B55"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2021–22</w:t>
            </w:r>
          </w:p>
        </w:tc>
        <w:tc>
          <w:tcPr>
            <w:tcW w:w="1066" w:type="dxa"/>
            <w:vAlign w:val="center"/>
          </w:tcPr>
          <w:p w14:paraId="14A86A2F"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2022–23</w:t>
            </w:r>
          </w:p>
        </w:tc>
        <w:tc>
          <w:tcPr>
            <w:tcW w:w="1066" w:type="dxa"/>
            <w:vAlign w:val="center"/>
          </w:tcPr>
          <w:p w14:paraId="1BFE396F"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2023–24</w:t>
            </w:r>
          </w:p>
        </w:tc>
        <w:tc>
          <w:tcPr>
            <w:tcW w:w="1066" w:type="dxa"/>
            <w:vAlign w:val="center"/>
          </w:tcPr>
          <w:p w14:paraId="02EE1F2F"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2024–25</w:t>
            </w:r>
          </w:p>
        </w:tc>
        <w:tc>
          <w:tcPr>
            <w:tcW w:w="1117" w:type="dxa"/>
          </w:tcPr>
          <w:p w14:paraId="042F08F9"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2025–26</w:t>
            </w:r>
          </w:p>
        </w:tc>
        <w:tc>
          <w:tcPr>
            <w:tcW w:w="1066" w:type="dxa"/>
          </w:tcPr>
          <w:p w14:paraId="1B77E319"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2026–27</w:t>
            </w:r>
          </w:p>
        </w:tc>
        <w:tc>
          <w:tcPr>
            <w:tcW w:w="1066" w:type="dxa"/>
          </w:tcPr>
          <w:p w14:paraId="614FE7C0"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2027–28</w:t>
            </w:r>
          </w:p>
        </w:tc>
        <w:tc>
          <w:tcPr>
            <w:tcW w:w="1117" w:type="dxa"/>
          </w:tcPr>
          <w:p w14:paraId="517A8BC0" w14:textId="77777777" w:rsidR="00B578F5" w:rsidRDefault="00B578F5" w:rsidP="006A200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2028–29</w:t>
            </w:r>
          </w:p>
        </w:tc>
      </w:tr>
      <w:tr w:rsidR="00033A5A" w14:paraId="0751D042" w14:textId="77777777" w:rsidTr="00AC6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vAlign w:val="center"/>
          </w:tcPr>
          <w:p w14:paraId="4E4AB1AC" w14:textId="77777777" w:rsidR="00B578F5" w:rsidRPr="00B578F5" w:rsidRDefault="00B578F5" w:rsidP="006A2006">
            <w:pPr>
              <w:jc w:val="center"/>
              <w:rPr>
                <w:rFonts w:ascii="Arial" w:hAnsi="Arial" w:cs="Arial"/>
                <w:b w:val="0"/>
                <w:bCs w:val="0"/>
                <w:sz w:val="20"/>
              </w:rPr>
            </w:pPr>
            <w:proofErr w:type="gramStart"/>
            <w:r w:rsidRPr="00B578F5">
              <w:rPr>
                <w:rFonts w:ascii="Arial" w:hAnsi="Arial" w:cs="Arial"/>
                <w:b w:val="0"/>
                <w:bCs w:val="0"/>
                <w:color w:val="auto"/>
                <w:sz w:val="20"/>
              </w:rPr>
              <w:t>Continue</w:t>
            </w:r>
            <w:proofErr w:type="gramEnd"/>
            <w:r w:rsidRPr="00B578F5">
              <w:rPr>
                <w:rFonts w:ascii="Arial" w:hAnsi="Arial" w:cs="Arial"/>
                <w:b w:val="0"/>
                <w:bCs w:val="0"/>
                <w:color w:val="auto"/>
                <w:sz w:val="20"/>
              </w:rPr>
              <w:t xml:space="preserve"> services for priority schools using NC ESEA flexibility definition</w:t>
            </w:r>
          </w:p>
        </w:tc>
        <w:tc>
          <w:tcPr>
            <w:tcW w:w="1070" w:type="dxa"/>
            <w:vAlign w:val="center"/>
          </w:tcPr>
          <w:p w14:paraId="228EF8A4"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2018</w:t>
            </w:r>
            <w:r w:rsidRPr="00C27664">
              <w:rPr>
                <w:rFonts w:ascii="Arial" w:hAnsi="Arial" w:cs="Arial"/>
                <w:b/>
                <w:color w:val="auto"/>
                <w:sz w:val="20"/>
              </w:rPr>
              <w:t>–</w:t>
            </w:r>
            <w:r w:rsidRPr="00C27664">
              <w:rPr>
                <w:rFonts w:ascii="Arial" w:hAnsi="Arial" w:cs="Arial"/>
                <w:color w:val="auto"/>
                <w:sz w:val="20"/>
              </w:rPr>
              <w:t>19 CSI schools (planning year)</w:t>
            </w:r>
          </w:p>
        </w:tc>
        <w:tc>
          <w:tcPr>
            <w:tcW w:w="1066" w:type="dxa"/>
            <w:vAlign w:val="center"/>
          </w:tcPr>
          <w:p w14:paraId="61E5674B"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67" w:type="dxa"/>
            <w:vAlign w:val="center"/>
          </w:tcPr>
          <w:p w14:paraId="38B89F88"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67" w:type="dxa"/>
            <w:vAlign w:val="center"/>
          </w:tcPr>
          <w:p w14:paraId="1DCD04D7"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66" w:type="dxa"/>
            <w:shd w:val="clear" w:color="auto" w:fill="C5E0B3" w:themeFill="accent6" w:themeFillTint="66"/>
            <w:vAlign w:val="center"/>
          </w:tcPr>
          <w:p w14:paraId="5D3F7D2D"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Exit criteria applied for 2018</w:t>
            </w:r>
            <w:r w:rsidRPr="00C27664">
              <w:rPr>
                <w:rFonts w:ascii="Arial" w:hAnsi="Arial" w:cs="Arial"/>
                <w:b/>
                <w:color w:val="auto"/>
                <w:sz w:val="20"/>
              </w:rPr>
              <w:t>–</w:t>
            </w:r>
            <w:r w:rsidRPr="00C27664">
              <w:rPr>
                <w:rFonts w:ascii="Arial" w:hAnsi="Arial" w:cs="Arial"/>
                <w:color w:val="auto"/>
                <w:sz w:val="20"/>
              </w:rPr>
              <w:t>19 identified schools</w:t>
            </w:r>
          </w:p>
        </w:tc>
        <w:tc>
          <w:tcPr>
            <w:tcW w:w="1066" w:type="dxa"/>
            <w:vAlign w:val="center"/>
          </w:tcPr>
          <w:p w14:paraId="67B215B7"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and 2022</w:t>
            </w:r>
            <w:r w:rsidRPr="00C27664">
              <w:rPr>
                <w:rFonts w:ascii="Arial" w:hAnsi="Arial" w:cs="Arial"/>
                <w:b/>
                <w:color w:val="auto"/>
                <w:sz w:val="20"/>
              </w:rPr>
              <w:t>–</w:t>
            </w:r>
            <w:r w:rsidRPr="00C27664">
              <w:rPr>
                <w:rFonts w:ascii="Arial" w:hAnsi="Arial" w:cs="Arial"/>
                <w:color w:val="auto"/>
                <w:sz w:val="20"/>
              </w:rPr>
              <w:t>23 identified schools that did not meet exit criteria</w:t>
            </w:r>
          </w:p>
        </w:tc>
        <w:tc>
          <w:tcPr>
            <w:tcW w:w="1066" w:type="dxa"/>
            <w:vAlign w:val="center"/>
          </w:tcPr>
          <w:p w14:paraId="35F7FCAD"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and 2022</w:t>
            </w:r>
            <w:r w:rsidRPr="00C27664">
              <w:rPr>
                <w:rFonts w:ascii="Arial" w:hAnsi="Arial" w:cs="Arial"/>
                <w:b/>
                <w:color w:val="auto"/>
                <w:sz w:val="20"/>
              </w:rPr>
              <w:t>–</w:t>
            </w:r>
            <w:r w:rsidRPr="00C27664">
              <w:rPr>
                <w:rFonts w:ascii="Arial" w:hAnsi="Arial" w:cs="Arial"/>
                <w:color w:val="auto"/>
                <w:sz w:val="20"/>
              </w:rPr>
              <w:t>23 identified schools that did not meet exit criteria</w:t>
            </w:r>
          </w:p>
        </w:tc>
        <w:tc>
          <w:tcPr>
            <w:tcW w:w="1117" w:type="dxa"/>
            <w:shd w:val="clear" w:color="auto" w:fill="C5E0B3" w:themeFill="accent6" w:themeFillTint="66"/>
            <w:vAlign w:val="center"/>
          </w:tcPr>
          <w:p w14:paraId="05A5419B"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Exit criteria applied for all previously identified schools</w:t>
            </w:r>
          </w:p>
        </w:tc>
        <w:tc>
          <w:tcPr>
            <w:tcW w:w="1066" w:type="dxa"/>
            <w:vAlign w:val="center"/>
          </w:tcPr>
          <w:p w14:paraId="2FD29919"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all identified schools that did not meet exit criteria</w:t>
            </w:r>
          </w:p>
        </w:tc>
        <w:tc>
          <w:tcPr>
            <w:tcW w:w="1066" w:type="dxa"/>
            <w:vAlign w:val="center"/>
          </w:tcPr>
          <w:p w14:paraId="3D4819FE"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Maintain support for all identified schools that did not meet exit criteria</w:t>
            </w:r>
          </w:p>
        </w:tc>
        <w:tc>
          <w:tcPr>
            <w:tcW w:w="1117" w:type="dxa"/>
            <w:shd w:val="clear" w:color="auto" w:fill="C5E0B3" w:themeFill="accent6" w:themeFillTint="66"/>
            <w:vAlign w:val="center"/>
          </w:tcPr>
          <w:p w14:paraId="1219EACF" w14:textId="77777777" w:rsidR="00B578F5" w:rsidRDefault="00B578F5" w:rsidP="006A20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27664">
              <w:rPr>
                <w:rFonts w:ascii="Arial" w:hAnsi="Arial" w:cs="Arial"/>
                <w:color w:val="auto"/>
                <w:sz w:val="20"/>
              </w:rPr>
              <w:t>Exit criteria applied for all previously identified schools</w:t>
            </w:r>
          </w:p>
        </w:tc>
      </w:tr>
      <w:tr w:rsidR="00033A5A" w14:paraId="1E61854F" w14:textId="77777777" w:rsidTr="00AC601B">
        <w:tc>
          <w:tcPr>
            <w:cnfStyle w:val="001000000000" w:firstRow="0" w:lastRow="0" w:firstColumn="1" w:lastColumn="0" w:oddVBand="0" w:evenVBand="0" w:oddHBand="0" w:evenHBand="0" w:firstRowFirstColumn="0" w:firstRowLastColumn="0" w:lastRowFirstColumn="0" w:lastRowLastColumn="0"/>
            <w:tcW w:w="1116" w:type="dxa"/>
            <w:vAlign w:val="center"/>
          </w:tcPr>
          <w:p w14:paraId="68AF2B46" w14:textId="318EBBE7" w:rsidR="001D414A" w:rsidRDefault="001D414A" w:rsidP="001D414A">
            <w:pPr>
              <w:jc w:val="center"/>
              <w:rPr>
                <w:rFonts w:ascii="Arial" w:hAnsi="Arial" w:cs="Arial"/>
                <w:sz w:val="20"/>
              </w:rPr>
            </w:pPr>
            <w:r>
              <w:rPr>
                <w:rFonts w:ascii="Arial" w:hAnsi="Arial" w:cs="Arial"/>
                <w:sz w:val="20"/>
              </w:rPr>
              <w:t>-</w:t>
            </w:r>
          </w:p>
        </w:tc>
        <w:tc>
          <w:tcPr>
            <w:tcW w:w="1070" w:type="dxa"/>
            <w:vAlign w:val="center"/>
          </w:tcPr>
          <w:p w14:paraId="231BF838" w14:textId="4BCB5333"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vAlign w:val="center"/>
          </w:tcPr>
          <w:p w14:paraId="030E4361" w14:textId="5243B3E7"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7" w:type="dxa"/>
            <w:vAlign w:val="center"/>
          </w:tcPr>
          <w:p w14:paraId="553B9B35" w14:textId="0A597FBC"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7" w:type="dxa"/>
            <w:vAlign w:val="center"/>
          </w:tcPr>
          <w:p w14:paraId="6ABE1838" w14:textId="26860878"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shd w:val="clear" w:color="auto" w:fill="ACB9CA" w:themeFill="text2" w:themeFillTint="66"/>
          </w:tcPr>
          <w:p w14:paraId="19B416A1" w14:textId="77777777" w:rsidR="001D414A" w:rsidRPr="00C27664" w:rsidRDefault="001D414A" w:rsidP="001D414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27664">
              <w:rPr>
                <w:rFonts w:ascii="Arial" w:hAnsi="Arial" w:cs="Arial"/>
                <w:color w:val="auto"/>
                <w:sz w:val="20"/>
              </w:rPr>
              <w:t>Identify</w:t>
            </w:r>
          </w:p>
          <w:p w14:paraId="2CD4E2C0" w14:textId="77777777" w:rsidR="001D414A" w:rsidRPr="00C27664" w:rsidRDefault="001D414A" w:rsidP="001D414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27664">
              <w:rPr>
                <w:rFonts w:ascii="Arial" w:hAnsi="Arial" w:cs="Arial"/>
                <w:color w:val="auto"/>
                <w:sz w:val="20"/>
              </w:rPr>
              <w:t>2022</w:t>
            </w:r>
            <w:r w:rsidRPr="00C27664">
              <w:rPr>
                <w:rFonts w:ascii="Arial" w:hAnsi="Arial" w:cs="Arial"/>
                <w:b/>
                <w:color w:val="auto"/>
                <w:sz w:val="20"/>
              </w:rPr>
              <w:t>–</w:t>
            </w:r>
            <w:r w:rsidRPr="00C27664">
              <w:rPr>
                <w:rFonts w:ascii="Arial" w:hAnsi="Arial" w:cs="Arial"/>
                <w:color w:val="auto"/>
                <w:sz w:val="20"/>
              </w:rPr>
              <w:t>23</w:t>
            </w:r>
          </w:p>
          <w:p w14:paraId="7E0BA56E" w14:textId="77777777"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CSI schools</w:t>
            </w:r>
          </w:p>
        </w:tc>
        <w:tc>
          <w:tcPr>
            <w:tcW w:w="1066" w:type="dxa"/>
            <w:vAlign w:val="center"/>
          </w:tcPr>
          <w:p w14:paraId="1FD66A51" w14:textId="3CAD7021"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vAlign w:val="center"/>
          </w:tcPr>
          <w:p w14:paraId="7FB97AEA" w14:textId="64B36845"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117" w:type="dxa"/>
            <w:shd w:val="clear" w:color="auto" w:fill="ACB9CA" w:themeFill="text2" w:themeFillTint="66"/>
          </w:tcPr>
          <w:p w14:paraId="09AD6CE1" w14:textId="77777777" w:rsidR="001D414A" w:rsidRPr="00C27664" w:rsidRDefault="001D414A" w:rsidP="001D414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27664">
              <w:rPr>
                <w:rFonts w:ascii="Arial" w:hAnsi="Arial" w:cs="Arial"/>
                <w:color w:val="auto"/>
                <w:sz w:val="20"/>
              </w:rPr>
              <w:t>Identify</w:t>
            </w:r>
          </w:p>
          <w:p w14:paraId="5D36AF9B" w14:textId="77777777" w:rsidR="001D414A" w:rsidRPr="00C27664" w:rsidRDefault="001D414A" w:rsidP="001D414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27664">
              <w:rPr>
                <w:rFonts w:ascii="Arial" w:hAnsi="Arial" w:cs="Arial"/>
                <w:color w:val="auto"/>
                <w:sz w:val="20"/>
              </w:rPr>
              <w:t>2025</w:t>
            </w:r>
            <w:r w:rsidRPr="00C27664">
              <w:rPr>
                <w:rFonts w:ascii="Arial" w:hAnsi="Arial" w:cs="Arial"/>
                <w:b/>
                <w:color w:val="auto"/>
                <w:sz w:val="20"/>
              </w:rPr>
              <w:t>–</w:t>
            </w:r>
            <w:r w:rsidRPr="00C27664">
              <w:rPr>
                <w:rFonts w:ascii="Arial" w:hAnsi="Arial" w:cs="Arial"/>
                <w:color w:val="auto"/>
                <w:sz w:val="20"/>
              </w:rPr>
              <w:t>26</w:t>
            </w:r>
          </w:p>
          <w:p w14:paraId="15FBAC2C" w14:textId="77777777"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CSI schools</w:t>
            </w:r>
          </w:p>
        </w:tc>
        <w:tc>
          <w:tcPr>
            <w:tcW w:w="1066" w:type="dxa"/>
            <w:vAlign w:val="center"/>
          </w:tcPr>
          <w:p w14:paraId="7308C5CF" w14:textId="2FF7D0EF"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066" w:type="dxa"/>
            <w:vAlign w:val="center"/>
          </w:tcPr>
          <w:p w14:paraId="32998E63" w14:textId="51172A41"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w:t>
            </w:r>
          </w:p>
        </w:tc>
        <w:tc>
          <w:tcPr>
            <w:tcW w:w="1117" w:type="dxa"/>
            <w:shd w:val="clear" w:color="auto" w:fill="ACB9CA" w:themeFill="text2" w:themeFillTint="66"/>
          </w:tcPr>
          <w:p w14:paraId="47F82CED" w14:textId="77777777" w:rsidR="001D414A" w:rsidRPr="00C27664" w:rsidRDefault="001D414A" w:rsidP="001D414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27664">
              <w:rPr>
                <w:rFonts w:ascii="Arial" w:hAnsi="Arial" w:cs="Arial"/>
                <w:color w:val="auto"/>
                <w:sz w:val="20"/>
              </w:rPr>
              <w:t>Identify</w:t>
            </w:r>
          </w:p>
          <w:p w14:paraId="16E06C72" w14:textId="77777777" w:rsidR="001D414A" w:rsidRPr="00C27664" w:rsidRDefault="001D414A" w:rsidP="001D414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C27664">
              <w:rPr>
                <w:rFonts w:ascii="Arial" w:hAnsi="Arial" w:cs="Arial"/>
                <w:color w:val="auto"/>
                <w:sz w:val="20"/>
              </w:rPr>
              <w:t>2028</w:t>
            </w:r>
            <w:r w:rsidRPr="00C27664">
              <w:rPr>
                <w:rFonts w:ascii="Arial" w:hAnsi="Arial" w:cs="Arial"/>
                <w:b/>
                <w:color w:val="auto"/>
                <w:sz w:val="20"/>
              </w:rPr>
              <w:t>–</w:t>
            </w:r>
            <w:r w:rsidRPr="00C27664">
              <w:rPr>
                <w:rFonts w:ascii="Arial" w:hAnsi="Arial" w:cs="Arial"/>
                <w:color w:val="auto"/>
                <w:sz w:val="20"/>
              </w:rPr>
              <w:t>29</w:t>
            </w:r>
          </w:p>
          <w:p w14:paraId="3AAD1DEB" w14:textId="77777777" w:rsidR="001D414A" w:rsidRDefault="001D414A" w:rsidP="001D4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C27664">
              <w:rPr>
                <w:rFonts w:ascii="Arial" w:hAnsi="Arial" w:cs="Arial"/>
                <w:color w:val="auto"/>
                <w:sz w:val="20"/>
              </w:rPr>
              <w:t>CSI schools</w:t>
            </w:r>
          </w:p>
        </w:tc>
      </w:tr>
    </w:tbl>
    <w:p w14:paraId="6724DEFB" w14:textId="77777777" w:rsidR="00F948CB" w:rsidRPr="00BF1F0E" w:rsidRDefault="00F948CB">
      <w:pPr>
        <w:spacing w:line="240" w:lineRule="auto"/>
        <w:rPr>
          <w:rFonts w:ascii="Arial" w:hAnsi="Arial" w:cs="Arial"/>
          <w:sz w:val="20"/>
        </w:rPr>
      </w:pPr>
      <w:r w:rsidRPr="00BF1F0E">
        <w:rPr>
          <w:rFonts w:ascii="Arial" w:hAnsi="Arial" w:cs="Arial"/>
          <w:sz w:val="20"/>
        </w:rPr>
        <w:br w:type="page"/>
      </w:r>
    </w:p>
    <w:p w14:paraId="07F70B4B" w14:textId="0742E1B1" w:rsidR="001F7102" w:rsidRPr="00BF1F0E" w:rsidRDefault="001F7102" w:rsidP="00576BFA">
      <w:pPr>
        <w:spacing w:line="240" w:lineRule="auto"/>
        <w:rPr>
          <w:rFonts w:ascii="Arial" w:hAnsi="Arial" w:cs="Arial"/>
          <w:color w:val="auto"/>
          <w:szCs w:val="24"/>
        </w:rPr>
      </w:pPr>
      <w:r w:rsidRPr="00576BFA">
        <w:rPr>
          <w:rFonts w:ascii="Arial" w:hAnsi="Arial" w:cs="Arial"/>
          <w:szCs w:val="24"/>
        </w:rPr>
        <w:lastRenderedPageBreak/>
        <w:t>Table 9.7.1.6 provides the identification and exit timeline for CSI-</w:t>
      </w:r>
      <w:r w:rsidR="00E15217" w:rsidRPr="00576BFA">
        <w:rPr>
          <w:rFonts w:ascii="Arial" w:hAnsi="Arial" w:cs="Arial"/>
          <w:szCs w:val="24"/>
        </w:rPr>
        <w:t>AT</w:t>
      </w:r>
      <w:r w:rsidRPr="00576BFA">
        <w:rPr>
          <w:rFonts w:ascii="Arial" w:hAnsi="Arial" w:cs="Arial"/>
          <w:szCs w:val="24"/>
        </w:rPr>
        <w:t xml:space="preserve"> schools. </w:t>
      </w:r>
      <w:r w:rsidR="00DF2550" w:rsidRPr="00576BFA">
        <w:rPr>
          <w:rFonts w:ascii="Arial" w:hAnsi="Arial" w:cs="Arial"/>
          <w:szCs w:val="24"/>
        </w:rPr>
        <w:t>Title</w:t>
      </w:r>
      <w:r w:rsidR="0048021A">
        <w:rPr>
          <w:rFonts w:ascii="Arial" w:hAnsi="Arial" w:cs="Arial"/>
          <w:szCs w:val="24"/>
        </w:rPr>
        <w:t>-</w:t>
      </w:r>
      <w:r w:rsidR="00DF2550" w:rsidRPr="00576BFA">
        <w:rPr>
          <w:rFonts w:ascii="Arial" w:hAnsi="Arial" w:cs="Arial"/>
          <w:szCs w:val="24"/>
        </w:rPr>
        <w:t xml:space="preserve">One </w:t>
      </w:r>
      <w:r w:rsidRPr="00576BFA">
        <w:rPr>
          <w:rFonts w:ascii="Arial" w:hAnsi="Arial" w:cs="Arial"/>
          <w:color w:val="auto"/>
          <w:szCs w:val="24"/>
        </w:rPr>
        <w:t xml:space="preserve">schools </w:t>
      </w:r>
      <w:r w:rsidR="00E15217" w:rsidRPr="001F4DD9">
        <w:rPr>
          <w:rFonts w:ascii="Arial" w:hAnsi="Arial" w:cs="Arial"/>
          <w:color w:val="auto"/>
          <w:szCs w:val="24"/>
        </w:rPr>
        <w:t xml:space="preserve">unable to exit TSI-Additional Targeted Support status after six years </w:t>
      </w:r>
      <w:r w:rsidR="00DF2550" w:rsidRPr="00576BFA">
        <w:rPr>
          <w:rFonts w:ascii="Arial" w:hAnsi="Arial" w:cs="Arial"/>
          <w:szCs w:val="24"/>
        </w:rPr>
        <w:t xml:space="preserve">are identified as CSI-AT. </w:t>
      </w:r>
      <w:r w:rsidR="00E15217" w:rsidRPr="001F4DD9">
        <w:rPr>
          <w:rFonts w:ascii="Arial" w:hAnsi="Arial" w:cs="Arial"/>
          <w:color w:val="auto"/>
          <w:szCs w:val="24"/>
        </w:rPr>
        <w:t xml:space="preserve"> </w:t>
      </w:r>
      <w:r w:rsidRPr="00576BFA">
        <w:rPr>
          <w:rFonts w:ascii="Arial" w:hAnsi="Arial" w:cs="Arial"/>
          <w:color w:val="auto"/>
          <w:szCs w:val="24"/>
        </w:rPr>
        <w:t>To exit the CSI-</w:t>
      </w:r>
      <w:r w:rsidR="0085011F" w:rsidRPr="00576BFA">
        <w:rPr>
          <w:rFonts w:ascii="Arial" w:hAnsi="Arial" w:cs="Arial"/>
          <w:color w:val="auto"/>
          <w:szCs w:val="24"/>
        </w:rPr>
        <w:t>AT</w:t>
      </w:r>
      <w:r w:rsidRPr="00576BFA">
        <w:rPr>
          <w:rFonts w:ascii="Arial" w:hAnsi="Arial" w:cs="Arial"/>
          <w:color w:val="auto"/>
          <w:szCs w:val="24"/>
        </w:rPr>
        <w:t xml:space="preserve"> designation, </w:t>
      </w:r>
      <w:r w:rsidR="0085011F" w:rsidRPr="00576BFA">
        <w:rPr>
          <w:rFonts w:ascii="Arial" w:hAnsi="Arial" w:cs="Arial"/>
          <w:color w:val="auto"/>
          <w:szCs w:val="24"/>
        </w:rPr>
        <w:t xml:space="preserve">school follow the same exit criteria as </w:t>
      </w:r>
      <w:r w:rsidR="00576BFA" w:rsidRPr="00576BFA">
        <w:rPr>
          <w:rFonts w:ascii="Arial" w:hAnsi="Arial" w:cs="Arial"/>
          <w:color w:val="auto"/>
          <w:szCs w:val="24"/>
        </w:rPr>
        <w:t xml:space="preserve">the </w:t>
      </w:r>
      <w:r w:rsidR="0085011F" w:rsidRPr="00576BFA">
        <w:rPr>
          <w:rFonts w:ascii="Arial" w:hAnsi="Arial" w:cs="Arial"/>
          <w:color w:val="auto"/>
          <w:szCs w:val="24"/>
        </w:rPr>
        <w:t>TSI-AT</w:t>
      </w:r>
      <w:r w:rsidR="00576BFA" w:rsidRPr="00576BFA">
        <w:rPr>
          <w:rFonts w:ascii="Arial" w:hAnsi="Arial" w:cs="Arial"/>
          <w:color w:val="auto"/>
          <w:szCs w:val="24"/>
        </w:rPr>
        <w:t xml:space="preserve"> designation: </w:t>
      </w:r>
      <w:r w:rsidR="0085011F" w:rsidRPr="001F4DD9">
        <w:rPr>
          <w:rFonts w:ascii="Arial" w:hAnsi="Arial" w:cs="Arial"/>
          <w:color w:val="auto"/>
          <w:szCs w:val="24"/>
        </w:rPr>
        <w:t>(1) Identified subgroup(s) achieve a three-year growth index of 1.0 or higher, or (2) are on track to meet the subgroup(s) twelve-year proficiency goals in reading and math, or (3) there is no longer a subgroup whose overall performance as measured by the School Performance Grade score is at or below the score designated for CSI-LP identification and previously identified subgroup(s) improved performance on the School Performance Grade score as compared to the score at the time of identification.</w:t>
      </w:r>
    </w:p>
    <w:p w14:paraId="4E2F1BC0" w14:textId="77777777" w:rsidR="00FF233A" w:rsidRPr="00BF1F0E" w:rsidRDefault="00FF233A" w:rsidP="00576BFA">
      <w:pPr>
        <w:spacing w:line="240" w:lineRule="auto"/>
        <w:rPr>
          <w:rFonts w:ascii="Arial" w:hAnsi="Arial" w:cs="Arial"/>
          <w:szCs w:val="24"/>
        </w:rPr>
      </w:pPr>
    </w:p>
    <w:p w14:paraId="49F5E699" w14:textId="236C73A6" w:rsidR="00E623C3" w:rsidRDefault="001F7102" w:rsidP="00D254E9">
      <w:pPr>
        <w:rPr>
          <w:rFonts w:ascii="Arial" w:hAnsi="Arial" w:cs="Arial"/>
          <w:sz w:val="20"/>
        </w:rPr>
      </w:pPr>
      <w:r w:rsidRPr="001427AF">
        <w:rPr>
          <w:rFonts w:ascii="Arial" w:hAnsi="Arial" w:cs="Arial"/>
          <w:sz w:val="20"/>
        </w:rPr>
        <w:t>TABLE 9.7.1.</w:t>
      </w:r>
      <w:r>
        <w:rPr>
          <w:rFonts w:ascii="Arial" w:hAnsi="Arial" w:cs="Arial"/>
          <w:sz w:val="20"/>
        </w:rPr>
        <w:t>6</w:t>
      </w:r>
      <w:r w:rsidRPr="001427AF">
        <w:rPr>
          <w:rFonts w:ascii="Arial" w:hAnsi="Arial" w:cs="Arial"/>
          <w:sz w:val="20"/>
        </w:rPr>
        <w:t>. CSI</w:t>
      </w:r>
      <w:r>
        <w:rPr>
          <w:rFonts w:ascii="Arial" w:hAnsi="Arial" w:cs="Arial"/>
          <w:sz w:val="20"/>
        </w:rPr>
        <w:t xml:space="preserve">- </w:t>
      </w:r>
      <w:r w:rsidR="00C34BB9">
        <w:rPr>
          <w:rFonts w:ascii="Arial" w:hAnsi="Arial" w:cs="Arial"/>
          <w:sz w:val="20"/>
        </w:rPr>
        <w:t>A</w:t>
      </w:r>
      <w:r w:rsidR="00657A9C">
        <w:rPr>
          <w:rFonts w:ascii="Arial" w:hAnsi="Arial" w:cs="Arial"/>
          <w:sz w:val="20"/>
        </w:rPr>
        <w:t xml:space="preserve">dditional Targeted Support </w:t>
      </w:r>
      <w:r w:rsidRPr="001427AF">
        <w:rPr>
          <w:rFonts w:ascii="Arial" w:hAnsi="Arial" w:cs="Arial"/>
          <w:sz w:val="20"/>
        </w:rPr>
        <w:t xml:space="preserve">school identification </w:t>
      </w:r>
      <w:r w:rsidR="000025F4">
        <w:rPr>
          <w:rFonts w:ascii="Arial" w:hAnsi="Arial" w:cs="Arial"/>
          <w:sz w:val="20"/>
        </w:rPr>
        <w:t xml:space="preserve">and exit </w:t>
      </w:r>
      <w:r w:rsidRPr="001427AF">
        <w:rPr>
          <w:rFonts w:ascii="Arial" w:hAnsi="Arial" w:cs="Arial"/>
          <w:sz w:val="20"/>
        </w:rPr>
        <w:t>timeline</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1075"/>
        <w:gridCol w:w="1075"/>
        <w:gridCol w:w="1076"/>
        <w:gridCol w:w="1076"/>
        <w:gridCol w:w="1075"/>
        <w:gridCol w:w="1075"/>
        <w:gridCol w:w="1075"/>
        <w:gridCol w:w="1076"/>
        <w:gridCol w:w="1078"/>
        <w:gridCol w:w="1078"/>
        <w:gridCol w:w="1117"/>
      </w:tblGrid>
      <w:tr w:rsidR="00C27664" w:rsidRPr="00C27664" w14:paraId="0B1065A5" w14:textId="77777777" w:rsidTr="00AC601B">
        <w:trPr>
          <w:tblHeader/>
        </w:trPr>
        <w:tc>
          <w:tcPr>
            <w:tcW w:w="1074" w:type="dxa"/>
            <w:shd w:val="clear" w:color="auto" w:fill="D0CECE" w:themeFill="background2" w:themeFillShade="E6"/>
            <w:vAlign w:val="center"/>
          </w:tcPr>
          <w:p w14:paraId="53B2B738" w14:textId="77777777" w:rsidR="001F7102" w:rsidRPr="00C27664" w:rsidRDefault="001F7102">
            <w:pPr>
              <w:rPr>
                <w:rFonts w:ascii="Arial" w:hAnsi="Arial" w:cs="Arial"/>
                <w:color w:val="auto"/>
                <w:sz w:val="20"/>
              </w:rPr>
            </w:pPr>
            <w:r w:rsidRPr="00C27664">
              <w:rPr>
                <w:rFonts w:ascii="Arial" w:hAnsi="Arial" w:cs="Arial"/>
                <w:b/>
                <w:color w:val="auto"/>
                <w:sz w:val="20"/>
              </w:rPr>
              <w:t>2017–18</w:t>
            </w:r>
          </w:p>
        </w:tc>
        <w:tc>
          <w:tcPr>
            <w:tcW w:w="1075" w:type="dxa"/>
            <w:shd w:val="clear" w:color="auto" w:fill="D0CECE" w:themeFill="background2" w:themeFillShade="E6"/>
            <w:vAlign w:val="center"/>
          </w:tcPr>
          <w:p w14:paraId="0A2BC088" w14:textId="77777777" w:rsidR="001F7102" w:rsidRPr="00C27664" w:rsidRDefault="001F7102">
            <w:pPr>
              <w:rPr>
                <w:rFonts w:ascii="Arial" w:hAnsi="Arial" w:cs="Arial"/>
                <w:color w:val="auto"/>
                <w:sz w:val="20"/>
              </w:rPr>
            </w:pPr>
            <w:r w:rsidRPr="00C27664">
              <w:rPr>
                <w:rFonts w:ascii="Arial" w:hAnsi="Arial" w:cs="Arial"/>
                <w:b/>
                <w:color w:val="auto"/>
                <w:sz w:val="20"/>
              </w:rPr>
              <w:t>2018–19</w:t>
            </w:r>
          </w:p>
        </w:tc>
        <w:tc>
          <w:tcPr>
            <w:tcW w:w="1075" w:type="dxa"/>
            <w:shd w:val="clear" w:color="auto" w:fill="D0CECE" w:themeFill="background2" w:themeFillShade="E6"/>
            <w:vAlign w:val="center"/>
          </w:tcPr>
          <w:p w14:paraId="4B85C512" w14:textId="77777777" w:rsidR="001F7102" w:rsidRPr="00C27664" w:rsidRDefault="001F7102">
            <w:pPr>
              <w:rPr>
                <w:rFonts w:ascii="Arial" w:hAnsi="Arial" w:cs="Arial"/>
                <w:color w:val="auto"/>
                <w:sz w:val="20"/>
              </w:rPr>
            </w:pPr>
            <w:r w:rsidRPr="00C27664">
              <w:rPr>
                <w:rFonts w:ascii="Arial" w:hAnsi="Arial" w:cs="Arial"/>
                <w:b/>
                <w:color w:val="auto"/>
                <w:sz w:val="20"/>
              </w:rPr>
              <w:t>2019–20</w:t>
            </w:r>
          </w:p>
        </w:tc>
        <w:tc>
          <w:tcPr>
            <w:tcW w:w="1076" w:type="dxa"/>
            <w:shd w:val="clear" w:color="auto" w:fill="D0CECE" w:themeFill="background2" w:themeFillShade="E6"/>
            <w:vAlign w:val="center"/>
          </w:tcPr>
          <w:p w14:paraId="65E62F0F" w14:textId="77777777" w:rsidR="001F7102" w:rsidRPr="00C27664" w:rsidRDefault="001F7102">
            <w:pPr>
              <w:rPr>
                <w:rFonts w:ascii="Arial" w:hAnsi="Arial" w:cs="Arial"/>
                <w:color w:val="auto"/>
                <w:sz w:val="20"/>
              </w:rPr>
            </w:pPr>
            <w:r w:rsidRPr="00C27664">
              <w:rPr>
                <w:rFonts w:ascii="Arial" w:hAnsi="Arial" w:cs="Arial"/>
                <w:b/>
                <w:color w:val="auto"/>
                <w:sz w:val="20"/>
              </w:rPr>
              <w:t>2020–21</w:t>
            </w:r>
          </w:p>
        </w:tc>
        <w:tc>
          <w:tcPr>
            <w:tcW w:w="1076" w:type="dxa"/>
            <w:shd w:val="clear" w:color="auto" w:fill="D0CECE" w:themeFill="background2" w:themeFillShade="E6"/>
            <w:vAlign w:val="center"/>
          </w:tcPr>
          <w:p w14:paraId="4AA84564" w14:textId="77777777" w:rsidR="001F7102" w:rsidRPr="00C27664" w:rsidRDefault="001F7102">
            <w:pPr>
              <w:rPr>
                <w:rFonts w:ascii="Arial" w:hAnsi="Arial" w:cs="Arial"/>
                <w:color w:val="auto"/>
                <w:sz w:val="20"/>
              </w:rPr>
            </w:pPr>
            <w:r w:rsidRPr="00C27664">
              <w:rPr>
                <w:rFonts w:ascii="Arial" w:hAnsi="Arial" w:cs="Arial"/>
                <w:b/>
                <w:color w:val="auto"/>
                <w:sz w:val="20"/>
              </w:rPr>
              <w:t>2021–22</w:t>
            </w:r>
          </w:p>
        </w:tc>
        <w:tc>
          <w:tcPr>
            <w:tcW w:w="1075" w:type="dxa"/>
            <w:shd w:val="clear" w:color="auto" w:fill="D0CECE" w:themeFill="background2" w:themeFillShade="E6"/>
            <w:vAlign w:val="center"/>
          </w:tcPr>
          <w:p w14:paraId="347AD93B" w14:textId="77777777" w:rsidR="001F7102" w:rsidRPr="00C27664" w:rsidRDefault="001F7102">
            <w:pPr>
              <w:rPr>
                <w:rFonts w:ascii="Arial" w:hAnsi="Arial" w:cs="Arial"/>
                <w:color w:val="auto"/>
                <w:sz w:val="20"/>
              </w:rPr>
            </w:pPr>
            <w:r w:rsidRPr="00C27664">
              <w:rPr>
                <w:rFonts w:ascii="Arial" w:hAnsi="Arial" w:cs="Arial"/>
                <w:b/>
                <w:color w:val="auto"/>
                <w:sz w:val="20"/>
              </w:rPr>
              <w:t>2022–23</w:t>
            </w:r>
          </w:p>
        </w:tc>
        <w:tc>
          <w:tcPr>
            <w:tcW w:w="1075" w:type="dxa"/>
            <w:shd w:val="clear" w:color="auto" w:fill="D0CECE" w:themeFill="background2" w:themeFillShade="E6"/>
            <w:vAlign w:val="center"/>
          </w:tcPr>
          <w:p w14:paraId="67EC8658" w14:textId="77777777" w:rsidR="001F7102" w:rsidRPr="00C27664" w:rsidRDefault="001F7102">
            <w:pPr>
              <w:rPr>
                <w:rFonts w:ascii="Arial" w:hAnsi="Arial" w:cs="Arial"/>
                <w:color w:val="auto"/>
                <w:sz w:val="20"/>
              </w:rPr>
            </w:pPr>
            <w:r w:rsidRPr="00C27664">
              <w:rPr>
                <w:rFonts w:ascii="Arial" w:hAnsi="Arial" w:cs="Arial"/>
                <w:b/>
                <w:color w:val="auto"/>
                <w:sz w:val="20"/>
              </w:rPr>
              <w:t>2023–24</w:t>
            </w:r>
          </w:p>
        </w:tc>
        <w:tc>
          <w:tcPr>
            <w:tcW w:w="1075" w:type="dxa"/>
            <w:shd w:val="clear" w:color="auto" w:fill="D0CECE" w:themeFill="background2" w:themeFillShade="E6"/>
            <w:vAlign w:val="center"/>
          </w:tcPr>
          <w:p w14:paraId="77EADCF8" w14:textId="77777777" w:rsidR="001F7102" w:rsidRPr="00C27664" w:rsidRDefault="001F7102">
            <w:pPr>
              <w:rPr>
                <w:rFonts w:ascii="Arial" w:hAnsi="Arial" w:cs="Arial"/>
                <w:color w:val="auto"/>
                <w:sz w:val="20"/>
              </w:rPr>
            </w:pPr>
            <w:r w:rsidRPr="00C27664">
              <w:rPr>
                <w:rFonts w:ascii="Arial" w:hAnsi="Arial" w:cs="Arial"/>
                <w:b/>
                <w:color w:val="auto"/>
                <w:sz w:val="20"/>
              </w:rPr>
              <w:t>2024–25</w:t>
            </w:r>
          </w:p>
        </w:tc>
        <w:tc>
          <w:tcPr>
            <w:tcW w:w="1076" w:type="dxa"/>
            <w:shd w:val="clear" w:color="auto" w:fill="D0CECE" w:themeFill="background2" w:themeFillShade="E6"/>
          </w:tcPr>
          <w:p w14:paraId="082C11BB" w14:textId="77777777" w:rsidR="001F7102" w:rsidRPr="00C27664" w:rsidRDefault="001F7102">
            <w:pPr>
              <w:rPr>
                <w:rFonts w:ascii="Arial" w:hAnsi="Arial" w:cs="Arial"/>
                <w:color w:val="auto"/>
                <w:sz w:val="20"/>
              </w:rPr>
            </w:pPr>
            <w:r w:rsidRPr="00C27664">
              <w:rPr>
                <w:rFonts w:ascii="Arial" w:hAnsi="Arial" w:cs="Arial"/>
                <w:b/>
                <w:color w:val="auto"/>
                <w:sz w:val="20"/>
              </w:rPr>
              <w:t>2025–26</w:t>
            </w:r>
          </w:p>
        </w:tc>
        <w:tc>
          <w:tcPr>
            <w:tcW w:w="1078" w:type="dxa"/>
            <w:shd w:val="clear" w:color="auto" w:fill="D0CECE" w:themeFill="background2" w:themeFillShade="E6"/>
          </w:tcPr>
          <w:p w14:paraId="1DB0DB53" w14:textId="77777777" w:rsidR="001F7102" w:rsidRPr="00C27664" w:rsidRDefault="001F7102">
            <w:pPr>
              <w:rPr>
                <w:rFonts w:ascii="Arial" w:hAnsi="Arial" w:cs="Arial"/>
                <w:color w:val="auto"/>
                <w:sz w:val="20"/>
              </w:rPr>
            </w:pPr>
            <w:r w:rsidRPr="00C27664">
              <w:rPr>
                <w:rFonts w:ascii="Arial" w:hAnsi="Arial" w:cs="Arial"/>
                <w:b/>
                <w:color w:val="auto"/>
                <w:sz w:val="20"/>
              </w:rPr>
              <w:t>2026–27</w:t>
            </w:r>
          </w:p>
        </w:tc>
        <w:tc>
          <w:tcPr>
            <w:tcW w:w="1078" w:type="dxa"/>
            <w:shd w:val="clear" w:color="auto" w:fill="D0CECE" w:themeFill="background2" w:themeFillShade="E6"/>
          </w:tcPr>
          <w:p w14:paraId="24DAAEF5" w14:textId="77777777" w:rsidR="001F7102" w:rsidRPr="00C27664" w:rsidRDefault="001F7102">
            <w:pPr>
              <w:rPr>
                <w:rFonts w:ascii="Arial" w:hAnsi="Arial" w:cs="Arial"/>
                <w:color w:val="auto"/>
                <w:sz w:val="20"/>
              </w:rPr>
            </w:pPr>
            <w:r w:rsidRPr="00C27664">
              <w:rPr>
                <w:rFonts w:ascii="Arial" w:hAnsi="Arial" w:cs="Arial"/>
                <w:b/>
                <w:color w:val="auto"/>
                <w:sz w:val="20"/>
              </w:rPr>
              <w:t>2027–28</w:t>
            </w:r>
          </w:p>
        </w:tc>
        <w:tc>
          <w:tcPr>
            <w:tcW w:w="1117" w:type="dxa"/>
            <w:shd w:val="clear" w:color="auto" w:fill="D0CECE" w:themeFill="background2" w:themeFillShade="E6"/>
          </w:tcPr>
          <w:p w14:paraId="7476C27F" w14:textId="77777777" w:rsidR="001F7102" w:rsidRPr="00C27664" w:rsidRDefault="001F7102">
            <w:pPr>
              <w:rPr>
                <w:rFonts w:ascii="Arial" w:hAnsi="Arial" w:cs="Arial"/>
                <w:color w:val="auto"/>
                <w:sz w:val="20"/>
              </w:rPr>
            </w:pPr>
            <w:r w:rsidRPr="00C27664">
              <w:rPr>
                <w:rFonts w:ascii="Arial" w:hAnsi="Arial" w:cs="Arial"/>
                <w:b/>
                <w:color w:val="auto"/>
                <w:sz w:val="20"/>
              </w:rPr>
              <w:t>2028–29</w:t>
            </w:r>
          </w:p>
        </w:tc>
      </w:tr>
      <w:tr w:rsidR="00C27664" w:rsidRPr="00C27664" w14:paraId="7E4D0972" w14:textId="77777777" w:rsidTr="00AC601B">
        <w:tc>
          <w:tcPr>
            <w:tcW w:w="1074" w:type="dxa"/>
            <w:vAlign w:val="center"/>
          </w:tcPr>
          <w:p w14:paraId="2C95B20F" w14:textId="4C4A32A8"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5" w:type="dxa"/>
            <w:vAlign w:val="center"/>
          </w:tcPr>
          <w:p w14:paraId="05DCC1A5" w14:textId="30594297"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5" w:type="dxa"/>
            <w:shd w:val="clear" w:color="auto" w:fill="FFFFFF" w:themeFill="background1"/>
            <w:vAlign w:val="center"/>
          </w:tcPr>
          <w:p w14:paraId="00FD8267" w14:textId="2097B05E"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6" w:type="dxa"/>
            <w:shd w:val="clear" w:color="auto" w:fill="FFFFFF" w:themeFill="background1"/>
            <w:vAlign w:val="center"/>
          </w:tcPr>
          <w:p w14:paraId="18806A62" w14:textId="45BA9BDD"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6" w:type="dxa"/>
            <w:shd w:val="clear" w:color="auto" w:fill="FFFFFF" w:themeFill="background1"/>
            <w:vAlign w:val="center"/>
          </w:tcPr>
          <w:p w14:paraId="117DF797" w14:textId="732FDEFC"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5" w:type="dxa"/>
            <w:shd w:val="clear" w:color="auto" w:fill="FFFFFF" w:themeFill="background1"/>
            <w:vAlign w:val="center"/>
          </w:tcPr>
          <w:p w14:paraId="28900D7F" w14:textId="25904228"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5" w:type="dxa"/>
            <w:shd w:val="clear" w:color="auto" w:fill="FFFFFF" w:themeFill="background1"/>
            <w:vAlign w:val="center"/>
          </w:tcPr>
          <w:p w14:paraId="396294B8" w14:textId="08C9DF97"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5" w:type="dxa"/>
            <w:shd w:val="clear" w:color="auto" w:fill="FFFFFF" w:themeFill="background1"/>
            <w:vAlign w:val="center"/>
          </w:tcPr>
          <w:p w14:paraId="15F0354B" w14:textId="16318281"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6" w:type="dxa"/>
            <w:shd w:val="clear" w:color="auto" w:fill="FFFFFF" w:themeFill="background1"/>
            <w:vAlign w:val="center"/>
          </w:tcPr>
          <w:p w14:paraId="3B394355" w14:textId="20CB161C" w:rsidR="001F7102" w:rsidRPr="00C27664" w:rsidRDefault="000F67E1">
            <w:pPr>
              <w:jc w:val="center"/>
              <w:rPr>
                <w:rFonts w:ascii="Arial" w:hAnsi="Arial" w:cs="Arial"/>
                <w:color w:val="auto"/>
                <w:sz w:val="20"/>
              </w:rPr>
            </w:pPr>
            <w:r w:rsidRPr="00C27664">
              <w:rPr>
                <w:rFonts w:ascii="Arial" w:hAnsi="Arial" w:cs="Arial"/>
                <w:color w:val="auto"/>
                <w:sz w:val="20"/>
              </w:rPr>
              <w:t>N/A</w:t>
            </w:r>
          </w:p>
        </w:tc>
        <w:tc>
          <w:tcPr>
            <w:tcW w:w="1078" w:type="dxa"/>
            <w:shd w:val="clear" w:color="auto" w:fill="D0CECE" w:themeFill="background2" w:themeFillShade="E6"/>
          </w:tcPr>
          <w:p w14:paraId="1ED8D97D" w14:textId="77777777" w:rsidR="001F7102" w:rsidRPr="00C27664" w:rsidRDefault="001F7102">
            <w:pPr>
              <w:jc w:val="center"/>
              <w:rPr>
                <w:rFonts w:ascii="Arial" w:hAnsi="Arial" w:cs="Arial"/>
                <w:color w:val="auto"/>
                <w:sz w:val="20"/>
              </w:rPr>
            </w:pPr>
            <w:r w:rsidRPr="00C27664">
              <w:rPr>
                <w:rFonts w:ascii="Arial" w:hAnsi="Arial" w:cs="Arial"/>
                <w:color w:val="auto"/>
                <w:sz w:val="20"/>
              </w:rPr>
              <w:t>Maintain support for all identified schools that did not meet exit criteria</w:t>
            </w:r>
          </w:p>
        </w:tc>
        <w:tc>
          <w:tcPr>
            <w:tcW w:w="1078" w:type="dxa"/>
            <w:shd w:val="clear" w:color="auto" w:fill="D0CECE" w:themeFill="background2" w:themeFillShade="E6"/>
          </w:tcPr>
          <w:p w14:paraId="001C6070" w14:textId="77777777" w:rsidR="001F7102" w:rsidRPr="00C27664" w:rsidRDefault="001F7102">
            <w:pPr>
              <w:jc w:val="center"/>
              <w:rPr>
                <w:rFonts w:ascii="Arial" w:hAnsi="Arial" w:cs="Arial"/>
                <w:color w:val="auto"/>
                <w:sz w:val="20"/>
              </w:rPr>
            </w:pPr>
            <w:r w:rsidRPr="00C27664">
              <w:rPr>
                <w:rFonts w:ascii="Arial" w:hAnsi="Arial" w:cs="Arial"/>
                <w:color w:val="auto"/>
                <w:sz w:val="20"/>
              </w:rPr>
              <w:t>Maintain support for all identified schools that did not meet exit criteria</w:t>
            </w:r>
          </w:p>
        </w:tc>
        <w:tc>
          <w:tcPr>
            <w:tcW w:w="1117" w:type="dxa"/>
            <w:shd w:val="clear" w:color="auto" w:fill="C5E0B3" w:themeFill="accent6" w:themeFillTint="66"/>
            <w:vAlign w:val="center"/>
          </w:tcPr>
          <w:p w14:paraId="5BAC5BDD" w14:textId="77777777" w:rsidR="001F7102" w:rsidRPr="00C27664" w:rsidRDefault="001F7102">
            <w:pPr>
              <w:jc w:val="center"/>
              <w:rPr>
                <w:rFonts w:ascii="Arial" w:hAnsi="Arial" w:cs="Arial"/>
                <w:color w:val="auto"/>
                <w:sz w:val="20"/>
              </w:rPr>
            </w:pPr>
            <w:r w:rsidRPr="00C27664">
              <w:rPr>
                <w:rFonts w:ascii="Arial" w:hAnsi="Arial" w:cs="Arial"/>
                <w:color w:val="auto"/>
                <w:sz w:val="20"/>
              </w:rPr>
              <w:t>Exit criteria applied for all previously identified schools</w:t>
            </w:r>
          </w:p>
        </w:tc>
      </w:tr>
      <w:tr w:rsidR="001D414A" w:rsidRPr="00C27664" w14:paraId="2D51FA71" w14:textId="77777777" w:rsidTr="00AC601B">
        <w:tc>
          <w:tcPr>
            <w:tcW w:w="1074" w:type="dxa"/>
            <w:vAlign w:val="center"/>
          </w:tcPr>
          <w:p w14:paraId="6C7052AC" w14:textId="1D110D63" w:rsidR="001D414A" w:rsidRPr="00FA0B6D" w:rsidRDefault="001D414A" w:rsidP="00E13B49">
            <w:pPr>
              <w:jc w:val="center"/>
              <w:rPr>
                <w:rFonts w:ascii="Arial" w:hAnsi="Arial" w:cs="Arial"/>
                <w:color w:val="FFFFFF" w:themeColor="background1"/>
                <w:sz w:val="20"/>
              </w:rPr>
            </w:pPr>
            <w:r>
              <w:rPr>
                <w:rFonts w:ascii="Arial" w:hAnsi="Arial" w:cs="Arial"/>
                <w:sz w:val="20"/>
              </w:rPr>
              <w:t>-</w:t>
            </w:r>
          </w:p>
        </w:tc>
        <w:tc>
          <w:tcPr>
            <w:tcW w:w="1075" w:type="dxa"/>
            <w:vAlign w:val="center"/>
          </w:tcPr>
          <w:p w14:paraId="2C207EDB" w14:textId="323B5972" w:rsidR="001D414A" w:rsidRPr="00FA0B6D" w:rsidRDefault="001D414A" w:rsidP="00E13B49">
            <w:pPr>
              <w:jc w:val="center"/>
              <w:rPr>
                <w:rFonts w:ascii="Arial" w:hAnsi="Arial" w:cs="Arial"/>
                <w:color w:val="FFFFFF" w:themeColor="background1"/>
                <w:sz w:val="20"/>
              </w:rPr>
            </w:pPr>
            <w:r>
              <w:rPr>
                <w:rFonts w:ascii="Arial" w:hAnsi="Arial" w:cs="Arial"/>
                <w:sz w:val="20"/>
              </w:rPr>
              <w:t>-</w:t>
            </w:r>
          </w:p>
        </w:tc>
        <w:tc>
          <w:tcPr>
            <w:tcW w:w="1075" w:type="dxa"/>
            <w:vAlign w:val="center"/>
          </w:tcPr>
          <w:p w14:paraId="75AF6076" w14:textId="29E33305" w:rsidR="001D414A" w:rsidRPr="00FA0B6D" w:rsidRDefault="001D414A" w:rsidP="00E13B49">
            <w:pPr>
              <w:jc w:val="center"/>
              <w:rPr>
                <w:rFonts w:ascii="Arial" w:hAnsi="Arial" w:cs="Arial"/>
                <w:color w:val="FFFFFF" w:themeColor="background1"/>
                <w:sz w:val="20"/>
              </w:rPr>
            </w:pPr>
            <w:r>
              <w:rPr>
                <w:rFonts w:ascii="Arial" w:hAnsi="Arial" w:cs="Arial"/>
                <w:sz w:val="20"/>
              </w:rPr>
              <w:t>-</w:t>
            </w:r>
          </w:p>
        </w:tc>
        <w:tc>
          <w:tcPr>
            <w:tcW w:w="1076" w:type="dxa"/>
            <w:vAlign w:val="center"/>
          </w:tcPr>
          <w:p w14:paraId="641484F4" w14:textId="0C292109" w:rsidR="001D414A" w:rsidRPr="00FA0B6D" w:rsidRDefault="001D414A" w:rsidP="00E13B49">
            <w:pPr>
              <w:jc w:val="center"/>
              <w:rPr>
                <w:rFonts w:ascii="Arial" w:hAnsi="Arial" w:cs="Arial"/>
                <w:color w:val="FFFFFF" w:themeColor="background1"/>
                <w:sz w:val="20"/>
              </w:rPr>
            </w:pPr>
            <w:r>
              <w:rPr>
                <w:rFonts w:ascii="Arial" w:hAnsi="Arial" w:cs="Arial"/>
                <w:sz w:val="20"/>
              </w:rPr>
              <w:t>-</w:t>
            </w:r>
          </w:p>
        </w:tc>
        <w:tc>
          <w:tcPr>
            <w:tcW w:w="1076" w:type="dxa"/>
            <w:vAlign w:val="center"/>
          </w:tcPr>
          <w:p w14:paraId="023D68AD" w14:textId="20E4FE0F" w:rsidR="001D414A" w:rsidRPr="00FA0B6D" w:rsidRDefault="001D414A" w:rsidP="00E13B49">
            <w:pPr>
              <w:jc w:val="center"/>
              <w:rPr>
                <w:rFonts w:ascii="Arial" w:hAnsi="Arial" w:cs="Arial"/>
                <w:color w:val="FFFFFF" w:themeColor="background1"/>
                <w:sz w:val="20"/>
              </w:rPr>
            </w:pPr>
            <w:r>
              <w:rPr>
                <w:rFonts w:ascii="Arial" w:hAnsi="Arial" w:cs="Arial"/>
                <w:sz w:val="20"/>
              </w:rPr>
              <w:t>-</w:t>
            </w:r>
          </w:p>
        </w:tc>
        <w:tc>
          <w:tcPr>
            <w:tcW w:w="1075" w:type="dxa"/>
            <w:shd w:val="clear" w:color="auto" w:fill="FFFFFF" w:themeFill="background1"/>
            <w:vAlign w:val="center"/>
          </w:tcPr>
          <w:p w14:paraId="371BDE93" w14:textId="0BF34A3D" w:rsidR="001D414A" w:rsidRPr="00FA0B6D" w:rsidRDefault="001D414A" w:rsidP="00E13B49">
            <w:pPr>
              <w:jc w:val="center"/>
              <w:rPr>
                <w:rFonts w:ascii="Arial" w:hAnsi="Arial" w:cs="Arial"/>
                <w:color w:val="FFFFFF" w:themeColor="background1"/>
                <w:sz w:val="20"/>
              </w:rPr>
            </w:pPr>
            <w:r>
              <w:rPr>
                <w:rFonts w:ascii="Arial" w:hAnsi="Arial" w:cs="Arial"/>
                <w:sz w:val="20"/>
              </w:rPr>
              <w:t>-</w:t>
            </w:r>
          </w:p>
        </w:tc>
        <w:tc>
          <w:tcPr>
            <w:tcW w:w="1075" w:type="dxa"/>
            <w:vAlign w:val="center"/>
          </w:tcPr>
          <w:p w14:paraId="43367496" w14:textId="0004B0ED" w:rsidR="001D414A" w:rsidRPr="00FA0B6D" w:rsidRDefault="001D414A" w:rsidP="00E13B49">
            <w:pPr>
              <w:jc w:val="center"/>
              <w:rPr>
                <w:rFonts w:ascii="Arial" w:hAnsi="Arial" w:cs="Arial"/>
                <w:color w:val="FFFFFF" w:themeColor="background1"/>
                <w:sz w:val="20"/>
              </w:rPr>
            </w:pPr>
            <w:r>
              <w:rPr>
                <w:rFonts w:ascii="Arial" w:hAnsi="Arial" w:cs="Arial"/>
                <w:sz w:val="20"/>
              </w:rPr>
              <w:t>-</w:t>
            </w:r>
          </w:p>
        </w:tc>
        <w:tc>
          <w:tcPr>
            <w:tcW w:w="1075" w:type="dxa"/>
            <w:vAlign w:val="center"/>
          </w:tcPr>
          <w:p w14:paraId="1B236766" w14:textId="4F042D1E" w:rsidR="001D414A" w:rsidRPr="00FA0B6D" w:rsidRDefault="001D414A" w:rsidP="001D414A">
            <w:pPr>
              <w:jc w:val="center"/>
              <w:rPr>
                <w:rFonts w:ascii="Arial" w:hAnsi="Arial" w:cs="Arial"/>
                <w:color w:val="FFFFFF" w:themeColor="background1"/>
                <w:sz w:val="20"/>
              </w:rPr>
            </w:pPr>
            <w:r>
              <w:rPr>
                <w:rFonts w:ascii="Arial" w:hAnsi="Arial" w:cs="Arial"/>
                <w:sz w:val="20"/>
              </w:rPr>
              <w:t>-</w:t>
            </w:r>
          </w:p>
        </w:tc>
        <w:tc>
          <w:tcPr>
            <w:tcW w:w="1076" w:type="dxa"/>
            <w:shd w:val="clear" w:color="auto" w:fill="ACB9CA" w:themeFill="text2" w:themeFillTint="66"/>
          </w:tcPr>
          <w:p w14:paraId="384283C7" w14:textId="77777777" w:rsidR="001D414A" w:rsidRPr="00C27664" w:rsidRDefault="001D414A" w:rsidP="001D414A">
            <w:pPr>
              <w:spacing w:line="240" w:lineRule="auto"/>
              <w:jc w:val="center"/>
              <w:rPr>
                <w:rFonts w:ascii="Arial" w:hAnsi="Arial" w:cs="Arial"/>
                <w:color w:val="auto"/>
                <w:sz w:val="20"/>
              </w:rPr>
            </w:pPr>
            <w:r w:rsidRPr="00C27664">
              <w:rPr>
                <w:rFonts w:ascii="Arial" w:hAnsi="Arial" w:cs="Arial"/>
                <w:color w:val="auto"/>
                <w:sz w:val="20"/>
              </w:rPr>
              <w:t>Identify</w:t>
            </w:r>
          </w:p>
          <w:p w14:paraId="6AC64D52" w14:textId="77777777" w:rsidR="001D414A" w:rsidRPr="00C27664" w:rsidRDefault="001D414A" w:rsidP="001D414A">
            <w:pPr>
              <w:spacing w:line="240" w:lineRule="auto"/>
              <w:jc w:val="center"/>
              <w:rPr>
                <w:rFonts w:ascii="Arial" w:hAnsi="Arial" w:cs="Arial"/>
                <w:color w:val="auto"/>
                <w:sz w:val="20"/>
              </w:rPr>
            </w:pPr>
            <w:r w:rsidRPr="00C27664">
              <w:rPr>
                <w:rFonts w:ascii="Arial" w:hAnsi="Arial" w:cs="Arial"/>
                <w:color w:val="auto"/>
                <w:sz w:val="20"/>
              </w:rPr>
              <w:t>2025</w:t>
            </w:r>
            <w:r w:rsidRPr="00C27664">
              <w:rPr>
                <w:rFonts w:ascii="Arial" w:hAnsi="Arial" w:cs="Arial"/>
                <w:b/>
                <w:color w:val="auto"/>
                <w:sz w:val="20"/>
              </w:rPr>
              <w:t>–</w:t>
            </w:r>
            <w:r w:rsidRPr="00C27664">
              <w:rPr>
                <w:rFonts w:ascii="Arial" w:hAnsi="Arial" w:cs="Arial"/>
                <w:color w:val="auto"/>
                <w:sz w:val="20"/>
              </w:rPr>
              <w:t>26</w:t>
            </w:r>
          </w:p>
          <w:p w14:paraId="54912F6F" w14:textId="77777777" w:rsidR="001D414A" w:rsidRPr="00C27664" w:rsidRDefault="001D414A" w:rsidP="001D414A">
            <w:pPr>
              <w:jc w:val="center"/>
              <w:rPr>
                <w:rFonts w:ascii="Arial" w:hAnsi="Arial" w:cs="Arial"/>
                <w:color w:val="auto"/>
                <w:sz w:val="20"/>
              </w:rPr>
            </w:pPr>
            <w:r w:rsidRPr="00C27664">
              <w:rPr>
                <w:rFonts w:ascii="Arial" w:hAnsi="Arial" w:cs="Arial"/>
                <w:color w:val="auto"/>
                <w:sz w:val="20"/>
              </w:rPr>
              <w:t>CSI schools</w:t>
            </w:r>
          </w:p>
        </w:tc>
        <w:tc>
          <w:tcPr>
            <w:tcW w:w="1078" w:type="dxa"/>
            <w:vAlign w:val="center"/>
          </w:tcPr>
          <w:p w14:paraId="60D59DD9" w14:textId="2F93AE9A" w:rsidR="001D414A" w:rsidRPr="00FA0B6D" w:rsidRDefault="001D414A" w:rsidP="001D414A">
            <w:pPr>
              <w:jc w:val="center"/>
              <w:rPr>
                <w:rFonts w:ascii="Arial" w:hAnsi="Arial" w:cs="Arial"/>
                <w:color w:val="FFFFFF" w:themeColor="background1"/>
                <w:sz w:val="20"/>
              </w:rPr>
            </w:pPr>
            <w:r>
              <w:rPr>
                <w:rFonts w:ascii="Arial" w:hAnsi="Arial" w:cs="Arial"/>
                <w:sz w:val="20"/>
              </w:rPr>
              <w:t>-</w:t>
            </w:r>
          </w:p>
        </w:tc>
        <w:tc>
          <w:tcPr>
            <w:tcW w:w="1078" w:type="dxa"/>
            <w:vAlign w:val="center"/>
          </w:tcPr>
          <w:p w14:paraId="7E157694" w14:textId="4F9E0A62" w:rsidR="001D414A" w:rsidRPr="00FA0B6D" w:rsidRDefault="001D414A" w:rsidP="001D414A">
            <w:pPr>
              <w:jc w:val="center"/>
              <w:rPr>
                <w:rFonts w:ascii="Arial" w:hAnsi="Arial" w:cs="Arial"/>
                <w:color w:val="FFFFFF" w:themeColor="background1"/>
                <w:sz w:val="20"/>
              </w:rPr>
            </w:pPr>
            <w:r>
              <w:rPr>
                <w:rFonts w:ascii="Arial" w:hAnsi="Arial" w:cs="Arial"/>
                <w:sz w:val="20"/>
              </w:rPr>
              <w:t>-</w:t>
            </w:r>
          </w:p>
        </w:tc>
        <w:tc>
          <w:tcPr>
            <w:tcW w:w="1117" w:type="dxa"/>
            <w:shd w:val="clear" w:color="auto" w:fill="ACB9CA" w:themeFill="text2" w:themeFillTint="66"/>
          </w:tcPr>
          <w:p w14:paraId="1873096C" w14:textId="77777777" w:rsidR="001D414A" w:rsidRPr="00C27664" w:rsidRDefault="001D414A" w:rsidP="001D414A">
            <w:pPr>
              <w:spacing w:line="240" w:lineRule="auto"/>
              <w:jc w:val="center"/>
              <w:rPr>
                <w:rFonts w:ascii="Arial" w:hAnsi="Arial" w:cs="Arial"/>
                <w:color w:val="auto"/>
                <w:sz w:val="20"/>
              </w:rPr>
            </w:pPr>
            <w:r w:rsidRPr="00C27664">
              <w:rPr>
                <w:rFonts w:ascii="Arial" w:hAnsi="Arial" w:cs="Arial"/>
                <w:color w:val="auto"/>
                <w:sz w:val="20"/>
              </w:rPr>
              <w:t>Identify</w:t>
            </w:r>
          </w:p>
          <w:p w14:paraId="103D3F3E" w14:textId="77777777" w:rsidR="001D414A" w:rsidRPr="00C27664" w:rsidRDefault="001D414A" w:rsidP="001D414A">
            <w:pPr>
              <w:spacing w:line="240" w:lineRule="auto"/>
              <w:jc w:val="center"/>
              <w:rPr>
                <w:rFonts w:ascii="Arial" w:hAnsi="Arial" w:cs="Arial"/>
                <w:color w:val="auto"/>
                <w:sz w:val="20"/>
              </w:rPr>
            </w:pPr>
            <w:r w:rsidRPr="00C27664">
              <w:rPr>
                <w:rFonts w:ascii="Arial" w:hAnsi="Arial" w:cs="Arial"/>
                <w:color w:val="auto"/>
                <w:sz w:val="20"/>
              </w:rPr>
              <w:t>2028</w:t>
            </w:r>
            <w:r w:rsidRPr="00C27664">
              <w:rPr>
                <w:rFonts w:ascii="Arial" w:hAnsi="Arial" w:cs="Arial"/>
                <w:b/>
                <w:color w:val="auto"/>
                <w:sz w:val="20"/>
              </w:rPr>
              <w:t>–</w:t>
            </w:r>
            <w:r w:rsidRPr="00C27664">
              <w:rPr>
                <w:rFonts w:ascii="Arial" w:hAnsi="Arial" w:cs="Arial"/>
                <w:color w:val="auto"/>
                <w:sz w:val="20"/>
              </w:rPr>
              <w:t>29</w:t>
            </w:r>
          </w:p>
          <w:p w14:paraId="18AFDA2F" w14:textId="77777777" w:rsidR="001D414A" w:rsidRPr="00C27664" w:rsidRDefault="001D414A" w:rsidP="001D414A">
            <w:pPr>
              <w:jc w:val="center"/>
              <w:rPr>
                <w:rFonts w:ascii="Arial" w:hAnsi="Arial" w:cs="Arial"/>
                <w:color w:val="auto"/>
                <w:sz w:val="20"/>
              </w:rPr>
            </w:pPr>
            <w:r w:rsidRPr="00C27664">
              <w:rPr>
                <w:rFonts w:ascii="Arial" w:hAnsi="Arial" w:cs="Arial"/>
                <w:color w:val="auto"/>
                <w:sz w:val="20"/>
              </w:rPr>
              <w:t>CSI schools</w:t>
            </w:r>
          </w:p>
        </w:tc>
      </w:tr>
    </w:tbl>
    <w:p w14:paraId="25F2CAA9" w14:textId="77777777" w:rsidR="00AC601B" w:rsidRDefault="00AC601B" w:rsidP="00AC601B">
      <w:pPr>
        <w:spacing w:line="240" w:lineRule="auto"/>
        <w:ind w:right="720"/>
        <w:rPr>
          <w:rFonts w:ascii="Arial" w:hAnsi="Arial" w:cs="Arial"/>
          <w:szCs w:val="24"/>
        </w:rPr>
      </w:pPr>
    </w:p>
    <w:p w14:paraId="2F780CB5" w14:textId="4DE27246" w:rsidR="000025F4" w:rsidRPr="00286DC1" w:rsidRDefault="000025F4" w:rsidP="00AC601B">
      <w:pPr>
        <w:spacing w:line="240" w:lineRule="auto"/>
        <w:ind w:right="720"/>
        <w:rPr>
          <w:rFonts w:ascii="Arial" w:hAnsi="Arial" w:cs="Arial"/>
          <w:szCs w:val="24"/>
        </w:rPr>
      </w:pPr>
      <w:r w:rsidRPr="0048021A">
        <w:rPr>
          <w:rFonts w:ascii="Arial" w:hAnsi="Arial" w:cs="Arial"/>
          <w:szCs w:val="24"/>
        </w:rPr>
        <w:t xml:space="preserve">Table 9.7.1.7 provides the identification and exit timeline for TSI-CU schools. To be identified as TSI-CU </w:t>
      </w:r>
      <w:r w:rsidR="00224E6D" w:rsidRPr="0048021A">
        <w:rPr>
          <w:rFonts w:ascii="Arial" w:hAnsi="Arial" w:cs="Arial"/>
          <w:szCs w:val="24"/>
        </w:rPr>
        <w:t>schools must have o</w:t>
      </w:r>
      <w:r w:rsidRPr="00286DC1">
        <w:rPr>
          <w:rFonts w:ascii="Arial" w:hAnsi="Arial" w:cs="Arial"/>
          <w:szCs w:val="24"/>
        </w:rPr>
        <w:t xml:space="preserve">ne or more of the same subgroup(s) with a designation of “F” on the NC statewide system of annual meaningful differentiation (i.e., School Performance Grades) for the most recent and previous two years. </w:t>
      </w:r>
      <w:r w:rsidRPr="0048021A">
        <w:rPr>
          <w:rFonts w:ascii="Arial" w:hAnsi="Arial" w:cs="Arial"/>
          <w:color w:val="auto"/>
          <w:szCs w:val="24"/>
        </w:rPr>
        <w:t xml:space="preserve">To exit the </w:t>
      </w:r>
      <w:r w:rsidR="00224E6D" w:rsidRPr="0048021A">
        <w:rPr>
          <w:rFonts w:ascii="Arial" w:hAnsi="Arial" w:cs="Arial"/>
          <w:color w:val="auto"/>
          <w:szCs w:val="24"/>
        </w:rPr>
        <w:t>TSI-CU</w:t>
      </w:r>
      <w:r w:rsidRPr="0048021A">
        <w:rPr>
          <w:rFonts w:ascii="Arial" w:hAnsi="Arial" w:cs="Arial"/>
          <w:color w:val="auto"/>
          <w:szCs w:val="24"/>
        </w:rPr>
        <w:t xml:space="preserve"> designation, school</w:t>
      </w:r>
      <w:r w:rsidR="00224E6D" w:rsidRPr="0048021A">
        <w:rPr>
          <w:rFonts w:ascii="Arial" w:hAnsi="Arial" w:cs="Arial"/>
          <w:color w:val="auto"/>
          <w:szCs w:val="24"/>
        </w:rPr>
        <w:t>s</w:t>
      </w:r>
      <w:r w:rsidR="0048021A" w:rsidRPr="0048021A">
        <w:rPr>
          <w:rFonts w:ascii="Arial" w:hAnsi="Arial" w:cs="Arial"/>
          <w:color w:val="auto"/>
          <w:szCs w:val="24"/>
        </w:rPr>
        <w:t xml:space="preserve"> must a</w:t>
      </w:r>
      <w:r w:rsidR="00224E6D" w:rsidRPr="00286DC1">
        <w:rPr>
          <w:rFonts w:ascii="Arial" w:hAnsi="Arial" w:cs="Arial"/>
          <w:szCs w:val="24"/>
        </w:rPr>
        <w:t>chieve a letter grade of “D” or higher on the NC statewide system of annual meaningful differentiation (i.e., School Performance Grades) for previously identified subgroups in the most recent and previous year.</w:t>
      </w:r>
    </w:p>
    <w:p w14:paraId="325851BC" w14:textId="2366D84C" w:rsidR="00AC601B" w:rsidRDefault="00F948CB">
      <w:pPr>
        <w:spacing w:line="240" w:lineRule="auto"/>
        <w:rPr>
          <w:rFonts w:ascii="Arial" w:hAnsi="Arial" w:cs="Arial"/>
          <w:sz w:val="20"/>
        </w:rPr>
      </w:pPr>
      <w:r w:rsidRPr="00BF1F0E">
        <w:rPr>
          <w:rFonts w:ascii="Arial" w:hAnsi="Arial" w:cs="Arial"/>
          <w:sz w:val="20"/>
        </w:rPr>
        <w:br w:type="page"/>
      </w:r>
    </w:p>
    <w:p w14:paraId="102BE292" w14:textId="095B1F5C" w:rsidR="00632152" w:rsidRDefault="00632152" w:rsidP="00AC601B">
      <w:pPr>
        <w:rPr>
          <w:rFonts w:ascii="Arial" w:hAnsi="Arial" w:cs="Arial"/>
          <w:sz w:val="20"/>
        </w:rPr>
      </w:pPr>
      <w:r w:rsidRPr="001427AF">
        <w:rPr>
          <w:rFonts w:ascii="Arial" w:hAnsi="Arial" w:cs="Arial"/>
          <w:sz w:val="20"/>
        </w:rPr>
        <w:lastRenderedPageBreak/>
        <w:t>TABLE 9.7.1.</w:t>
      </w:r>
      <w:r>
        <w:rPr>
          <w:rFonts w:ascii="Arial" w:hAnsi="Arial" w:cs="Arial"/>
          <w:sz w:val="20"/>
        </w:rPr>
        <w:t>7</w:t>
      </w:r>
      <w:r w:rsidRPr="001427AF">
        <w:rPr>
          <w:rFonts w:ascii="Arial" w:hAnsi="Arial" w:cs="Arial"/>
          <w:sz w:val="20"/>
        </w:rPr>
        <w:t xml:space="preserve">. </w:t>
      </w:r>
      <w:r>
        <w:rPr>
          <w:rFonts w:ascii="Arial" w:hAnsi="Arial" w:cs="Arial"/>
          <w:sz w:val="20"/>
        </w:rPr>
        <w:t xml:space="preserve">TSI- Consistently Underperforming </w:t>
      </w:r>
      <w:r w:rsidRPr="001427AF">
        <w:rPr>
          <w:rFonts w:ascii="Arial" w:hAnsi="Arial" w:cs="Arial"/>
          <w:sz w:val="20"/>
        </w:rPr>
        <w:t xml:space="preserve">school identification </w:t>
      </w:r>
      <w:r w:rsidR="000025F4">
        <w:rPr>
          <w:rFonts w:ascii="Arial" w:hAnsi="Arial" w:cs="Arial"/>
          <w:sz w:val="20"/>
        </w:rPr>
        <w:t xml:space="preserve">and exit </w:t>
      </w:r>
      <w:r w:rsidRPr="001427AF">
        <w:rPr>
          <w:rFonts w:ascii="Arial" w:hAnsi="Arial" w:cs="Arial"/>
          <w:sz w:val="20"/>
        </w:rPr>
        <w:t>timeline</w:t>
      </w:r>
    </w:p>
    <w:tbl>
      <w:tblPr>
        <w:tblStyle w:val="TableGrid"/>
        <w:tblW w:w="503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1216"/>
        <w:gridCol w:w="1214"/>
        <w:gridCol w:w="1217"/>
        <w:gridCol w:w="1214"/>
        <w:gridCol w:w="1217"/>
        <w:gridCol w:w="1214"/>
        <w:gridCol w:w="1214"/>
        <w:gridCol w:w="1214"/>
        <w:gridCol w:w="1214"/>
        <w:gridCol w:w="1214"/>
        <w:gridCol w:w="1214"/>
      </w:tblGrid>
      <w:tr w:rsidR="00ED233D" w:rsidRPr="00C27664" w14:paraId="19F81EC7" w14:textId="77777777" w:rsidTr="003069AC">
        <w:trPr>
          <w:trHeight w:val="186"/>
        </w:trPr>
        <w:tc>
          <w:tcPr>
            <w:tcW w:w="388" w:type="pct"/>
            <w:shd w:val="clear" w:color="auto" w:fill="D0CECE" w:themeFill="background2" w:themeFillShade="E6"/>
          </w:tcPr>
          <w:p w14:paraId="3920EBC4"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2017–18</w:t>
            </w:r>
          </w:p>
        </w:tc>
        <w:tc>
          <w:tcPr>
            <w:tcW w:w="420" w:type="pct"/>
            <w:shd w:val="clear" w:color="auto" w:fill="D0CECE" w:themeFill="background2" w:themeFillShade="E6"/>
          </w:tcPr>
          <w:p w14:paraId="3F01854F"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2018–19</w:t>
            </w:r>
          </w:p>
        </w:tc>
        <w:tc>
          <w:tcPr>
            <w:tcW w:w="419" w:type="pct"/>
            <w:shd w:val="clear" w:color="auto" w:fill="D0CECE" w:themeFill="background2" w:themeFillShade="E6"/>
          </w:tcPr>
          <w:p w14:paraId="38641000"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2019–20</w:t>
            </w:r>
          </w:p>
        </w:tc>
        <w:tc>
          <w:tcPr>
            <w:tcW w:w="420" w:type="pct"/>
            <w:shd w:val="clear" w:color="auto" w:fill="D0CECE" w:themeFill="background2" w:themeFillShade="E6"/>
          </w:tcPr>
          <w:p w14:paraId="71C6A3D8"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2020–21</w:t>
            </w:r>
          </w:p>
        </w:tc>
        <w:tc>
          <w:tcPr>
            <w:tcW w:w="419" w:type="pct"/>
            <w:shd w:val="clear" w:color="auto" w:fill="D0CECE" w:themeFill="background2" w:themeFillShade="E6"/>
          </w:tcPr>
          <w:p w14:paraId="6C88791F"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2021–22</w:t>
            </w:r>
          </w:p>
        </w:tc>
        <w:tc>
          <w:tcPr>
            <w:tcW w:w="420" w:type="pct"/>
            <w:shd w:val="clear" w:color="auto" w:fill="D0CECE" w:themeFill="background2" w:themeFillShade="E6"/>
          </w:tcPr>
          <w:p w14:paraId="4A9B8A94"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2022–23</w:t>
            </w:r>
          </w:p>
        </w:tc>
        <w:tc>
          <w:tcPr>
            <w:tcW w:w="419" w:type="pct"/>
            <w:shd w:val="clear" w:color="auto" w:fill="D0CECE" w:themeFill="background2" w:themeFillShade="E6"/>
          </w:tcPr>
          <w:p w14:paraId="4C203465"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2023–24</w:t>
            </w:r>
          </w:p>
        </w:tc>
        <w:tc>
          <w:tcPr>
            <w:tcW w:w="419" w:type="pct"/>
            <w:shd w:val="clear" w:color="auto" w:fill="D0CECE" w:themeFill="background2" w:themeFillShade="E6"/>
          </w:tcPr>
          <w:p w14:paraId="0A86DE5C"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2024–25</w:t>
            </w:r>
          </w:p>
        </w:tc>
        <w:tc>
          <w:tcPr>
            <w:tcW w:w="419" w:type="pct"/>
            <w:shd w:val="clear" w:color="auto" w:fill="D0CECE" w:themeFill="background2" w:themeFillShade="E6"/>
          </w:tcPr>
          <w:p w14:paraId="730D36D3"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2025–26</w:t>
            </w:r>
          </w:p>
        </w:tc>
        <w:tc>
          <w:tcPr>
            <w:tcW w:w="419" w:type="pct"/>
            <w:shd w:val="clear" w:color="auto" w:fill="D0CECE" w:themeFill="background2" w:themeFillShade="E6"/>
          </w:tcPr>
          <w:p w14:paraId="5CFD40D3"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2026–27</w:t>
            </w:r>
          </w:p>
        </w:tc>
        <w:tc>
          <w:tcPr>
            <w:tcW w:w="419" w:type="pct"/>
            <w:shd w:val="clear" w:color="auto" w:fill="D0CECE" w:themeFill="background2" w:themeFillShade="E6"/>
          </w:tcPr>
          <w:p w14:paraId="7AACC85F"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2027–28</w:t>
            </w:r>
          </w:p>
        </w:tc>
        <w:tc>
          <w:tcPr>
            <w:tcW w:w="419" w:type="pct"/>
            <w:shd w:val="clear" w:color="auto" w:fill="D0CECE" w:themeFill="background2" w:themeFillShade="E6"/>
          </w:tcPr>
          <w:p w14:paraId="518FF007" w14:textId="77777777" w:rsidR="00632152" w:rsidRPr="00C27664" w:rsidRDefault="00632152" w:rsidP="00286DC1">
            <w:pPr>
              <w:jc w:val="center"/>
              <w:rPr>
                <w:rFonts w:ascii="Arial" w:hAnsi="Arial" w:cs="Arial"/>
                <w:color w:val="auto"/>
                <w:sz w:val="20"/>
              </w:rPr>
            </w:pPr>
            <w:r w:rsidRPr="00C27664">
              <w:rPr>
                <w:rFonts w:ascii="Arial" w:hAnsi="Arial" w:cs="Arial"/>
                <w:b/>
                <w:color w:val="auto"/>
                <w:sz w:val="20"/>
              </w:rPr>
              <w:t>2028–29</w:t>
            </w:r>
          </w:p>
        </w:tc>
      </w:tr>
      <w:tr w:rsidR="00ED233D" w:rsidRPr="00C27664" w14:paraId="07609576" w14:textId="77777777" w:rsidTr="003069AC">
        <w:trPr>
          <w:trHeight w:val="183"/>
        </w:trPr>
        <w:tc>
          <w:tcPr>
            <w:tcW w:w="388" w:type="pct"/>
            <w:vAlign w:val="center"/>
          </w:tcPr>
          <w:p w14:paraId="3E10CD93" w14:textId="331821FC" w:rsidR="001D44DC" w:rsidRPr="00C27664" w:rsidRDefault="001D44DC" w:rsidP="00D1144D">
            <w:pPr>
              <w:jc w:val="center"/>
              <w:rPr>
                <w:rFonts w:ascii="Arial" w:hAnsi="Arial" w:cs="Arial"/>
                <w:color w:val="auto"/>
                <w:sz w:val="20"/>
              </w:rPr>
            </w:pPr>
            <w:proofErr w:type="gramStart"/>
            <w:r w:rsidRPr="00C27664">
              <w:rPr>
                <w:rFonts w:ascii="Arial" w:hAnsi="Arial" w:cs="Arial"/>
                <w:color w:val="auto"/>
                <w:sz w:val="20"/>
              </w:rPr>
              <w:t>Continue</w:t>
            </w:r>
            <w:proofErr w:type="gramEnd"/>
            <w:r w:rsidR="003069AC">
              <w:rPr>
                <w:rFonts w:ascii="Arial" w:hAnsi="Arial" w:cs="Arial"/>
                <w:color w:val="auto"/>
                <w:sz w:val="20"/>
              </w:rPr>
              <w:t xml:space="preserve"> </w:t>
            </w:r>
            <w:r w:rsidRPr="00C27664">
              <w:rPr>
                <w:rFonts w:ascii="Arial" w:hAnsi="Arial" w:cs="Arial"/>
                <w:color w:val="auto"/>
                <w:sz w:val="20"/>
              </w:rPr>
              <w:t>services for focus schools using NC ESEA flexibility definition</w:t>
            </w:r>
          </w:p>
        </w:tc>
        <w:tc>
          <w:tcPr>
            <w:tcW w:w="420" w:type="pct"/>
            <w:vAlign w:val="center"/>
          </w:tcPr>
          <w:p w14:paraId="25AB523A" w14:textId="19B7CA62" w:rsidR="001D44DC" w:rsidRPr="00C27664" w:rsidRDefault="001D44DC" w:rsidP="00D1144D">
            <w:pPr>
              <w:jc w:val="center"/>
              <w:rPr>
                <w:rFonts w:ascii="Arial" w:hAnsi="Arial" w:cs="Arial"/>
                <w:color w:val="auto"/>
                <w:sz w:val="20"/>
              </w:rPr>
            </w:pPr>
            <w:r w:rsidRPr="00C27664">
              <w:rPr>
                <w:rFonts w:ascii="Arial" w:hAnsi="Arial" w:cs="Arial"/>
                <w:color w:val="auto"/>
                <w:sz w:val="20"/>
              </w:rPr>
              <w:t>Watch list (modified identification criteria)</w:t>
            </w:r>
          </w:p>
        </w:tc>
        <w:tc>
          <w:tcPr>
            <w:tcW w:w="419" w:type="pct"/>
            <w:shd w:val="clear" w:color="auto" w:fill="FFFFFF" w:themeFill="background1"/>
            <w:vAlign w:val="center"/>
          </w:tcPr>
          <w:p w14:paraId="387E3C09" w14:textId="0D6E8DCD" w:rsidR="001D44DC" w:rsidRPr="00C27664" w:rsidRDefault="00555B36" w:rsidP="00D1144D">
            <w:pPr>
              <w:jc w:val="center"/>
              <w:rPr>
                <w:rFonts w:ascii="Arial" w:hAnsi="Arial" w:cs="Arial"/>
                <w:color w:val="auto"/>
                <w:sz w:val="20"/>
              </w:rPr>
            </w:pPr>
            <w:r>
              <w:rPr>
                <w:rFonts w:ascii="Arial" w:hAnsi="Arial" w:cs="Arial"/>
                <w:sz w:val="20"/>
              </w:rPr>
              <w:t>-</w:t>
            </w:r>
          </w:p>
        </w:tc>
        <w:tc>
          <w:tcPr>
            <w:tcW w:w="420" w:type="pct"/>
            <w:shd w:val="clear" w:color="auto" w:fill="FFFFFF" w:themeFill="background1"/>
            <w:vAlign w:val="center"/>
          </w:tcPr>
          <w:p w14:paraId="5DD1EB40" w14:textId="42FFEEE4" w:rsidR="001D44DC" w:rsidRPr="00C27664" w:rsidRDefault="001D44DC" w:rsidP="00D1144D">
            <w:pPr>
              <w:jc w:val="center"/>
              <w:rPr>
                <w:rFonts w:ascii="Arial" w:hAnsi="Arial" w:cs="Arial"/>
                <w:color w:val="auto"/>
                <w:sz w:val="20"/>
              </w:rPr>
            </w:pPr>
            <w:r w:rsidRPr="00C27664">
              <w:rPr>
                <w:rFonts w:ascii="Arial" w:hAnsi="Arial" w:cs="Arial"/>
                <w:color w:val="auto"/>
                <w:sz w:val="20"/>
              </w:rPr>
              <w:t>Due to COVID-19 impact, schools were not identified or exited</w:t>
            </w:r>
          </w:p>
        </w:tc>
        <w:tc>
          <w:tcPr>
            <w:tcW w:w="419" w:type="pct"/>
            <w:shd w:val="clear" w:color="auto" w:fill="FFFFFF" w:themeFill="background1"/>
            <w:vAlign w:val="center"/>
          </w:tcPr>
          <w:p w14:paraId="593AE91D" w14:textId="357C05A9" w:rsidR="001D44DC" w:rsidRPr="00C27664" w:rsidRDefault="001D44DC" w:rsidP="00D1144D">
            <w:pPr>
              <w:jc w:val="center"/>
              <w:rPr>
                <w:rFonts w:ascii="Arial" w:hAnsi="Arial" w:cs="Arial"/>
                <w:color w:val="auto"/>
                <w:sz w:val="20"/>
              </w:rPr>
            </w:pPr>
            <w:r w:rsidRPr="00C27664">
              <w:rPr>
                <w:rFonts w:ascii="Arial" w:hAnsi="Arial" w:cs="Arial"/>
                <w:color w:val="auto"/>
                <w:sz w:val="20"/>
              </w:rPr>
              <w:t>Due to COVID-19 impact, schools were not identified or exited</w:t>
            </w:r>
          </w:p>
        </w:tc>
        <w:tc>
          <w:tcPr>
            <w:tcW w:w="420" w:type="pct"/>
            <w:shd w:val="clear" w:color="auto" w:fill="C5E0B3" w:themeFill="accent6" w:themeFillTint="66"/>
            <w:vAlign w:val="center"/>
          </w:tcPr>
          <w:p w14:paraId="440DE8D5" w14:textId="4F3ABCCC" w:rsidR="001D44DC" w:rsidRPr="00C27664" w:rsidRDefault="001D44DC" w:rsidP="00D1144D">
            <w:pPr>
              <w:jc w:val="center"/>
              <w:rPr>
                <w:rFonts w:ascii="Arial" w:hAnsi="Arial" w:cs="Arial"/>
                <w:color w:val="auto"/>
                <w:sz w:val="20"/>
              </w:rPr>
            </w:pPr>
            <w:r w:rsidRPr="00C27664">
              <w:rPr>
                <w:rFonts w:ascii="Arial" w:hAnsi="Arial" w:cs="Arial"/>
                <w:color w:val="auto"/>
                <w:sz w:val="20"/>
              </w:rPr>
              <w:t>Exit criteria applied for</w:t>
            </w:r>
            <w:r w:rsidR="00F948CB" w:rsidRPr="00BF1F0E">
              <w:rPr>
                <w:rFonts w:ascii="Arial" w:hAnsi="Arial" w:cs="Arial"/>
                <w:color w:val="auto"/>
                <w:sz w:val="20"/>
              </w:rPr>
              <w:t xml:space="preserve"> </w:t>
            </w:r>
            <w:r w:rsidRPr="00C27664">
              <w:rPr>
                <w:rFonts w:ascii="Arial" w:hAnsi="Arial" w:cs="Arial"/>
                <w:color w:val="auto"/>
                <w:sz w:val="20"/>
              </w:rPr>
              <w:t>2018–19 identified schools</w:t>
            </w:r>
          </w:p>
        </w:tc>
        <w:tc>
          <w:tcPr>
            <w:tcW w:w="419" w:type="pct"/>
            <w:shd w:val="clear" w:color="auto" w:fill="C5E0B3" w:themeFill="accent6" w:themeFillTint="66"/>
            <w:vAlign w:val="center"/>
          </w:tcPr>
          <w:p w14:paraId="64AA1169" w14:textId="27A97E01" w:rsidR="001D44DC" w:rsidRPr="00C27664" w:rsidRDefault="001D44DC" w:rsidP="00D1144D">
            <w:pPr>
              <w:jc w:val="center"/>
              <w:rPr>
                <w:rFonts w:ascii="Arial" w:hAnsi="Arial" w:cs="Arial"/>
                <w:color w:val="auto"/>
                <w:sz w:val="20"/>
              </w:rPr>
            </w:pPr>
            <w:r w:rsidRPr="00C27664">
              <w:rPr>
                <w:rFonts w:ascii="Arial" w:hAnsi="Arial" w:cs="Arial"/>
                <w:color w:val="auto"/>
                <w:sz w:val="20"/>
              </w:rPr>
              <w:t>Exit criteria applied for</w:t>
            </w:r>
            <w:r w:rsidR="00F948CB" w:rsidRPr="00BF1F0E">
              <w:rPr>
                <w:rFonts w:ascii="Arial" w:hAnsi="Arial" w:cs="Arial"/>
                <w:color w:val="auto"/>
                <w:sz w:val="20"/>
              </w:rPr>
              <w:t xml:space="preserve"> </w:t>
            </w:r>
            <w:r w:rsidRPr="00C27664">
              <w:rPr>
                <w:rFonts w:ascii="Arial" w:hAnsi="Arial" w:cs="Arial"/>
                <w:color w:val="auto"/>
                <w:sz w:val="20"/>
              </w:rPr>
              <w:t>2022–23 identified schools</w:t>
            </w:r>
          </w:p>
        </w:tc>
        <w:tc>
          <w:tcPr>
            <w:tcW w:w="419" w:type="pct"/>
            <w:shd w:val="clear" w:color="auto" w:fill="C5E0B3" w:themeFill="accent6" w:themeFillTint="66"/>
            <w:vAlign w:val="center"/>
          </w:tcPr>
          <w:p w14:paraId="6B6AE7C5" w14:textId="17826645" w:rsidR="001D44DC" w:rsidRPr="00C27664" w:rsidRDefault="001D44DC" w:rsidP="00D1144D">
            <w:pPr>
              <w:jc w:val="center"/>
              <w:rPr>
                <w:rFonts w:ascii="Arial" w:hAnsi="Arial" w:cs="Arial"/>
                <w:color w:val="auto"/>
                <w:sz w:val="20"/>
              </w:rPr>
            </w:pPr>
            <w:r w:rsidRPr="00C27664">
              <w:rPr>
                <w:rFonts w:ascii="Arial" w:hAnsi="Arial" w:cs="Arial"/>
                <w:color w:val="auto"/>
                <w:sz w:val="20"/>
              </w:rPr>
              <w:t>Exit criteria applied for</w:t>
            </w:r>
            <w:r w:rsidR="00F948CB" w:rsidRPr="00BF1F0E">
              <w:rPr>
                <w:rFonts w:ascii="Arial" w:hAnsi="Arial" w:cs="Arial"/>
                <w:color w:val="auto"/>
                <w:sz w:val="20"/>
              </w:rPr>
              <w:t xml:space="preserve"> </w:t>
            </w:r>
            <w:r w:rsidRPr="00C27664">
              <w:rPr>
                <w:rFonts w:ascii="Arial" w:hAnsi="Arial" w:cs="Arial"/>
                <w:color w:val="auto"/>
                <w:sz w:val="20"/>
              </w:rPr>
              <w:t>2023–24 identified schools</w:t>
            </w:r>
          </w:p>
        </w:tc>
        <w:tc>
          <w:tcPr>
            <w:tcW w:w="419" w:type="pct"/>
            <w:shd w:val="clear" w:color="auto" w:fill="C5E0B3" w:themeFill="accent6" w:themeFillTint="66"/>
            <w:vAlign w:val="center"/>
          </w:tcPr>
          <w:p w14:paraId="7F4A6FB7" w14:textId="4B808729" w:rsidR="001D44DC" w:rsidRPr="00C27664" w:rsidRDefault="001D44DC" w:rsidP="00D1144D">
            <w:pPr>
              <w:jc w:val="center"/>
              <w:rPr>
                <w:rFonts w:ascii="Arial" w:hAnsi="Arial" w:cs="Arial"/>
                <w:color w:val="auto"/>
                <w:sz w:val="20"/>
              </w:rPr>
            </w:pPr>
            <w:r w:rsidRPr="00C27664">
              <w:rPr>
                <w:rFonts w:ascii="Arial" w:hAnsi="Arial" w:cs="Arial"/>
                <w:color w:val="auto"/>
                <w:sz w:val="20"/>
              </w:rPr>
              <w:t>Exit criteria applied for</w:t>
            </w:r>
            <w:r w:rsidR="00F948CB" w:rsidRPr="00BF1F0E">
              <w:rPr>
                <w:rFonts w:ascii="Arial" w:hAnsi="Arial" w:cs="Arial"/>
                <w:color w:val="auto"/>
                <w:sz w:val="20"/>
              </w:rPr>
              <w:t xml:space="preserve"> </w:t>
            </w:r>
            <w:r w:rsidRPr="00C27664">
              <w:rPr>
                <w:rFonts w:ascii="Arial" w:hAnsi="Arial" w:cs="Arial"/>
                <w:color w:val="auto"/>
                <w:sz w:val="20"/>
              </w:rPr>
              <w:t>2024–25 identified schools</w:t>
            </w:r>
          </w:p>
        </w:tc>
        <w:tc>
          <w:tcPr>
            <w:tcW w:w="419" w:type="pct"/>
            <w:shd w:val="clear" w:color="auto" w:fill="C5E0B3" w:themeFill="accent6" w:themeFillTint="66"/>
            <w:vAlign w:val="center"/>
          </w:tcPr>
          <w:p w14:paraId="65ACC91F" w14:textId="3E1C3C20" w:rsidR="001D44DC" w:rsidRPr="00C27664" w:rsidRDefault="001D44DC" w:rsidP="00D1144D">
            <w:pPr>
              <w:jc w:val="center"/>
              <w:rPr>
                <w:rFonts w:ascii="Arial" w:hAnsi="Arial" w:cs="Arial"/>
                <w:color w:val="auto"/>
                <w:sz w:val="20"/>
              </w:rPr>
            </w:pPr>
            <w:r w:rsidRPr="00C27664">
              <w:rPr>
                <w:rFonts w:ascii="Arial" w:hAnsi="Arial" w:cs="Arial"/>
                <w:color w:val="auto"/>
                <w:sz w:val="20"/>
              </w:rPr>
              <w:t>Exit criteria applied for</w:t>
            </w:r>
            <w:r w:rsidR="00F948CB" w:rsidRPr="00BF1F0E">
              <w:rPr>
                <w:rFonts w:ascii="Arial" w:hAnsi="Arial" w:cs="Arial"/>
                <w:color w:val="auto"/>
                <w:sz w:val="20"/>
              </w:rPr>
              <w:t xml:space="preserve"> </w:t>
            </w:r>
            <w:r w:rsidRPr="00C27664">
              <w:rPr>
                <w:rFonts w:ascii="Arial" w:hAnsi="Arial" w:cs="Arial"/>
                <w:color w:val="auto"/>
                <w:sz w:val="20"/>
              </w:rPr>
              <w:t>2025–26 identified schools</w:t>
            </w:r>
          </w:p>
        </w:tc>
        <w:tc>
          <w:tcPr>
            <w:tcW w:w="419" w:type="pct"/>
            <w:shd w:val="clear" w:color="auto" w:fill="C5E0B3" w:themeFill="accent6" w:themeFillTint="66"/>
            <w:vAlign w:val="center"/>
          </w:tcPr>
          <w:p w14:paraId="30AC9E07" w14:textId="784B67C0" w:rsidR="001D44DC" w:rsidRPr="00C27664" w:rsidRDefault="001D44DC" w:rsidP="00D1144D">
            <w:pPr>
              <w:jc w:val="center"/>
              <w:rPr>
                <w:rFonts w:ascii="Arial" w:hAnsi="Arial" w:cs="Arial"/>
                <w:color w:val="auto"/>
                <w:sz w:val="20"/>
              </w:rPr>
            </w:pPr>
            <w:r w:rsidRPr="00C27664">
              <w:rPr>
                <w:rFonts w:ascii="Arial" w:hAnsi="Arial" w:cs="Arial"/>
                <w:color w:val="auto"/>
                <w:sz w:val="20"/>
              </w:rPr>
              <w:t>Exit criteria applied for</w:t>
            </w:r>
            <w:r w:rsidR="00F948CB" w:rsidRPr="00BF1F0E">
              <w:rPr>
                <w:rFonts w:ascii="Arial" w:hAnsi="Arial" w:cs="Arial"/>
                <w:color w:val="auto"/>
                <w:sz w:val="20"/>
              </w:rPr>
              <w:t xml:space="preserve"> </w:t>
            </w:r>
            <w:r w:rsidRPr="00C27664">
              <w:rPr>
                <w:rFonts w:ascii="Arial" w:hAnsi="Arial" w:cs="Arial"/>
                <w:color w:val="auto"/>
                <w:sz w:val="20"/>
              </w:rPr>
              <w:t>202</w:t>
            </w:r>
            <w:r w:rsidR="002D5E65">
              <w:rPr>
                <w:rFonts w:ascii="Arial" w:hAnsi="Arial" w:cs="Arial"/>
                <w:color w:val="auto"/>
                <w:sz w:val="20"/>
              </w:rPr>
              <w:t>6</w:t>
            </w:r>
            <w:r w:rsidRPr="00C27664">
              <w:rPr>
                <w:rFonts w:ascii="Arial" w:hAnsi="Arial" w:cs="Arial"/>
                <w:color w:val="auto"/>
                <w:sz w:val="20"/>
              </w:rPr>
              <w:t>–2</w:t>
            </w:r>
            <w:r w:rsidR="00C65F7F">
              <w:rPr>
                <w:rFonts w:ascii="Arial" w:hAnsi="Arial" w:cs="Arial"/>
                <w:color w:val="auto"/>
                <w:sz w:val="20"/>
              </w:rPr>
              <w:t xml:space="preserve">7 </w:t>
            </w:r>
            <w:r w:rsidRPr="00C27664">
              <w:rPr>
                <w:rFonts w:ascii="Arial" w:hAnsi="Arial" w:cs="Arial"/>
                <w:color w:val="auto"/>
                <w:sz w:val="20"/>
              </w:rPr>
              <w:t>identified schools</w:t>
            </w:r>
          </w:p>
        </w:tc>
        <w:tc>
          <w:tcPr>
            <w:tcW w:w="419" w:type="pct"/>
            <w:shd w:val="clear" w:color="auto" w:fill="C5E0B3" w:themeFill="accent6" w:themeFillTint="66"/>
            <w:vAlign w:val="center"/>
          </w:tcPr>
          <w:p w14:paraId="69373E5E" w14:textId="62FD1DA3" w:rsidR="001D44DC" w:rsidRPr="00C27664" w:rsidRDefault="001D44DC" w:rsidP="00D1144D">
            <w:pPr>
              <w:jc w:val="center"/>
              <w:rPr>
                <w:rFonts w:ascii="Arial" w:hAnsi="Arial" w:cs="Arial"/>
                <w:color w:val="auto"/>
                <w:sz w:val="20"/>
              </w:rPr>
            </w:pPr>
            <w:r w:rsidRPr="00C27664">
              <w:rPr>
                <w:rFonts w:ascii="Arial" w:hAnsi="Arial" w:cs="Arial"/>
                <w:color w:val="auto"/>
                <w:sz w:val="20"/>
              </w:rPr>
              <w:t>Exit criteria applied for</w:t>
            </w:r>
            <w:r w:rsidR="00F948CB" w:rsidRPr="00BF1F0E">
              <w:rPr>
                <w:rFonts w:ascii="Arial" w:hAnsi="Arial" w:cs="Arial"/>
                <w:color w:val="auto"/>
                <w:sz w:val="20"/>
              </w:rPr>
              <w:t xml:space="preserve"> </w:t>
            </w:r>
            <w:r w:rsidRPr="00C27664">
              <w:rPr>
                <w:rFonts w:ascii="Arial" w:hAnsi="Arial" w:cs="Arial"/>
                <w:color w:val="auto"/>
                <w:sz w:val="20"/>
              </w:rPr>
              <w:t>202</w:t>
            </w:r>
            <w:r w:rsidR="00C65F7F">
              <w:rPr>
                <w:rFonts w:ascii="Arial" w:hAnsi="Arial" w:cs="Arial"/>
                <w:color w:val="auto"/>
                <w:sz w:val="20"/>
              </w:rPr>
              <w:t>7</w:t>
            </w:r>
            <w:r w:rsidRPr="00C27664">
              <w:rPr>
                <w:rFonts w:ascii="Arial" w:hAnsi="Arial" w:cs="Arial"/>
                <w:color w:val="auto"/>
                <w:sz w:val="20"/>
              </w:rPr>
              <w:t>–2</w:t>
            </w:r>
            <w:r w:rsidR="00C65F7F">
              <w:rPr>
                <w:rFonts w:ascii="Arial" w:hAnsi="Arial" w:cs="Arial"/>
                <w:color w:val="auto"/>
                <w:sz w:val="20"/>
              </w:rPr>
              <w:t>8</w:t>
            </w:r>
            <w:r w:rsidRPr="00C27664">
              <w:rPr>
                <w:rFonts w:ascii="Arial" w:hAnsi="Arial" w:cs="Arial"/>
                <w:color w:val="auto"/>
                <w:sz w:val="20"/>
              </w:rPr>
              <w:t xml:space="preserve"> identified schools</w:t>
            </w:r>
          </w:p>
        </w:tc>
      </w:tr>
      <w:tr w:rsidR="000D4E15" w:rsidRPr="00C27664" w14:paraId="5E423085" w14:textId="77777777" w:rsidTr="003069AC">
        <w:trPr>
          <w:trHeight w:val="39"/>
        </w:trPr>
        <w:tc>
          <w:tcPr>
            <w:tcW w:w="388" w:type="pct"/>
            <w:vAlign w:val="center"/>
          </w:tcPr>
          <w:p w14:paraId="1F528644" w14:textId="5D710612" w:rsidR="000D4E15" w:rsidRPr="00161A2B" w:rsidRDefault="000D4E15" w:rsidP="009A76FE">
            <w:pPr>
              <w:jc w:val="center"/>
              <w:rPr>
                <w:rFonts w:ascii="Arial" w:hAnsi="Arial" w:cs="Arial"/>
                <w:color w:val="FFFFFF" w:themeColor="background1"/>
                <w:sz w:val="20"/>
              </w:rPr>
            </w:pPr>
            <w:r>
              <w:rPr>
                <w:rFonts w:ascii="Arial" w:hAnsi="Arial" w:cs="Arial"/>
                <w:sz w:val="20"/>
              </w:rPr>
              <w:t>-</w:t>
            </w:r>
          </w:p>
        </w:tc>
        <w:tc>
          <w:tcPr>
            <w:tcW w:w="420" w:type="pct"/>
            <w:vAlign w:val="center"/>
          </w:tcPr>
          <w:p w14:paraId="3BF5B399" w14:textId="5402DBCC" w:rsidR="000D4E15" w:rsidRPr="00161A2B" w:rsidRDefault="000D4E15" w:rsidP="009A76FE">
            <w:pPr>
              <w:jc w:val="center"/>
              <w:rPr>
                <w:rFonts w:ascii="Arial" w:hAnsi="Arial" w:cs="Arial"/>
                <w:color w:val="FFFFFF" w:themeColor="background1"/>
                <w:sz w:val="20"/>
              </w:rPr>
            </w:pPr>
            <w:r>
              <w:rPr>
                <w:rFonts w:ascii="Arial" w:hAnsi="Arial" w:cs="Arial"/>
                <w:sz w:val="20"/>
              </w:rPr>
              <w:t>-</w:t>
            </w:r>
          </w:p>
        </w:tc>
        <w:tc>
          <w:tcPr>
            <w:tcW w:w="419" w:type="pct"/>
            <w:shd w:val="clear" w:color="auto" w:fill="ACB9CA" w:themeFill="text2" w:themeFillTint="66"/>
          </w:tcPr>
          <w:p w14:paraId="5BF7C6B4" w14:textId="4E3F4BA1"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 Performing subgroup schools</w:t>
            </w:r>
          </w:p>
        </w:tc>
        <w:tc>
          <w:tcPr>
            <w:tcW w:w="420" w:type="pct"/>
            <w:vAlign w:val="center"/>
          </w:tcPr>
          <w:p w14:paraId="4B8EC43A" w14:textId="378B9D33" w:rsidR="000D4E15" w:rsidRPr="00161A2B" w:rsidRDefault="000D4E15" w:rsidP="000D4E15">
            <w:pPr>
              <w:jc w:val="center"/>
              <w:rPr>
                <w:rFonts w:ascii="Arial" w:hAnsi="Arial" w:cs="Arial"/>
                <w:color w:val="FFFFFF" w:themeColor="background1"/>
                <w:sz w:val="20"/>
              </w:rPr>
            </w:pPr>
            <w:r>
              <w:rPr>
                <w:rFonts w:ascii="Arial" w:hAnsi="Arial" w:cs="Arial"/>
                <w:sz w:val="20"/>
              </w:rPr>
              <w:t>-</w:t>
            </w:r>
          </w:p>
        </w:tc>
        <w:tc>
          <w:tcPr>
            <w:tcW w:w="419" w:type="pct"/>
            <w:vAlign w:val="center"/>
          </w:tcPr>
          <w:p w14:paraId="3F0AC0EF" w14:textId="021A862D" w:rsidR="000D4E15" w:rsidRPr="00161A2B" w:rsidRDefault="000D4E15" w:rsidP="000D4E15">
            <w:pPr>
              <w:jc w:val="center"/>
              <w:rPr>
                <w:rFonts w:ascii="Arial" w:hAnsi="Arial" w:cs="Arial"/>
                <w:color w:val="FFFFFF" w:themeColor="background1"/>
                <w:sz w:val="20"/>
              </w:rPr>
            </w:pPr>
            <w:r>
              <w:rPr>
                <w:rFonts w:ascii="Arial" w:hAnsi="Arial" w:cs="Arial"/>
                <w:sz w:val="20"/>
              </w:rPr>
              <w:t>-</w:t>
            </w:r>
          </w:p>
        </w:tc>
        <w:tc>
          <w:tcPr>
            <w:tcW w:w="420" w:type="pct"/>
            <w:shd w:val="clear" w:color="auto" w:fill="ACB9CA" w:themeFill="text2" w:themeFillTint="66"/>
            <w:vAlign w:val="center"/>
          </w:tcPr>
          <w:p w14:paraId="15A073A1" w14:textId="66D68C2F"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w:t>
            </w:r>
            <w:r w:rsidR="00701056" w:rsidRPr="00BF1F0E">
              <w:rPr>
                <w:rFonts w:ascii="Arial" w:hAnsi="Arial" w:cs="Arial"/>
                <w:color w:val="auto"/>
                <w:sz w:val="20"/>
              </w:rPr>
              <w:t xml:space="preserve"> </w:t>
            </w:r>
            <w:r w:rsidRPr="00C27664">
              <w:rPr>
                <w:rFonts w:ascii="Arial" w:hAnsi="Arial" w:cs="Arial"/>
                <w:color w:val="auto"/>
                <w:sz w:val="20"/>
              </w:rPr>
              <w:t>Performing subgroup schools</w:t>
            </w:r>
          </w:p>
        </w:tc>
        <w:tc>
          <w:tcPr>
            <w:tcW w:w="419" w:type="pct"/>
            <w:shd w:val="clear" w:color="auto" w:fill="ACB9CA" w:themeFill="text2" w:themeFillTint="66"/>
            <w:vAlign w:val="center"/>
          </w:tcPr>
          <w:p w14:paraId="4780A0E2" w14:textId="38536E50"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w:t>
            </w:r>
            <w:r w:rsidR="00701056" w:rsidRPr="00BF1F0E">
              <w:rPr>
                <w:rFonts w:ascii="Arial" w:hAnsi="Arial" w:cs="Arial"/>
                <w:color w:val="auto"/>
                <w:sz w:val="20"/>
              </w:rPr>
              <w:t xml:space="preserve"> </w:t>
            </w:r>
            <w:r w:rsidRPr="00C27664">
              <w:rPr>
                <w:rFonts w:ascii="Arial" w:hAnsi="Arial" w:cs="Arial"/>
                <w:color w:val="auto"/>
                <w:sz w:val="20"/>
              </w:rPr>
              <w:t>Performing subgroup schools</w:t>
            </w:r>
          </w:p>
        </w:tc>
        <w:tc>
          <w:tcPr>
            <w:tcW w:w="419" w:type="pct"/>
            <w:shd w:val="clear" w:color="auto" w:fill="ACB9CA" w:themeFill="text2" w:themeFillTint="66"/>
            <w:vAlign w:val="center"/>
          </w:tcPr>
          <w:p w14:paraId="2CA8DD30" w14:textId="2817F4EF"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w:t>
            </w:r>
            <w:r w:rsidR="00701056" w:rsidRPr="00BF1F0E">
              <w:rPr>
                <w:rFonts w:ascii="Arial" w:hAnsi="Arial" w:cs="Arial"/>
                <w:color w:val="auto"/>
                <w:sz w:val="20"/>
              </w:rPr>
              <w:t xml:space="preserve"> </w:t>
            </w:r>
            <w:r w:rsidRPr="00C27664">
              <w:rPr>
                <w:rFonts w:ascii="Arial" w:hAnsi="Arial" w:cs="Arial"/>
                <w:color w:val="auto"/>
                <w:sz w:val="20"/>
              </w:rPr>
              <w:t>Performing subgroup schools</w:t>
            </w:r>
          </w:p>
        </w:tc>
        <w:tc>
          <w:tcPr>
            <w:tcW w:w="419" w:type="pct"/>
            <w:shd w:val="clear" w:color="auto" w:fill="ACB9CA" w:themeFill="text2" w:themeFillTint="66"/>
            <w:vAlign w:val="center"/>
          </w:tcPr>
          <w:p w14:paraId="4CAEA980" w14:textId="5477753A"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w:t>
            </w:r>
            <w:r w:rsidR="00701056" w:rsidRPr="00BF1F0E">
              <w:rPr>
                <w:rFonts w:ascii="Arial" w:hAnsi="Arial" w:cs="Arial"/>
                <w:color w:val="auto"/>
                <w:sz w:val="20"/>
              </w:rPr>
              <w:t xml:space="preserve"> </w:t>
            </w:r>
            <w:r w:rsidRPr="00C27664">
              <w:rPr>
                <w:rFonts w:ascii="Arial" w:hAnsi="Arial" w:cs="Arial"/>
                <w:color w:val="auto"/>
                <w:sz w:val="20"/>
              </w:rPr>
              <w:t>Performing subgroup schools</w:t>
            </w:r>
          </w:p>
        </w:tc>
        <w:tc>
          <w:tcPr>
            <w:tcW w:w="419" w:type="pct"/>
            <w:shd w:val="clear" w:color="auto" w:fill="ACB9CA" w:themeFill="text2" w:themeFillTint="66"/>
            <w:vAlign w:val="center"/>
          </w:tcPr>
          <w:p w14:paraId="63A97548" w14:textId="05D919DA"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w:t>
            </w:r>
            <w:r w:rsidR="00701056" w:rsidRPr="00BF1F0E">
              <w:rPr>
                <w:rFonts w:ascii="Arial" w:hAnsi="Arial" w:cs="Arial"/>
                <w:color w:val="auto"/>
                <w:sz w:val="20"/>
              </w:rPr>
              <w:t xml:space="preserve"> </w:t>
            </w:r>
            <w:r w:rsidRPr="00C27664">
              <w:rPr>
                <w:rFonts w:ascii="Arial" w:hAnsi="Arial" w:cs="Arial"/>
                <w:color w:val="auto"/>
                <w:sz w:val="20"/>
              </w:rPr>
              <w:t>Performing subgroup schools</w:t>
            </w:r>
          </w:p>
        </w:tc>
        <w:tc>
          <w:tcPr>
            <w:tcW w:w="419" w:type="pct"/>
            <w:shd w:val="clear" w:color="auto" w:fill="ACB9CA" w:themeFill="text2" w:themeFillTint="66"/>
            <w:vAlign w:val="center"/>
          </w:tcPr>
          <w:p w14:paraId="77052691" w14:textId="54D1216C"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w:t>
            </w:r>
            <w:r w:rsidR="00701056" w:rsidRPr="00BF1F0E">
              <w:rPr>
                <w:rFonts w:ascii="Arial" w:hAnsi="Arial" w:cs="Arial"/>
                <w:color w:val="auto"/>
                <w:sz w:val="20"/>
              </w:rPr>
              <w:t xml:space="preserve"> </w:t>
            </w:r>
            <w:r w:rsidRPr="00C27664">
              <w:rPr>
                <w:rFonts w:ascii="Arial" w:hAnsi="Arial" w:cs="Arial"/>
                <w:color w:val="auto"/>
                <w:sz w:val="20"/>
              </w:rPr>
              <w:t>Performing subgroup schools</w:t>
            </w:r>
          </w:p>
        </w:tc>
        <w:tc>
          <w:tcPr>
            <w:tcW w:w="419" w:type="pct"/>
            <w:shd w:val="clear" w:color="auto" w:fill="ACB9CA" w:themeFill="text2" w:themeFillTint="66"/>
            <w:vAlign w:val="center"/>
          </w:tcPr>
          <w:p w14:paraId="65A0A0B5" w14:textId="147E1344" w:rsidR="000D4E15" w:rsidRPr="00C27664" w:rsidRDefault="000D4E15" w:rsidP="000D4E15">
            <w:pPr>
              <w:jc w:val="center"/>
              <w:rPr>
                <w:rFonts w:ascii="Arial" w:hAnsi="Arial" w:cs="Arial"/>
                <w:color w:val="auto"/>
                <w:sz w:val="20"/>
              </w:rPr>
            </w:pPr>
            <w:r w:rsidRPr="00C27664">
              <w:rPr>
                <w:rFonts w:ascii="Arial" w:hAnsi="Arial" w:cs="Arial"/>
                <w:color w:val="auto"/>
                <w:sz w:val="20"/>
              </w:rPr>
              <w:t>Identify Consistently Under</w:t>
            </w:r>
            <w:r w:rsidR="00701056" w:rsidRPr="00BF1F0E">
              <w:rPr>
                <w:rFonts w:ascii="Arial" w:hAnsi="Arial" w:cs="Arial"/>
                <w:color w:val="auto"/>
                <w:sz w:val="20"/>
              </w:rPr>
              <w:t xml:space="preserve"> </w:t>
            </w:r>
            <w:r w:rsidRPr="00C27664">
              <w:rPr>
                <w:rFonts w:ascii="Arial" w:hAnsi="Arial" w:cs="Arial"/>
                <w:color w:val="auto"/>
                <w:sz w:val="20"/>
              </w:rPr>
              <w:t>Performing subgroup schools</w:t>
            </w:r>
          </w:p>
        </w:tc>
      </w:tr>
    </w:tbl>
    <w:p w14:paraId="567510DF" w14:textId="77777777" w:rsidR="00843923" w:rsidRDefault="00843923" w:rsidP="00D254E9">
      <w:pPr>
        <w:rPr>
          <w:rFonts w:ascii="Arial" w:hAnsi="Arial" w:cs="Arial"/>
          <w:sz w:val="20"/>
        </w:rPr>
      </w:pPr>
    </w:p>
    <w:p w14:paraId="092DD499" w14:textId="0EAFD333" w:rsidR="00632152" w:rsidRPr="00286DC1" w:rsidRDefault="00301B01" w:rsidP="00E9530E">
      <w:pPr>
        <w:spacing w:line="240" w:lineRule="auto"/>
        <w:ind w:left="720" w:right="720"/>
        <w:rPr>
          <w:rFonts w:ascii="Arial" w:hAnsi="Arial" w:cs="Arial"/>
          <w:szCs w:val="24"/>
        </w:rPr>
      </w:pPr>
      <w:r w:rsidRPr="00E9530E">
        <w:rPr>
          <w:rFonts w:ascii="Arial" w:hAnsi="Arial" w:cs="Arial"/>
          <w:szCs w:val="24"/>
        </w:rPr>
        <w:t xml:space="preserve">Table 9.7.1.8 provides the identification and exit timeline for TSI-AT schools. </w:t>
      </w:r>
      <w:r w:rsidRPr="00286DC1">
        <w:rPr>
          <w:rFonts w:ascii="Arial" w:hAnsi="Arial" w:cs="Arial"/>
          <w:szCs w:val="24"/>
        </w:rPr>
        <w:t>Schools where any subgroup’s performance is less than the top CSI identified school’s All Students subgroup total score and have been identified as schools with one or more consistently underperforming subgroups for the identification year</w:t>
      </w:r>
      <w:r w:rsidR="00C577BB" w:rsidRPr="00286DC1">
        <w:rPr>
          <w:rFonts w:ascii="Arial" w:hAnsi="Arial" w:cs="Arial"/>
          <w:szCs w:val="24"/>
        </w:rPr>
        <w:t xml:space="preserve"> are identified as TSI-AT</w:t>
      </w:r>
      <w:r w:rsidRPr="00286DC1">
        <w:rPr>
          <w:rFonts w:ascii="Arial" w:hAnsi="Arial" w:cs="Arial"/>
          <w:szCs w:val="24"/>
        </w:rPr>
        <w:t xml:space="preserve">. </w:t>
      </w:r>
      <w:r w:rsidRPr="00E9530E">
        <w:rPr>
          <w:rFonts w:ascii="Arial" w:hAnsi="Arial" w:cs="Arial"/>
          <w:color w:val="auto"/>
          <w:szCs w:val="24"/>
        </w:rPr>
        <w:t>To exit the TSI-</w:t>
      </w:r>
      <w:r w:rsidR="00E9530E" w:rsidRPr="00E9530E">
        <w:rPr>
          <w:rFonts w:ascii="Arial" w:hAnsi="Arial" w:cs="Arial"/>
          <w:color w:val="auto"/>
          <w:szCs w:val="24"/>
        </w:rPr>
        <w:t xml:space="preserve">AT </w:t>
      </w:r>
      <w:r w:rsidRPr="00E9530E">
        <w:rPr>
          <w:rFonts w:ascii="Arial" w:hAnsi="Arial" w:cs="Arial"/>
          <w:color w:val="auto"/>
          <w:szCs w:val="24"/>
        </w:rPr>
        <w:t>designation, schools must a</w:t>
      </w:r>
      <w:r w:rsidRPr="00E9530E">
        <w:rPr>
          <w:rFonts w:ascii="Arial" w:hAnsi="Arial" w:cs="Arial"/>
          <w:szCs w:val="24"/>
        </w:rPr>
        <w:t xml:space="preserve">chieve </w:t>
      </w:r>
      <w:r w:rsidR="00E9530E" w:rsidRPr="00286DC1">
        <w:rPr>
          <w:rFonts w:ascii="Arial" w:hAnsi="Arial" w:cs="Arial"/>
          <w:szCs w:val="24"/>
        </w:rPr>
        <w:t>(1) Identified subgroup(s) achieve a three-year growth index of 1.0 or higher, or (2) are on track to meet the subgroup(s) twelve-year proficiency goals in reading and math, or (3) there is no longer a subgroup whose overall performance as measured by the School Performance Grade score is at or below the score designated for CSI-Low Performing identification and previously identified subgroup(s) improved performance on the School Performance Grade score as compared to the score at the time of identification.</w:t>
      </w:r>
    </w:p>
    <w:p w14:paraId="41721481" w14:textId="77777777" w:rsidR="00632152" w:rsidRDefault="00632152" w:rsidP="00D254E9">
      <w:pPr>
        <w:rPr>
          <w:rFonts w:ascii="Arial" w:hAnsi="Arial" w:cs="Arial"/>
          <w:sz w:val="20"/>
        </w:rPr>
      </w:pPr>
    </w:p>
    <w:p w14:paraId="1592E06E" w14:textId="683DC1AF" w:rsidR="00BB1D6D" w:rsidRDefault="00823310" w:rsidP="00686000">
      <w:pPr>
        <w:ind w:firstLine="720"/>
        <w:rPr>
          <w:sz w:val="20"/>
        </w:rPr>
      </w:pPr>
      <w:r w:rsidRPr="001427AF">
        <w:rPr>
          <w:rFonts w:ascii="Arial" w:hAnsi="Arial" w:cs="Arial"/>
          <w:sz w:val="20"/>
        </w:rPr>
        <w:t>TABLE 9.7.1.</w:t>
      </w:r>
      <w:r>
        <w:rPr>
          <w:rFonts w:ascii="Arial" w:hAnsi="Arial" w:cs="Arial"/>
          <w:sz w:val="20"/>
        </w:rPr>
        <w:t>8</w:t>
      </w:r>
      <w:r w:rsidRPr="001427AF">
        <w:rPr>
          <w:rFonts w:ascii="Arial" w:hAnsi="Arial" w:cs="Arial"/>
          <w:sz w:val="20"/>
        </w:rPr>
        <w:t xml:space="preserve">. </w:t>
      </w:r>
      <w:r>
        <w:rPr>
          <w:rFonts w:ascii="Arial" w:hAnsi="Arial" w:cs="Arial"/>
          <w:sz w:val="20"/>
        </w:rPr>
        <w:t xml:space="preserve">TSI- Additional Targeted Support </w:t>
      </w:r>
      <w:r w:rsidRPr="001427AF">
        <w:rPr>
          <w:rFonts w:ascii="Arial" w:hAnsi="Arial" w:cs="Arial"/>
          <w:sz w:val="20"/>
        </w:rPr>
        <w:t xml:space="preserve">school identification </w:t>
      </w:r>
      <w:r>
        <w:rPr>
          <w:rFonts w:ascii="Arial" w:hAnsi="Arial" w:cs="Arial"/>
          <w:sz w:val="20"/>
        </w:rPr>
        <w:t xml:space="preserve">and exit </w:t>
      </w:r>
      <w:r w:rsidRPr="001427AF">
        <w:rPr>
          <w:rFonts w:ascii="Arial" w:hAnsi="Arial" w:cs="Arial"/>
          <w:sz w:val="20"/>
        </w:rPr>
        <w:t>timeline</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079"/>
        <w:gridCol w:w="1079"/>
        <w:gridCol w:w="1080"/>
        <w:gridCol w:w="1080"/>
        <w:gridCol w:w="1079"/>
        <w:gridCol w:w="1079"/>
        <w:gridCol w:w="1079"/>
        <w:gridCol w:w="1079"/>
        <w:gridCol w:w="1079"/>
        <w:gridCol w:w="1079"/>
        <w:gridCol w:w="1117"/>
      </w:tblGrid>
      <w:tr w:rsidR="00C27664" w:rsidRPr="00C27664" w14:paraId="5B32F907" w14:textId="77777777" w:rsidTr="00823310">
        <w:trPr>
          <w:jc w:val="center"/>
        </w:trPr>
        <w:tc>
          <w:tcPr>
            <w:tcW w:w="1079" w:type="dxa"/>
            <w:shd w:val="clear" w:color="auto" w:fill="D0CECE" w:themeFill="background2" w:themeFillShade="E6"/>
            <w:vAlign w:val="center"/>
          </w:tcPr>
          <w:p w14:paraId="365408DD" w14:textId="77777777" w:rsidR="00C0571D" w:rsidRPr="00C27664" w:rsidRDefault="00C0571D">
            <w:pPr>
              <w:rPr>
                <w:rFonts w:ascii="Arial" w:hAnsi="Arial" w:cs="Arial"/>
                <w:color w:val="auto"/>
                <w:sz w:val="20"/>
              </w:rPr>
            </w:pPr>
            <w:r w:rsidRPr="00C27664">
              <w:rPr>
                <w:rFonts w:ascii="Arial" w:hAnsi="Arial" w:cs="Arial"/>
                <w:b/>
                <w:color w:val="auto"/>
                <w:sz w:val="20"/>
              </w:rPr>
              <w:t>2017–18</w:t>
            </w:r>
          </w:p>
        </w:tc>
        <w:tc>
          <w:tcPr>
            <w:tcW w:w="1079" w:type="dxa"/>
            <w:shd w:val="clear" w:color="auto" w:fill="D0CECE" w:themeFill="background2" w:themeFillShade="E6"/>
            <w:vAlign w:val="center"/>
          </w:tcPr>
          <w:p w14:paraId="50E4DB7A" w14:textId="77777777" w:rsidR="00C0571D" w:rsidRPr="00C27664" w:rsidRDefault="00C0571D">
            <w:pPr>
              <w:rPr>
                <w:rFonts w:ascii="Arial" w:hAnsi="Arial" w:cs="Arial"/>
                <w:color w:val="auto"/>
                <w:sz w:val="20"/>
              </w:rPr>
            </w:pPr>
            <w:r w:rsidRPr="00C27664">
              <w:rPr>
                <w:rFonts w:ascii="Arial" w:hAnsi="Arial" w:cs="Arial"/>
                <w:b/>
                <w:color w:val="auto"/>
                <w:sz w:val="20"/>
              </w:rPr>
              <w:t>2018–19</w:t>
            </w:r>
          </w:p>
        </w:tc>
        <w:tc>
          <w:tcPr>
            <w:tcW w:w="1079" w:type="dxa"/>
            <w:shd w:val="clear" w:color="auto" w:fill="D0CECE" w:themeFill="background2" w:themeFillShade="E6"/>
            <w:vAlign w:val="center"/>
          </w:tcPr>
          <w:p w14:paraId="76C4C550" w14:textId="77777777" w:rsidR="00C0571D" w:rsidRPr="00C27664" w:rsidRDefault="00C0571D">
            <w:pPr>
              <w:rPr>
                <w:rFonts w:ascii="Arial" w:hAnsi="Arial" w:cs="Arial"/>
                <w:color w:val="auto"/>
                <w:sz w:val="20"/>
              </w:rPr>
            </w:pPr>
            <w:r w:rsidRPr="00C27664">
              <w:rPr>
                <w:rFonts w:ascii="Arial" w:hAnsi="Arial" w:cs="Arial"/>
                <w:b/>
                <w:color w:val="auto"/>
                <w:sz w:val="20"/>
              </w:rPr>
              <w:t>2019–20</w:t>
            </w:r>
          </w:p>
        </w:tc>
        <w:tc>
          <w:tcPr>
            <w:tcW w:w="1080" w:type="dxa"/>
            <w:shd w:val="clear" w:color="auto" w:fill="D0CECE" w:themeFill="background2" w:themeFillShade="E6"/>
            <w:vAlign w:val="center"/>
          </w:tcPr>
          <w:p w14:paraId="75D280C6" w14:textId="77777777" w:rsidR="00C0571D" w:rsidRPr="00C27664" w:rsidRDefault="00C0571D">
            <w:pPr>
              <w:rPr>
                <w:rFonts w:ascii="Arial" w:hAnsi="Arial" w:cs="Arial"/>
                <w:color w:val="auto"/>
                <w:sz w:val="20"/>
              </w:rPr>
            </w:pPr>
            <w:r w:rsidRPr="00C27664">
              <w:rPr>
                <w:rFonts w:ascii="Arial" w:hAnsi="Arial" w:cs="Arial"/>
                <w:b/>
                <w:color w:val="auto"/>
                <w:sz w:val="20"/>
              </w:rPr>
              <w:t>2020–21</w:t>
            </w:r>
          </w:p>
        </w:tc>
        <w:tc>
          <w:tcPr>
            <w:tcW w:w="1080" w:type="dxa"/>
            <w:shd w:val="clear" w:color="auto" w:fill="D0CECE" w:themeFill="background2" w:themeFillShade="E6"/>
            <w:vAlign w:val="center"/>
          </w:tcPr>
          <w:p w14:paraId="27A32FBB" w14:textId="77777777" w:rsidR="00C0571D" w:rsidRPr="00C27664" w:rsidRDefault="00C0571D">
            <w:pPr>
              <w:rPr>
                <w:rFonts w:ascii="Arial" w:hAnsi="Arial" w:cs="Arial"/>
                <w:color w:val="auto"/>
                <w:sz w:val="20"/>
              </w:rPr>
            </w:pPr>
            <w:r w:rsidRPr="00C27664">
              <w:rPr>
                <w:rFonts w:ascii="Arial" w:hAnsi="Arial" w:cs="Arial"/>
                <w:b/>
                <w:color w:val="auto"/>
                <w:sz w:val="20"/>
              </w:rPr>
              <w:t>2021–22</w:t>
            </w:r>
          </w:p>
        </w:tc>
        <w:tc>
          <w:tcPr>
            <w:tcW w:w="1079" w:type="dxa"/>
            <w:shd w:val="clear" w:color="auto" w:fill="D0CECE" w:themeFill="background2" w:themeFillShade="E6"/>
            <w:vAlign w:val="center"/>
          </w:tcPr>
          <w:p w14:paraId="3A6ADFE4" w14:textId="77777777" w:rsidR="00C0571D" w:rsidRPr="00C27664" w:rsidRDefault="00C0571D">
            <w:pPr>
              <w:rPr>
                <w:rFonts w:ascii="Arial" w:hAnsi="Arial" w:cs="Arial"/>
                <w:color w:val="auto"/>
                <w:sz w:val="20"/>
              </w:rPr>
            </w:pPr>
            <w:r w:rsidRPr="00C27664">
              <w:rPr>
                <w:rFonts w:ascii="Arial" w:hAnsi="Arial" w:cs="Arial"/>
                <w:b/>
                <w:color w:val="auto"/>
                <w:sz w:val="20"/>
              </w:rPr>
              <w:t>2022–23</w:t>
            </w:r>
          </w:p>
        </w:tc>
        <w:tc>
          <w:tcPr>
            <w:tcW w:w="1079" w:type="dxa"/>
            <w:shd w:val="clear" w:color="auto" w:fill="D0CECE" w:themeFill="background2" w:themeFillShade="E6"/>
            <w:vAlign w:val="center"/>
          </w:tcPr>
          <w:p w14:paraId="311C0831" w14:textId="77777777" w:rsidR="00C0571D" w:rsidRPr="00C27664" w:rsidRDefault="00C0571D">
            <w:pPr>
              <w:rPr>
                <w:rFonts w:ascii="Arial" w:hAnsi="Arial" w:cs="Arial"/>
                <w:color w:val="auto"/>
                <w:sz w:val="20"/>
              </w:rPr>
            </w:pPr>
            <w:r w:rsidRPr="00C27664">
              <w:rPr>
                <w:rFonts w:ascii="Arial" w:hAnsi="Arial" w:cs="Arial"/>
                <w:b/>
                <w:color w:val="auto"/>
                <w:sz w:val="20"/>
              </w:rPr>
              <w:t>2023–24</w:t>
            </w:r>
          </w:p>
        </w:tc>
        <w:tc>
          <w:tcPr>
            <w:tcW w:w="1079" w:type="dxa"/>
            <w:shd w:val="clear" w:color="auto" w:fill="D0CECE" w:themeFill="background2" w:themeFillShade="E6"/>
            <w:vAlign w:val="center"/>
          </w:tcPr>
          <w:p w14:paraId="1B731BE4" w14:textId="77777777" w:rsidR="00C0571D" w:rsidRPr="00C27664" w:rsidRDefault="00C0571D">
            <w:pPr>
              <w:rPr>
                <w:rFonts w:ascii="Arial" w:hAnsi="Arial" w:cs="Arial"/>
                <w:color w:val="auto"/>
                <w:sz w:val="20"/>
              </w:rPr>
            </w:pPr>
            <w:r w:rsidRPr="00C27664">
              <w:rPr>
                <w:rFonts w:ascii="Arial" w:hAnsi="Arial" w:cs="Arial"/>
                <w:b/>
                <w:color w:val="auto"/>
                <w:sz w:val="20"/>
              </w:rPr>
              <w:t>2024–25</w:t>
            </w:r>
          </w:p>
        </w:tc>
        <w:tc>
          <w:tcPr>
            <w:tcW w:w="1079" w:type="dxa"/>
            <w:shd w:val="clear" w:color="auto" w:fill="D0CECE" w:themeFill="background2" w:themeFillShade="E6"/>
          </w:tcPr>
          <w:p w14:paraId="2A01B65F" w14:textId="77777777" w:rsidR="00C0571D" w:rsidRPr="00C27664" w:rsidRDefault="00C0571D">
            <w:pPr>
              <w:rPr>
                <w:rFonts w:ascii="Arial" w:hAnsi="Arial" w:cs="Arial"/>
                <w:color w:val="auto"/>
                <w:sz w:val="20"/>
              </w:rPr>
            </w:pPr>
            <w:r w:rsidRPr="00C27664">
              <w:rPr>
                <w:rFonts w:ascii="Arial" w:hAnsi="Arial" w:cs="Arial"/>
                <w:b/>
                <w:color w:val="auto"/>
                <w:sz w:val="20"/>
              </w:rPr>
              <w:t>2025–26</w:t>
            </w:r>
          </w:p>
        </w:tc>
        <w:tc>
          <w:tcPr>
            <w:tcW w:w="1079" w:type="dxa"/>
            <w:shd w:val="clear" w:color="auto" w:fill="D0CECE" w:themeFill="background2" w:themeFillShade="E6"/>
          </w:tcPr>
          <w:p w14:paraId="1EBE2B5D" w14:textId="77777777" w:rsidR="00C0571D" w:rsidRPr="00C27664" w:rsidRDefault="00C0571D">
            <w:pPr>
              <w:rPr>
                <w:rFonts w:ascii="Arial" w:hAnsi="Arial" w:cs="Arial"/>
                <w:color w:val="auto"/>
                <w:sz w:val="20"/>
              </w:rPr>
            </w:pPr>
            <w:r w:rsidRPr="00C27664">
              <w:rPr>
                <w:rFonts w:ascii="Arial" w:hAnsi="Arial" w:cs="Arial"/>
                <w:b/>
                <w:color w:val="auto"/>
                <w:sz w:val="20"/>
              </w:rPr>
              <w:t>2026–27</w:t>
            </w:r>
          </w:p>
        </w:tc>
        <w:tc>
          <w:tcPr>
            <w:tcW w:w="1079" w:type="dxa"/>
            <w:shd w:val="clear" w:color="auto" w:fill="D0CECE" w:themeFill="background2" w:themeFillShade="E6"/>
          </w:tcPr>
          <w:p w14:paraId="009241E4" w14:textId="77777777" w:rsidR="00C0571D" w:rsidRPr="00C27664" w:rsidRDefault="00C0571D">
            <w:pPr>
              <w:rPr>
                <w:rFonts w:ascii="Arial" w:hAnsi="Arial" w:cs="Arial"/>
                <w:color w:val="auto"/>
                <w:sz w:val="20"/>
              </w:rPr>
            </w:pPr>
            <w:r w:rsidRPr="00C27664">
              <w:rPr>
                <w:rFonts w:ascii="Arial" w:hAnsi="Arial" w:cs="Arial"/>
                <w:b/>
                <w:color w:val="auto"/>
                <w:sz w:val="20"/>
              </w:rPr>
              <w:t>2027–28</w:t>
            </w:r>
          </w:p>
        </w:tc>
        <w:tc>
          <w:tcPr>
            <w:tcW w:w="1117" w:type="dxa"/>
            <w:shd w:val="clear" w:color="auto" w:fill="D0CECE" w:themeFill="background2" w:themeFillShade="E6"/>
          </w:tcPr>
          <w:p w14:paraId="05F676AA" w14:textId="77777777" w:rsidR="00C0571D" w:rsidRPr="00C27664" w:rsidRDefault="00C0571D">
            <w:pPr>
              <w:rPr>
                <w:rFonts w:ascii="Arial" w:hAnsi="Arial" w:cs="Arial"/>
                <w:color w:val="auto"/>
                <w:sz w:val="20"/>
              </w:rPr>
            </w:pPr>
            <w:r w:rsidRPr="00C27664">
              <w:rPr>
                <w:rFonts w:ascii="Arial" w:hAnsi="Arial" w:cs="Arial"/>
                <w:b/>
                <w:color w:val="auto"/>
                <w:sz w:val="20"/>
              </w:rPr>
              <w:t>2028–29</w:t>
            </w:r>
          </w:p>
        </w:tc>
      </w:tr>
      <w:tr w:rsidR="00C27664" w:rsidRPr="00C27664" w14:paraId="18CB6082" w14:textId="77777777" w:rsidTr="00860272">
        <w:trPr>
          <w:jc w:val="center"/>
        </w:trPr>
        <w:tc>
          <w:tcPr>
            <w:tcW w:w="1079" w:type="dxa"/>
            <w:vAlign w:val="center"/>
          </w:tcPr>
          <w:p w14:paraId="02DA35BC" w14:textId="23F309DC" w:rsidR="00823310" w:rsidRPr="00C27664" w:rsidRDefault="00823310" w:rsidP="00E900AE">
            <w:pPr>
              <w:spacing w:line="240" w:lineRule="auto"/>
              <w:jc w:val="center"/>
              <w:rPr>
                <w:rFonts w:ascii="Arial" w:hAnsi="Arial" w:cs="Arial"/>
                <w:color w:val="auto"/>
                <w:sz w:val="20"/>
              </w:rPr>
            </w:pPr>
            <w:r w:rsidRPr="00C27664">
              <w:rPr>
                <w:rFonts w:ascii="Arial" w:hAnsi="Arial" w:cs="Arial"/>
                <w:color w:val="auto"/>
                <w:sz w:val="20"/>
              </w:rPr>
              <w:t>N/A</w:t>
            </w:r>
          </w:p>
        </w:tc>
        <w:tc>
          <w:tcPr>
            <w:tcW w:w="1079" w:type="dxa"/>
            <w:vAlign w:val="center"/>
          </w:tcPr>
          <w:p w14:paraId="084C3010" w14:textId="58476D5B" w:rsidR="00823310" w:rsidRPr="00C27664" w:rsidRDefault="001079FB" w:rsidP="00823310">
            <w:pPr>
              <w:jc w:val="center"/>
              <w:rPr>
                <w:rFonts w:ascii="Arial" w:hAnsi="Arial" w:cs="Arial"/>
                <w:color w:val="auto"/>
                <w:sz w:val="20"/>
              </w:rPr>
            </w:pPr>
            <w:r>
              <w:rPr>
                <w:rFonts w:ascii="Arial" w:hAnsi="Arial" w:cs="Arial"/>
                <w:sz w:val="20"/>
              </w:rPr>
              <w:t>-</w:t>
            </w:r>
          </w:p>
        </w:tc>
        <w:tc>
          <w:tcPr>
            <w:tcW w:w="1079" w:type="dxa"/>
            <w:shd w:val="clear" w:color="auto" w:fill="D0CECE" w:themeFill="background2" w:themeFillShade="E6"/>
            <w:vAlign w:val="center"/>
          </w:tcPr>
          <w:p w14:paraId="6DDC8338" w14:textId="77777777" w:rsidR="00823310" w:rsidRPr="00C27664" w:rsidRDefault="00823310" w:rsidP="00823310">
            <w:pPr>
              <w:jc w:val="center"/>
              <w:rPr>
                <w:rFonts w:ascii="Arial" w:hAnsi="Arial" w:cs="Arial"/>
                <w:color w:val="auto"/>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80" w:type="dxa"/>
            <w:shd w:val="clear" w:color="auto" w:fill="D0CECE" w:themeFill="background2" w:themeFillShade="E6"/>
            <w:vAlign w:val="center"/>
          </w:tcPr>
          <w:p w14:paraId="3FA2EF06" w14:textId="77777777" w:rsidR="00823310" w:rsidRPr="00C27664" w:rsidRDefault="00823310" w:rsidP="00823310">
            <w:pPr>
              <w:jc w:val="center"/>
              <w:rPr>
                <w:rFonts w:ascii="Arial" w:hAnsi="Arial" w:cs="Arial"/>
                <w:color w:val="auto"/>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80" w:type="dxa"/>
            <w:shd w:val="clear" w:color="auto" w:fill="D0CECE" w:themeFill="background2" w:themeFillShade="E6"/>
            <w:vAlign w:val="center"/>
          </w:tcPr>
          <w:p w14:paraId="68B89544" w14:textId="77777777" w:rsidR="00823310" w:rsidRPr="00C27664" w:rsidRDefault="00823310" w:rsidP="00823310">
            <w:pPr>
              <w:jc w:val="center"/>
              <w:rPr>
                <w:rFonts w:ascii="Arial" w:hAnsi="Arial" w:cs="Arial"/>
                <w:color w:val="auto"/>
                <w:sz w:val="20"/>
              </w:rPr>
            </w:pPr>
            <w:r w:rsidRPr="00C27664">
              <w:rPr>
                <w:rFonts w:ascii="Arial" w:hAnsi="Arial" w:cs="Arial"/>
                <w:color w:val="auto"/>
                <w:sz w:val="20"/>
              </w:rPr>
              <w:t>Maintain support for 2018</w:t>
            </w:r>
            <w:r w:rsidRPr="00C27664">
              <w:rPr>
                <w:rFonts w:ascii="Arial" w:hAnsi="Arial" w:cs="Arial"/>
                <w:b/>
                <w:color w:val="auto"/>
                <w:sz w:val="20"/>
              </w:rPr>
              <w:t>–</w:t>
            </w:r>
            <w:r w:rsidRPr="00C27664">
              <w:rPr>
                <w:rFonts w:ascii="Arial" w:hAnsi="Arial" w:cs="Arial"/>
                <w:color w:val="auto"/>
                <w:sz w:val="20"/>
              </w:rPr>
              <w:t>19 identified schools</w:t>
            </w:r>
          </w:p>
        </w:tc>
        <w:tc>
          <w:tcPr>
            <w:tcW w:w="1079" w:type="dxa"/>
            <w:shd w:val="clear" w:color="auto" w:fill="C5E0B3" w:themeFill="accent6" w:themeFillTint="66"/>
            <w:vAlign w:val="center"/>
          </w:tcPr>
          <w:p w14:paraId="0C43349D" w14:textId="77777777" w:rsidR="00823310" w:rsidRPr="00C27664" w:rsidRDefault="00823310" w:rsidP="00823310">
            <w:pPr>
              <w:jc w:val="center"/>
              <w:rPr>
                <w:rFonts w:ascii="Arial" w:hAnsi="Arial" w:cs="Arial"/>
                <w:color w:val="auto"/>
                <w:sz w:val="20"/>
              </w:rPr>
            </w:pPr>
            <w:r w:rsidRPr="00C27664">
              <w:rPr>
                <w:rFonts w:ascii="Arial" w:hAnsi="Arial" w:cs="Arial"/>
                <w:color w:val="auto"/>
                <w:sz w:val="20"/>
              </w:rPr>
              <w:t>Exit criteria applied for 2018–19 identified schools</w:t>
            </w:r>
          </w:p>
        </w:tc>
        <w:tc>
          <w:tcPr>
            <w:tcW w:w="1079" w:type="dxa"/>
            <w:shd w:val="clear" w:color="auto" w:fill="C5E0B3" w:themeFill="accent6" w:themeFillTint="66"/>
            <w:vAlign w:val="center"/>
          </w:tcPr>
          <w:p w14:paraId="09461586" w14:textId="25763901" w:rsidR="00823310" w:rsidRPr="00C27664" w:rsidRDefault="00823310" w:rsidP="00823310">
            <w:pPr>
              <w:jc w:val="center"/>
              <w:rPr>
                <w:rFonts w:ascii="Arial" w:hAnsi="Arial" w:cs="Arial"/>
                <w:color w:val="auto"/>
                <w:sz w:val="20"/>
              </w:rPr>
            </w:pPr>
            <w:r w:rsidRPr="00C27664">
              <w:rPr>
                <w:rFonts w:ascii="Arial" w:hAnsi="Arial" w:cs="Arial"/>
                <w:color w:val="auto"/>
                <w:sz w:val="20"/>
              </w:rPr>
              <w:t>Exit criteria applied for 2018–19 identified schools</w:t>
            </w:r>
          </w:p>
        </w:tc>
        <w:tc>
          <w:tcPr>
            <w:tcW w:w="1079" w:type="dxa"/>
            <w:shd w:val="clear" w:color="auto" w:fill="C5E0B3" w:themeFill="accent6" w:themeFillTint="66"/>
            <w:vAlign w:val="center"/>
          </w:tcPr>
          <w:p w14:paraId="60B468C7" w14:textId="6B722138" w:rsidR="00823310" w:rsidRPr="00C27664" w:rsidRDefault="00823310" w:rsidP="00823310">
            <w:pPr>
              <w:jc w:val="center"/>
              <w:rPr>
                <w:rFonts w:ascii="Arial" w:hAnsi="Arial" w:cs="Arial"/>
                <w:color w:val="auto"/>
                <w:sz w:val="20"/>
              </w:rPr>
            </w:pPr>
            <w:r w:rsidRPr="00C27664">
              <w:rPr>
                <w:rFonts w:ascii="Arial" w:hAnsi="Arial" w:cs="Arial"/>
                <w:color w:val="auto"/>
                <w:sz w:val="20"/>
              </w:rPr>
              <w:t>Exit criteria applied for</w:t>
            </w:r>
            <w:r w:rsidR="001C1102" w:rsidRPr="00BF1F0E">
              <w:rPr>
                <w:rFonts w:ascii="Arial" w:hAnsi="Arial" w:cs="Arial"/>
                <w:color w:val="auto"/>
                <w:sz w:val="20"/>
              </w:rPr>
              <w:t xml:space="preserve"> </w:t>
            </w:r>
            <w:r w:rsidRPr="00C27664">
              <w:rPr>
                <w:rFonts w:ascii="Arial" w:hAnsi="Arial" w:cs="Arial"/>
                <w:color w:val="auto"/>
                <w:sz w:val="20"/>
              </w:rPr>
              <w:t>2018–19 and 2022–23 identified schools</w:t>
            </w:r>
          </w:p>
        </w:tc>
        <w:tc>
          <w:tcPr>
            <w:tcW w:w="1079" w:type="dxa"/>
            <w:shd w:val="clear" w:color="auto" w:fill="C5E0B3" w:themeFill="accent6" w:themeFillTint="66"/>
            <w:vAlign w:val="center"/>
          </w:tcPr>
          <w:p w14:paraId="042495DB" w14:textId="262F86D1" w:rsidR="00823310" w:rsidRPr="00C27664" w:rsidRDefault="00823310" w:rsidP="00823310">
            <w:pPr>
              <w:jc w:val="center"/>
              <w:rPr>
                <w:rFonts w:ascii="Arial" w:hAnsi="Arial" w:cs="Arial"/>
                <w:color w:val="auto"/>
                <w:sz w:val="20"/>
              </w:rPr>
            </w:pPr>
            <w:r w:rsidRPr="00C27664">
              <w:rPr>
                <w:rFonts w:ascii="Arial" w:hAnsi="Arial" w:cs="Arial"/>
                <w:color w:val="auto"/>
                <w:sz w:val="20"/>
              </w:rPr>
              <w:t>Exit criteria applied for</w:t>
            </w:r>
            <w:r w:rsidR="001C1102" w:rsidRPr="00BF1F0E">
              <w:rPr>
                <w:rFonts w:ascii="Arial" w:hAnsi="Arial" w:cs="Arial"/>
                <w:color w:val="auto"/>
                <w:sz w:val="20"/>
              </w:rPr>
              <w:t xml:space="preserve"> </w:t>
            </w:r>
            <w:r w:rsidRPr="00C27664">
              <w:rPr>
                <w:rFonts w:ascii="Arial" w:hAnsi="Arial" w:cs="Arial"/>
                <w:color w:val="auto"/>
                <w:sz w:val="20"/>
              </w:rPr>
              <w:t>2018–19 and 2022–23 identified schools</w:t>
            </w:r>
          </w:p>
        </w:tc>
        <w:tc>
          <w:tcPr>
            <w:tcW w:w="1079" w:type="dxa"/>
            <w:shd w:val="clear" w:color="auto" w:fill="C5E0B3" w:themeFill="accent6" w:themeFillTint="66"/>
            <w:vAlign w:val="center"/>
          </w:tcPr>
          <w:p w14:paraId="0A9593D5" w14:textId="7F69B2D3" w:rsidR="00823310" w:rsidRPr="00C27664" w:rsidRDefault="00823310" w:rsidP="00823310">
            <w:pPr>
              <w:jc w:val="center"/>
              <w:rPr>
                <w:rFonts w:ascii="Arial" w:hAnsi="Arial" w:cs="Arial"/>
                <w:color w:val="auto"/>
                <w:sz w:val="20"/>
              </w:rPr>
            </w:pPr>
            <w:r w:rsidRPr="00C27664">
              <w:rPr>
                <w:rFonts w:ascii="Arial" w:hAnsi="Arial" w:cs="Arial"/>
                <w:color w:val="auto"/>
                <w:sz w:val="20"/>
              </w:rPr>
              <w:t>Exit criteria applied for</w:t>
            </w:r>
            <w:r w:rsidR="001C1102" w:rsidRPr="00BF1F0E">
              <w:rPr>
                <w:rFonts w:ascii="Arial" w:hAnsi="Arial" w:cs="Arial"/>
                <w:color w:val="auto"/>
                <w:sz w:val="20"/>
              </w:rPr>
              <w:t xml:space="preserve"> </w:t>
            </w:r>
            <w:r w:rsidRPr="00C27664">
              <w:rPr>
                <w:rFonts w:ascii="Arial" w:hAnsi="Arial" w:cs="Arial"/>
                <w:color w:val="auto"/>
                <w:sz w:val="20"/>
              </w:rPr>
              <w:t>2018–19 and 2022–23 identified schools</w:t>
            </w:r>
          </w:p>
        </w:tc>
        <w:tc>
          <w:tcPr>
            <w:tcW w:w="1079" w:type="dxa"/>
            <w:shd w:val="clear" w:color="auto" w:fill="C5E0B3" w:themeFill="accent6" w:themeFillTint="66"/>
            <w:vAlign w:val="center"/>
          </w:tcPr>
          <w:p w14:paraId="2754F85F" w14:textId="3FC99857" w:rsidR="00823310" w:rsidRPr="00C27664" w:rsidRDefault="00823310" w:rsidP="00823310">
            <w:pPr>
              <w:jc w:val="center"/>
              <w:rPr>
                <w:rFonts w:ascii="Arial" w:hAnsi="Arial" w:cs="Arial"/>
                <w:color w:val="auto"/>
                <w:sz w:val="20"/>
              </w:rPr>
            </w:pPr>
            <w:r w:rsidRPr="00C27664">
              <w:rPr>
                <w:rFonts w:ascii="Arial" w:hAnsi="Arial" w:cs="Arial"/>
                <w:color w:val="auto"/>
                <w:sz w:val="20"/>
              </w:rPr>
              <w:t>Exit criteria applied for</w:t>
            </w:r>
            <w:r w:rsidR="001C1102" w:rsidRPr="00BF1F0E">
              <w:rPr>
                <w:rFonts w:ascii="Arial" w:hAnsi="Arial" w:cs="Arial"/>
                <w:color w:val="auto"/>
                <w:sz w:val="20"/>
              </w:rPr>
              <w:t xml:space="preserve"> </w:t>
            </w:r>
            <w:r w:rsidRPr="00C27664">
              <w:rPr>
                <w:rFonts w:ascii="Arial" w:hAnsi="Arial" w:cs="Arial"/>
                <w:color w:val="auto"/>
                <w:sz w:val="20"/>
              </w:rPr>
              <w:t>2018–19 and 2022–23 identified schools</w:t>
            </w:r>
          </w:p>
        </w:tc>
        <w:tc>
          <w:tcPr>
            <w:tcW w:w="1117" w:type="dxa"/>
            <w:shd w:val="clear" w:color="auto" w:fill="C5E0B3" w:themeFill="accent6" w:themeFillTint="66"/>
            <w:vAlign w:val="center"/>
          </w:tcPr>
          <w:p w14:paraId="01C90B83" w14:textId="1E8C1CF5" w:rsidR="00823310" w:rsidRPr="00C27664" w:rsidRDefault="00823310" w:rsidP="00823310">
            <w:pPr>
              <w:jc w:val="center"/>
              <w:rPr>
                <w:rFonts w:ascii="Arial" w:hAnsi="Arial" w:cs="Arial"/>
                <w:color w:val="auto"/>
                <w:sz w:val="20"/>
              </w:rPr>
            </w:pPr>
            <w:r w:rsidRPr="00C27664">
              <w:rPr>
                <w:rFonts w:ascii="Arial" w:hAnsi="Arial" w:cs="Arial"/>
                <w:color w:val="auto"/>
                <w:sz w:val="20"/>
              </w:rPr>
              <w:t>Exit criteria applied to</w:t>
            </w:r>
            <w:r w:rsidR="001C1102" w:rsidRPr="00BF1F0E">
              <w:rPr>
                <w:rFonts w:ascii="Arial" w:hAnsi="Arial" w:cs="Arial"/>
                <w:color w:val="auto"/>
                <w:sz w:val="20"/>
              </w:rPr>
              <w:t xml:space="preserve"> </w:t>
            </w:r>
            <w:r w:rsidRPr="00C27664">
              <w:rPr>
                <w:rFonts w:ascii="Arial" w:hAnsi="Arial" w:cs="Arial"/>
                <w:color w:val="auto"/>
                <w:sz w:val="20"/>
              </w:rPr>
              <w:t>all previously identified schools</w:t>
            </w:r>
          </w:p>
        </w:tc>
      </w:tr>
      <w:tr w:rsidR="001079FB" w:rsidRPr="00C27664" w14:paraId="752196AD" w14:textId="77777777" w:rsidTr="00860272">
        <w:trPr>
          <w:jc w:val="center"/>
        </w:trPr>
        <w:tc>
          <w:tcPr>
            <w:tcW w:w="1079" w:type="dxa"/>
            <w:vAlign w:val="center"/>
          </w:tcPr>
          <w:p w14:paraId="4D420C62" w14:textId="473B2230" w:rsidR="001079FB" w:rsidRPr="00C27664" w:rsidRDefault="001079FB" w:rsidP="001F669E">
            <w:pPr>
              <w:jc w:val="center"/>
              <w:rPr>
                <w:rFonts w:ascii="Arial" w:hAnsi="Arial" w:cs="Arial"/>
                <w:color w:val="auto"/>
                <w:sz w:val="20"/>
              </w:rPr>
            </w:pPr>
            <w:r>
              <w:rPr>
                <w:rFonts w:ascii="Arial" w:hAnsi="Arial" w:cs="Arial"/>
                <w:sz w:val="20"/>
              </w:rPr>
              <w:t>-</w:t>
            </w:r>
          </w:p>
        </w:tc>
        <w:tc>
          <w:tcPr>
            <w:tcW w:w="1079" w:type="dxa"/>
            <w:vAlign w:val="center"/>
          </w:tcPr>
          <w:p w14:paraId="79E1DC12" w14:textId="7A93C4CD" w:rsidR="001079FB" w:rsidRPr="00C27664" w:rsidRDefault="001079FB" w:rsidP="001079FB">
            <w:pPr>
              <w:jc w:val="center"/>
              <w:rPr>
                <w:rFonts w:ascii="Arial" w:hAnsi="Arial" w:cs="Arial"/>
                <w:color w:val="auto"/>
                <w:sz w:val="20"/>
              </w:rPr>
            </w:pPr>
            <w:r w:rsidRPr="00C27664">
              <w:rPr>
                <w:rFonts w:ascii="Arial" w:hAnsi="Arial" w:cs="Arial"/>
                <w:color w:val="auto"/>
                <w:sz w:val="20"/>
              </w:rPr>
              <w:t>Identify</w:t>
            </w:r>
            <w:r w:rsidR="00E900AE" w:rsidRPr="00BF1F0E">
              <w:rPr>
                <w:rFonts w:ascii="Arial" w:hAnsi="Arial" w:cs="Arial"/>
                <w:color w:val="auto"/>
                <w:sz w:val="20"/>
              </w:rPr>
              <w:t xml:space="preserve"> </w:t>
            </w:r>
            <w:r w:rsidRPr="00C27664">
              <w:rPr>
                <w:rFonts w:ascii="Arial" w:hAnsi="Arial" w:cs="Arial"/>
                <w:color w:val="auto"/>
                <w:sz w:val="20"/>
              </w:rPr>
              <w:t xml:space="preserve">2018–19 TSI schools using </w:t>
            </w:r>
            <w:r w:rsidRPr="00C27664">
              <w:rPr>
                <w:rFonts w:ascii="Arial" w:hAnsi="Arial" w:cs="Arial"/>
                <w:color w:val="auto"/>
                <w:sz w:val="20"/>
              </w:rPr>
              <w:lastRenderedPageBreak/>
              <w:t>2017–18 score</w:t>
            </w:r>
          </w:p>
        </w:tc>
        <w:tc>
          <w:tcPr>
            <w:tcW w:w="1079" w:type="dxa"/>
            <w:vAlign w:val="center"/>
          </w:tcPr>
          <w:p w14:paraId="68C4A1E3" w14:textId="69BBAA69" w:rsidR="001079FB" w:rsidRPr="00C27664" w:rsidRDefault="001079FB" w:rsidP="001079FB">
            <w:pPr>
              <w:jc w:val="center"/>
              <w:rPr>
                <w:rFonts w:ascii="Arial" w:hAnsi="Arial" w:cs="Arial"/>
                <w:color w:val="auto"/>
                <w:sz w:val="20"/>
              </w:rPr>
            </w:pPr>
            <w:r w:rsidRPr="00952726">
              <w:rPr>
                <w:rFonts w:ascii="Arial" w:hAnsi="Arial" w:cs="Arial"/>
                <w:sz w:val="20"/>
              </w:rPr>
              <w:lastRenderedPageBreak/>
              <w:t>-</w:t>
            </w:r>
          </w:p>
        </w:tc>
        <w:tc>
          <w:tcPr>
            <w:tcW w:w="1080" w:type="dxa"/>
            <w:vAlign w:val="center"/>
          </w:tcPr>
          <w:p w14:paraId="5A836B56" w14:textId="5F857461" w:rsidR="001079FB" w:rsidRPr="00C27664" w:rsidRDefault="001079FB" w:rsidP="001079FB">
            <w:pPr>
              <w:jc w:val="center"/>
              <w:rPr>
                <w:rFonts w:ascii="Arial" w:hAnsi="Arial" w:cs="Arial"/>
                <w:color w:val="auto"/>
                <w:sz w:val="20"/>
              </w:rPr>
            </w:pPr>
            <w:r w:rsidRPr="00952726">
              <w:rPr>
                <w:rFonts w:ascii="Arial" w:hAnsi="Arial" w:cs="Arial"/>
                <w:sz w:val="20"/>
              </w:rPr>
              <w:t>-</w:t>
            </w:r>
          </w:p>
        </w:tc>
        <w:tc>
          <w:tcPr>
            <w:tcW w:w="1080" w:type="dxa"/>
            <w:vAlign w:val="center"/>
          </w:tcPr>
          <w:p w14:paraId="7EB9B554" w14:textId="1DCE9F35" w:rsidR="001079FB" w:rsidRPr="00C27664" w:rsidRDefault="001079FB" w:rsidP="001079FB">
            <w:pPr>
              <w:jc w:val="center"/>
              <w:rPr>
                <w:rFonts w:ascii="Arial" w:hAnsi="Arial" w:cs="Arial"/>
                <w:color w:val="auto"/>
                <w:sz w:val="20"/>
              </w:rPr>
            </w:pPr>
            <w:r w:rsidRPr="00952726">
              <w:rPr>
                <w:rFonts w:ascii="Arial" w:hAnsi="Arial" w:cs="Arial"/>
                <w:sz w:val="20"/>
              </w:rPr>
              <w:t>-</w:t>
            </w:r>
          </w:p>
        </w:tc>
        <w:tc>
          <w:tcPr>
            <w:tcW w:w="1079" w:type="dxa"/>
            <w:shd w:val="clear" w:color="auto" w:fill="ACB9CA" w:themeFill="text2" w:themeFillTint="66"/>
            <w:vAlign w:val="center"/>
          </w:tcPr>
          <w:p w14:paraId="4A852437" w14:textId="49E82207" w:rsidR="001079FB" w:rsidRPr="00C27664" w:rsidRDefault="001079FB" w:rsidP="00E900AE">
            <w:pPr>
              <w:spacing w:line="240" w:lineRule="auto"/>
              <w:jc w:val="center"/>
              <w:rPr>
                <w:rFonts w:ascii="Arial" w:hAnsi="Arial" w:cs="Arial"/>
                <w:color w:val="auto"/>
                <w:sz w:val="20"/>
              </w:rPr>
            </w:pPr>
            <w:r w:rsidRPr="00C27664">
              <w:rPr>
                <w:rFonts w:ascii="Arial" w:hAnsi="Arial" w:cs="Arial"/>
                <w:color w:val="auto"/>
                <w:sz w:val="20"/>
              </w:rPr>
              <w:t>Identify</w:t>
            </w:r>
            <w:r w:rsidR="00E900AE" w:rsidRPr="00BF1F0E">
              <w:rPr>
                <w:rFonts w:ascii="Arial" w:hAnsi="Arial" w:cs="Arial"/>
                <w:color w:val="auto"/>
                <w:sz w:val="20"/>
              </w:rPr>
              <w:t xml:space="preserve"> </w:t>
            </w:r>
            <w:r w:rsidRPr="00C27664">
              <w:rPr>
                <w:rFonts w:ascii="Arial" w:hAnsi="Arial" w:cs="Arial"/>
                <w:color w:val="auto"/>
                <w:sz w:val="20"/>
              </w:rPr>
              <w:t>2022</w:t>
            </w:r>
            <w:r w:rsidRPr="00C27664">
              <w:rPr>
                <w:rFonts w:ascii="Arial" w:hAnsi="Arial" w:cs="Arial"/>
                <w:b/>
                <w:color w:val="auto"/>
                <w:sz w:val="20"/>
              </w:rPr>
              <w:t>–</w:t>
            </w:r>
            <w:r w:rsidRPr="00C27664">
              <w:rPr>
                <w:rFonts w:ascii="Arial" w:hAnsi="Arial" w:cs="Arial"/>
                <w:color w:val="auto"/>
                <w:sz w:val="20"/>
              </w:rPr>
              <w:t>23</w:t>
            </w:r>
            <w:r w:rsidR="00E900AE" w:rsidRPr="00BF1F0E">
              <w:rPr>
                <w:rFonts w:ascii="Arial" w:hAnsi="Arial" w:cs="Arial"/>
                <w:color w:val="auto"/>
                <w:sz w:val="20"/>
              </w:rPr>
              <w:t xml:space="preserve"> </w:t>
            </w:r>
            <w:r w:rsidRPr="00C27664">
              <w:rPr>
                <w:rFonts w:ascii="Arial" w:hAnsi="Arial" w:cs="Arial"/>
                <w:color w:val="auto"/>
                <w:sz w:val="20"/>
              </w:rPr>
              <w:t>TSI schools</w:t>
            </w:r>
          </w:p>
        </w:tc>
        <w:tc>
          <w:tcPr>
            <w:tcW w:w="1079" w:type="dxa"/>
            <w:vAlign w:val="center"/>
          </w:tcPr>
          <w:p w14:paraId="70CB1C15" w14:textId="607AD9E6" w:rsidR="001079FB" w:rsidRPr="00C27664" w:rsidRDefault="001079FB" w:rsidP="001079FB">
            <w:pPr>
              <w:jc w:val="center"/>
              <w:rPr>
                <w:rFonts w:ascii="Arial" w:hAnsi="Arial" w:cs="Arial"/>
                <w:color w:val="auto"/>
                <w:sz w:val="20"/>
              </w:rPr>
            </w:pPr>
            <w:r w:rsidRPr="00C25872">
              <w:rPr>
                <w:rFonts w:ascii="Arial" w:hAnsi="Arial" w:cs="Arial"/>
                <w:sz w:val="20"/>
              </w:rPr>
              <w:t>-</w:t>
            </w:r>
          </w:p>
        </w:tc>
        <w:tc>
          <w:tcPr>
            <w:tcW w:w="1079" w:type="dxa"/>
            <w:vAlign w:val="center"/>
          </w:tcPr>
          <w:p w14:paraId="3B01441F" w14:textId="64062AAA" w:rsidR="001079FB" w:rsidRPr="00C27664" w:rsidRDefault="001079FB" w:rsidP="001079FB">
            <w:pPr>
              <w:jc w:val="center"/>
              <w:rPr>
                <w:rFonts w:ascii="Arial" w:hAnsi="Arial" w:cs="Arial"/>
                <w:color w:val="auto"/>
                <w:sz w:val="20"/>
              </w:rPr>
            </w:pPr>
            <w:r w:rsidRPr="00C25872">
              <w:rPr>
                <w:rFonts w:ascii="Arial" w:hAnsi="Arial" w:cs="Arial"/>
                <w:sz w:val="20"/>
              </w:rPr>
              <w:t>-</w:t>
            </w:r>
          </w:p>
        </w:tc>
        <w:tc>
          <w:tcPr>
            <w:tcW w:w="1079" w:type="dxa"/>
            <w:shd w:val="clear" w:color="auto" w:fill="ACB9CA" w:themeFill="text2" w:themeFillTint="66"/>
            <w:vAlign w:val="center"/>
          </w:tcPr>
          <w:p w14:paraId="1823E7A8" w14:textId="08EA5316" w:rsidR="001079FB" w:rsidRPr="00C27664" w:rsidRDefault="001079FB" w:rsidP="00E900AE">
            <w:pPr>
              <w:spacing w:line="240" w:lineRule="auto"/>
              <w:jc w:val="center"/>
              <w:rPr>
                <w:rFonts w:ascii="Arial" w:hAnsi="Arial" w:cs="Arial"/>
                <w:color w:val="auto"/>
                <w:sz w:val="20"/>
              </w:rPr>
            </w:pPr>
            <w:r w:rsidRPr="00C27664">
              <w:rPr>
                <w:rFonts w:ascii="Arial" w:hAnsi="Arial" w:cs="Arial"/>
                <w:color w:val="auto"/>
                <w:sz w:val="20"/>
              </w:rPr>
              <w:t>Identify</w:t>
            </w:r>
            <w:r w:rsidR="00E900AE" w:rsidRPr="00BF1F0E">
              <w:rPr>
                <w:rFonts w:ascii="Arial" w:hAnsi="Arial" w:cs="Arial"/>
                <w:color w:val="auto"/>
                <w:sz w:val="20"/>
              </w:rPr>
              <w:t xml:space="preserve"> </w:t>
            </w:r>
            <w:r w:rsidRPr="00C27664">
              <w:rPr>
                <w:rFonts w:ascii="Arial" w:hAnsi="Arial" w:cs="Arial"/>
                <w:color w:val="auto"/>
                <w:sz w:val="20"/>
              </w:rPr>
              <w:t>2025</w:t>
            </w:r>
            <w:r w:rsidRPr="00C27664">
              <w:rPr>
                <w:rFonts w:ascii="Arial" w:hAnsi="Arial" w:cs="Arial"/>
                <w:b/>
                <w:color w:val="auto"/>
                <w:sz w:val="20"/>
              </w:rPr>
              <w:t>–</w:t>
            </w:r>
            <w:r w:rsidRPr="00C27664">
              <w:rPr>
                <w:rFonts w:ascii="Arial" w:hAnsi="Arial" w:cs="Arial"/>
                <w:color w:val="auto"/>
                <w:sz w:val="20"/>
              </w:rPr>
              <w:t>26</w:t>
            </w:r>
            <w:r w:rsidR="00E900AE" w:rsidRPr="00BF1F0E">
              <w:rPr>
                <w:rFonts w:ascii="Arial" w:hAnsi="Arial" w:cs="Arial"/>
                <w:color w:val="auto"/>
                <w:sz w:val="20"/>
              </w:rPr>
              <w:t xml:space="preserve"> </w:t>
            </w:r>
            <w:r w:rsidRPr="00C27664">
              <w:rPr>
                <w:rFonts w:ascii="Arial" w:hAnsi="Arial" w:cs="Arial"/>
                <w:color w:val="auto"/>
                <w:sz w:val="20"/>
              </w:rPr>
              <w:t>TSI schools</w:t>
            </w:r>
          </w:p>
        </w:tc>
        <w:tc>
          <w:tcPr>
            <w:tcW w:w="1079" w:type="dxa"/>
            <w:vAlign w:val="center"/>
          </w:tcPr>
          <w:p w14:paraId="347ADC11" w14:textId="362DF718" w:rsidR="001079FB" w:rsidRPr="00C27664" w:rsidRDefault="001079FB" w:rsidP="001079FB">
            <w:pPr>
              <w:jc w:val="center"/>
              <w:rPr>
                <w:rFonts w:ascii="Arial" w:hAnsi="Arial" w:cs="Arial"/>
                <w:color w:val="auto"/>
                <w:sz w:val="20"/>
              </w:rPr>
            </w:pPr>
            <w:r w:rsidRPr="00A76AE6">
              <w:rPr>
                <w:rFonts w:ascii="Arial" w:hAnsi="Arial" w:cs="Arial"/>
                <w:sz w:val="20"/>
              </w:rPr>
              <w:t>-</w:t>
            </w:r>
          </w:p>
        </w:tc>
        <w:tc>
          <w:tcPr>
            <w:tcW w:w="1079" w:type="dxa"/>
            <w:vAlign w:val="center"/>
          </w:tcPr>
          <w:p w14:paraId="68594F51" w14:textId="1C6D17FB" w:rsidR="001079FB" w:rsidRPr="00C27664" w:rsidRDefault="001079FB" w:rsidP="001079FB">
            <w:pPr>
              <w:jc w:val="center"/>
              <w:rPr>
                <w:rFonts w:ascii="Arial" w:hAnsi="Arial" w:cs="Arial"/>
                <w:color w:val="auto"/>
                <w:sz w:val="20"/>
              </w:rPr>
            </w:pPr>
            <w:r w:rsidRPr="00A76AE6">
              <w:rPr>
                <w:rFonts w:ascii="Arial" w:hAnsi="Arial" w:cs="Arial"/>
                <w:sz w:val="20"/>
              </w:rPr>
              <w:t>-</w:t>
            </w:r>
          </w:p>
        </w:tc>
        <w:tc>
          <w:tcPr>
            <w:tcW w:w="1117" w:type="dxa"/>
            <w:shd w:val="clear" w:color="auto" w:fill="ACB9CA" w:themeFill="text2" w:themeFillTint="66"/>
            <w:vAlign w:val="center"/>
          </w:tcPr>
          <w:p w14:paraId="7A8FAE60" w14:textId="76EFADDE" w:rsidR="001079FB" w:rsidRPr="00C27664" w:rsidRDefault="001079FB" w:rsidP="00E900AE">
            <w:pPr>
              <w:spacing w:line="240" w:lineRule="auto"/>
              <w:jc w:val="center"/>
              <w:rPr>
                <w:rFonts w:ascii="Arial" w:hAnsi="Arial" w:cs="Arial"/>
                <w:color w:val="auto"/>
                <w:sz w:val="20"/>
              </w:rPr>
            </w:pPr>
            <w:r w:rsidRPr="00C27664">
              <w:rPr>
                <w:rFonts w:ascii="Arial" w:hAnsi="Arial" w:cs="Arial"/>
                <w:color w:val="auto"/>
                <w:sz w:val="20"/>
              </w:rPr>
              <w:t>Identify</w:t>
            </w:r>
            <w:r w:rsidR="00E900AE" w:rsidRPr="00BF1F0E">
              <w:rPr>
                <w:rFonts w:ascii="Arial" w:hAnsi="Arial" w:cs="Arial"/>
                <w:color w:val="auto"/>
                <w:sz w:val="20"/>
              </w:rPr>
              <w:t xml:space="preserve"> </w:t>
            </w:r>
            <w:r w:rsidRPr="00C27664">
              <w:rPr>
                <w:rFonts w:ascii="Arial" w:hAnsi="Arial" w:cs="Arial"/>
                <w:color w:val="auto"/>
                <w:sz w:val="20"/>
              </w:rPr>
              <w:t>2028</w:t>
            </w:r>
            <w:r w:rsidRPr="00C27664">
              <w:rPr>
                <w:rFonts w:ascii="Arial" w:hAnsi="Arial" w:cs="Arial"/>
                <w:b/>
                <w:color w:val="auto"/>
                <w:sz w:val="20"/>
              </w:rPr>
              <w:t>–</w:t>
            </w:r>
            <w:r w:rsidRPr="00C27664">
              <w:rPr>
                <w:rFonts w:ascii="Arial" w:hAnsi="Arial" w:cs="Arial"/>
                <w:color w:val="auto"/>
                <w:sz w:val="20"/>
              </w:rPr>
              <w:t>29</w:t>
            </w:r>
            <w:r w:rsidR="00E900AE" w:rsidRPr="00BF1F0E">
              <w:rPr>
                <w:rFonts w:ascii="Arial" w:hAnsi="Arial" w:cs="Arial"/>
                <w:color w:val="auto"/>
                <w:sz w:val="20"/>
              </w:rPr>
              <w:t xml:space="preserve"> </w:t>
            </w:r>
            <w:r w:rsidRPr="00C27664">
              <w:rPr>
                <w:rFonts w:ascii="Arial" w:hAnsi="Arial" w:cs="Arial"/>
                <w:color w:val="auto"/>
                <w:sz w:val="20"/>
              </w:rPr>
              <w:t>TSI schools</w:t>
            </w:r>
          </w:p>
        </w:tc>
      </w:tr>
    </w:tbl>
    <w:p w14:paraId="4CF28E05" w14:textId="77777777" w:rsidR="002E379A" w:rsidRDefault="002E379A" w:rsidP="002E379A">
      <w:pPr>
        <w:rPr>
          <w:sz w:val="20"/>
        </w:rPr>
      </w:pPr>
    </w:p>
    <w:p w14:paraId="43C5B82F" w14:textId="77777777" w:rsidR="002E379A" w:rsidRPr="002E379A" w:rsidRDefault="002E379A" w:rsidP="002E379A">
      <w:pPr>
        <w:rPr>
          <w:sz w:val="20"/>
        </w:rPr>
        <w:sectPr w:rsidR="002E379A" w:rsidRPr="002E379A" w:rsidSect="002C4C50">
          <w:headerReference w:type="even" r:id="rId48"/>
          <w:headerReference w:type="first" r:id="rId49"/>
          <w:footerReference w:type="first" r:id="rId50"/>
          <w:pgSz w:w="15840" w:h="12240" w:orient="landscape" w:code="1"/>
          <w:pgMar w:top="720" w:right="720" w:bottom="720" w:left="720" w:header="432" w:footer="475" w:gutter="0"/>
          <w:cols w:space="720"/>
          <w:noEndnote/>
          <w:docGrid w:linePitch="326"/>
        </w:sectPr>
      </w:pPr>
    </w:p>
    <w:p w14:paraId="214D685D" w14:textId="5AECEC97" w:rsidR="00D254E9" w:rsidRPr="00EF6288" w:rsidRDefault="00D254E9" w:rsidP="001514C3">
      <w:pPr>
        <w:pStyle w:val="Heading2"/>
      </w:pPr>
      <w:bookmarkStart w:id="868" w:name="_Toc114211835"/>
      <w:bookmarkStart w:id="869" w:name="_Toc135812564"/>
      <w:bookmarkStart w:id="870" w:name="_Toc136418945"/>
      <w:bookmarkStart w:id="871" w:name="_Toc136419201"/>
      <w:bookmarkStart w:id="872" w:name="_Toc225405020"/>
      <w:r w:rsidRPr="00EF6288">
        <w:lastRenderedPageBreak/>
        <w:t>Low-Performing State Identifications</w:t>
      </w:r>
      <w:bookmarkEnd w:id="868"/>
      <w:bookmarkEnd w:id="869"/>
      <w:bookmarkEnd w:id="870"/>
      <w:bookmarkEnd w:id="871"/>
      <w:bookmarkEnd w:id="872"/>
      <w:r w:rsidRPr="00EF6288">
        <w:t xml:space="preserve"> </w:t>
      </w:r>
    </w:p>
    <w:p w14:paraId="31A96DE2" w14:textId="77777777" w:rsidR="00D254E9" w:rsidRPr="00EF6288" w:rsidRDefault="00D254E9" w:rsidP="00D254E9">
      <w:pPr>
        <w:spacing w:line="240" w:lineRule="auto"/>
        <w:contextualSpacing/>
        <w:rPr>
          <w:rFonts w:ascii="Arial" w:hAnsi="Arial" w:cs="Arial"/>
        </w:rPr>
      </w:pPr>
      <w:r w:rsidRPr="00EF6288">
        <w:rPr>
          <w:rFonts w:ascii="Arial" w:hAnsi="Arial" w:cs="Arial"/>
        </w:rPr>
        <w:t xml:space="preserve">North Carolina identifies low-performing </w:t>
      </w:r>
      <w:bookmarkStart w:id="873" w:name="_Int_xf0KmCKO"/>
      <w:proofErr w:type="gramStart"/>
      <w:r w:rsidRPr="00EF6288">
        <w:rPr>
          <w:rFonts w:ascii="Arial" w:hAnsi="Arial" w:cs="Arial"/>
        </w:rPr>
        <w:t>public school</w:t>
      </w:r>
      <w:bookmarkEnd w:id="873"/>
      <w:proofErr w:type="gramEnd"/>
      <w:r w:rsidRPr="00EF6288">
        <w:rPr>
          <w:rFonts w:ascii="Arial" w:hAnsi="Arial" w:cs="Arial"/>
        </w:rPr>
        <w:t xml:space="preserve"> units annually. There are four designations for low-performing </w:t>
      </w:r>
      <w:bookmarkStart w:id="874" w:name="_Int_k1nwLO6I"/>
      <w:proofErr w:type="gramStart"/>
      <w:r w:rsidRPr="00EF6288">
        <w:rPr>
          <w:rFonts w:ascii="Arial" w:hAnsi="Arial" w:cs="Arial"/>
        </w:rPr>
        <w:t>public school</w:t>
      </w:r>
      <w:bookmarkEnd w:id="874"/>
      <w:proofErr w:type="gramEnd"/>
      <w:r w:rsidRPr="00EF6288">
        <w:rPr>
          <w:rFonts w:ascii="Arial" w:hAnsi="Arial" w:cs="Arial"/>
        </w:rPr>
        <w:t xml:space="preserve"> units: </w:t>
      </w:r>
    </w:p>
    <w:p w14:paraId="4BE9567C" w14:textId="77777777" w:rsidR="00D254E9" w:rsidRPr="00EF6288" w:rsidRDefault="00D254E9" w:rsidP="00CA5853">
      <w:pPr>
        <w:numPr>
          <w:ilvl w:val="0"/>
          <w:numId w:val="96"/>
        </w:numPr>
        <w:spacing w:line="240" w:lineRule="auto"/>
        <w:contextualSpacing/>
        <w:rPr>
          <w:rFonts w:ascii="Arial" w:hAnsi="Arial" w:cs="Arial"/>
        </w:rPr>
      </w:pPr>
      <w:r w:rsidRPr="00EF6288">
        <w:rPr>
          <w:rFonts w:ascii="Arial" w:hAnsi="Arial" w:cs="Arial"/>
        </w:rPr>
        <w:t>Low-Performing School</w:t>
      </w:r>
    </w:p>
    <w:p w14:paraId="51A7B5A7" w14:textId="77777777" w:rsidR="00D254E9" w:rsidRPr="00EF6288" w:rsidRDefault="00D254E9" w:rsidP="00CA5853">
      <w:pPr>
        <w:numPr>
          <w:ilvl w:val="0"/>
          <w:numId w:val="96"/>
        </w:numPr>
        <w:spacing w:line="240" w:lineRule="auto"/>
        <w:contextualSpacing/>
        <w:rPr>
          <w:rFonts w:ascii="Arial" w:hAnsi="Arial" w:cs="Arial"/>
        </w:rPr>
      </w:pPr>
      <w:r w:rsidRPr="00EF6288">
        <w:rPr>
          <w:rFonts w:ascii="Arial" w:hAnsi="Arial" w:cs="Arial"/>
        </w:rPr>
        <w:t>Low-Performing District</w:t>
      </w:r>
    </w:p>
    <w:p w14:paraId="29F0A302" w14:textId="1C0FB658" w:rsidR="00D254E9" w:rsidRPr="00EF6288" w:rsidRDefault="00350E17" w:rsidP="00CA5853">
      <w:pPr>
        <w:numPr>
          <w:ilvl w:val="0"/>
          <w:numId w:val="96"/>
        </w:numPr>
        <w:spacing w:line="240" w:lineRule="auto"/>
        <w:contextualSpacing/>
        <w:rPr>
          <w:rFonts w:ascii="Arial" w:hAnsi="Arial" w:cs="Arial"/>
        </w:rPr>
      </w:pPr>
      <w:r w:rsidRPr="00EF6288">
        <w:rPr>
          <w:rFonts w:ascii="Arial" w:hAnsi="Arial" w:cs="Arial"/>
        </w:rPr>
        <w:t xml:space="preserve">Continually </w:t>
      </w:r>
      <w:r w:rsidR="00D254E9" w:rsidRPr="00EF6288">
        <w:rPr>
          <w:rFonts w:ascii="Arial" w:hAnsi="Arial" w:cs="Arial"/>
        </w:rPr>
        <w:t>Low-Performing School</w:t>
      </w:r>
    </w:p>
    <w:p w14:paraId="0FAA4751" w14:textId="77777777" w:rsidR="00D254E9" w:rsidRPr="00EF6288" w:rsidRDefault="00D254E9" w:rsidP="00CA5853">
      <w:pPr>
        <w:numPr>
          <w:ilvl w:val="0"/>
          <w:numId w:val="96"/>
        </w:numPr>
        <w:spacing w:line="240" w:lineRule="auto"/>
        <w:contextualSpacing/>
        <w:rPr>
          <w:rFonts w:ascii="Arial" w:hAnsi="Arial" w:cs="Arial"/>
        </w:rPr>
      </w:pPr>
      <w:r w:rsidRPr="00EF6288">
        <w:rPr>
          <w:rFonts w:ascii="Arial" w:hAnsi="Arial" w:cs="Arial"/>
        </w:rPr>
        <w:t>Continually Low-Performing Charter Schools</w:t>
      </w:r>
    </w:p>
    <w:p w14:paraId="127E9BC3" w14:textId="77777777" w:rsidR="00D254E9" w:rsidRPr="00EF6288" w:rsidRDefault="00D254E9" w:rsidP="00D254E9">
      <w:pPr>
        <w:spacing w:line="240" w:lineRule="auto"/>
        <w:rPr>
          <w:rFonts w:ascii="Arial" w:hAnsi="Arial" w:cs="Arial"/>
        </w:rPr>
      </w:pPr>
    </w:p>
    <w:p w14:paraId="1E2A3732" w14:textId="44B2CBE0" w:rsidR="00D254E9" w:rsidRPr="00EF6288" w:rsidRDefault="00D254E9" w:rsidP="00D254E9">
      <w:pPr>
        <w:spacing w:line="240" w:lineRule="auto"/>
        <w:rPr>
          <w:rFonts w:ascii="Arial" w:hAnsi="Arial" w:cs="Arial"/>
          <w:szCs w:val="24"/>
          <w:shd w:val="clear" w:color="auto" w:fill="FFFFFF"/>
        </w:rPr>
      </w:pPr>
      <w:r w:rsidRPr="00EF6288">
        <w:rPr>
          <w:rFonts w:ascii="Arial" w:hAnsi="Arial" w:cs="Arial"/>
          <w:i/>
          <w:szCs w:val="24"/>
        </w:rPr>
        <w:t>Low-Performing Schools</w:t>
      </w:r>
      <w:r w:rsidRPr="00EF6288">
        <w:rPr>
          <w:rFonts w:ascii="Arial" w:hAnsi="Arial" w:cs="Arial"/>
          <w:i/>
          <w:iCs/>
          <w:szCs w:val="24"/>
        </w:rPr>
        <w:t xml:space="preserve">. </w:t>
      </w:r>
      <w:r w:rsidRPr="00EF6288">
        <w:rPr>
          <w:rFonts w:ascii="Arial" w:hAnsi="Arial" w:cs="Arial"/>
          <w:szCs w:val="24"/>
          <w:shd w:val="clear" w:color="auto" w:fill="FFFFFF"/>
        </w:rPr>
        <w:t xml:space="preserve">A low-performing school has a School Performance Grade of </w:t>
      </w:r>
      <w:r w:rsidR="00BF2330" w:rsidRPr="00EF6288">
        <w:rPr>
          <w:rFonts w:ascii="Arial" w:hAnsi="Arial" w:cs="Arial"/>
          <w:szCs w:val="24"/>
          <w:shd w:val="clear" w:color="auto" w:fill="FFFFFF"/>
        </w:rPr>
        <w:t xml:space="preserve">“D” </w:t>
      </w:r>
      <w:r w:rsidRPr="00EF6288">
        <w:rPr>
          <w:rFonts w:ascii="Arial" w:hAnsi="Arial" w:cs="Arial"/>
          <w:szCs w:val="24"/>
          <w:shd w:val="clear" w:color="auto" w:fill="FFFFFF"/>
        </w:rPr>
        <w:t>or</w:t>
      </w:r>
      <w:r w:rsidR="00617695" w:rsidRPr="00EF6288">
        <w:rPr>
          <w:rFonts w:ascii="Arial" w:hAnsi="Arial" w:cs="Arial"/>
          <w:szCs w:val="24"/>
          <w:shd w:val="clear" w:color="auto" w:fill="FFFFFF"/>
        </w:rPr>
        <w:t xml:space="preserve"> “F,”</w:t>
      </w:r>
      <w:r w:rsidRPr="00EF6288" w:rsidDel="00617695">
        <w:rPr>
          <w:rFonts w:ascii="Arial" w:hAnsi="Arial" w:cs="Arial"/>
          <w:szCs w:val="24"/>
          <w:shd w:val="clear" w:color="auto" w:fill="FFFFFF"/>
        </w:rPr>
        <w:t xml:space="preserve"> </w:t>
      </w:r>
      <w:r w:rsidRPr="00EF6288">
        <w:rPr>
          <w:rFonts w:ascii="Arial" w:hAnsi="Arial" w:cs="Arial"/>
          <w:szCs w:val="24"/>
          <w:shd w:val="clear" w:color="auto" w:fill="FFFFFF"/>
        </w:rPr>
        <w:t xml:space="preserve">and a growth status of </w:t>
      </w:r>
      <w:r w:rsidR="00617695" w:rsidRPr="00EF6288">
        <w:rPr>
          <w:rFonts w:ascii="Arial" w:hAnsi="Arial" w:cs="Arial"/>
          <w:szCs w:val="24"/>
          <w:shd w:val="clear" w:color="auto" w:fill="FFFFFF"/>
        </w:rPr>
        <w:t xml:space="preserve">“Met” </w:t>
      </w:r>
      <w:r w:rsidRPr="00EF6288">
        <w:rPr>
          <w:rFonts w:ascii="Arial" w:hAnsi="Arial" w:cs="Arial"/>
          <w:szCs w:val="24"/>
          <w:shd w:val="clear" w:color="auto" w:fill="FFFFFF"/>
        </w:rPr>
        <w:t xml:space="preserve">or </w:t>
      </w:r>
      <w:r w:rsidR="00617695" w:rsidRPr="00EF6288">
        <w:rPr>
          <w:rFonts w:ascii="Arial" w:hAnsi="Arial" w:cs="Arial"/>
          <w:szCs w:val="24"/>
          <w:shd w:val="clear" w:color="auto" w:fill="FFFFFF"/>
        </w:rPr>
        <w:t>“</w:t>
      </w:r>
      <w:r w:rsidRPr="00EF6288">
        <w:rPr>
          <w:rFonts w:ascii="Arial" w:hAnsi="Arial" w:cs="Arial"/>
          <w:szCs w:val="24"/>
          <w:shd w:val="clear" w:color="auto" w:fill="FFFFFF"/>
        </w:rPr>
        <w:t>Not Met.</w:t>
      </w:r>
      <w:r w:rsidR="00617695" w:rsidRPr="00EF6288">
        <w:rPr>
          <w:rFonts w:ascii="Arial" w:hAnsi="Arial" w:cs="Arial"/>
          <w:szCs w:val="24"/>
          <w:shd w:val="clear" w:color="auto" w:fill="FFFFFF"/>
        </w:rPr>
        <w:t>”</w:t>
      </w:r>
      <w:r w:rsidRPr="00EF6288">
        <w:rPr>
          <w:rFonts w:ascii="Arial" w:hAnsi="Arial" w:cs="Arial"/>
          <w:szCs w:val="24"/>
          <w:shd w:val="clear" w:color="auto" w:fill="FFFFFF"/>
        </w:rPr>
        <w:t xml:space="preserve"> </w:t>
      </w:r>
    </w:p>
    <w:p w14:paraId="54944B36" w14:textId="77777777" w:rsidR="00D254E9" w:rsidRPr="00EF6288" w:rsidRDefault="00D254E9" w:rsidP="00D254E9">
      <w:pPr>
        <w:spacing w:line="240" w:lineRule="auto"/>
        <w:rPr>
          <w:rFonts w:ascii="Arial" w:hAnsi="Arial" w:cs="Arial"/>
          <w:szCs w:val="24"/>
          <w:shd w:val="clear" w:color="auto" w:fill="FFFFFF"/>
        </w:rPr>
      </w:pPr>
    </w:p>
    <w:p w14:paraId="58162C7C" w14:textId="29D38E5B" w:rsidR="00D254E9" w:rsidRPr="00EF6288" w:rsidRDefault="00D254E9" w:rsidP="00D254E9">
      <w:pPr>
        <w:spacing w:line="240" w:lineRule="auto"/>
        <w:rPr>
          <w:rFonts w:ascii="Arial" w:hAnsi="Arial" w:cs="Arial"/>
          <w:shd w:val="clear" w:color="auto" w:fill="FFFFFF"/>
        </w:rPr>
      </w:pPr>
      <w:r w:rsidRPr="00EF6288">
        <w:rPr>
          <w:rFonts w:ascii="Arial" w:hAnsi="Arial" w:cs="Arial"/>
          <w:i/>
          <w:shd w:val="clear" w:color="auto" w:fill="FFFFFF"/>
        </w:rPr>
        <w:t>Low-Performing District</w:t>
      </w:r>
      <w:r w:rsidRPr="00EF6288">
        <w:rPr>
          <w:rFonts w:ascii="Arial" w:hAnsi="Arial" w:cs="Arial"/>
          <w:shd w:val="clear" w:color="auto" w:fill="FFFFFF"/>
        </w:rPr>
        <w:t>.</w:t>
      </w:r>
      <w:r w:rsidRPr="00EF6288">
        <w:rPr>
          <w:rFonts w:ascii="Arial" w:hAnsi="Arial" w:cs="Arial"/>
          <w:i/>
          <w:shd w:val="clear" w:color="auto" w:fill="FFFFFF"/>
        </w:rPr>
        <w:t xml:space="preserve"> </w:t>
      </w:r>
      <w:r w:rsidRPr="00EF6288">
        <w:rPr>
          <w:rFonts w:ascii="Arial" w:hAnsi="Arial" w:cs="Arial"/>
          <w:shd w:val="clear" w:color="auto" w:fill="FFFFFF"/>
        </w:rPr>
        <w:t>Low-performing districts are defined as districts that have greater than 50% of schools identified as low performing.</w:t>
      </w:r>
      <w:r w:rsidR="00DA204D" w:rsidRPr="00EF6288">
        <w:rPr>
          <w:rFonts w:ascii="Arial" w:hAnsi="Arial" w:cs="Arial"/>
        </w:rPr>
        <w:t xml:space="preserve"> The denominator for this calculation excludes K-2 schools who receive their </w:t>
      </w:r>
      <w:r w:rsidR="00C658E0" w:rsidRPr="00EF6288">
        <w:rPr>
          <w:rFonts w:ascii="Arial" w:hAnsi="Arial" w:cs="Arial"/>
        </w:rPr>
        <w:t>SPG from another school, alternative schools</w:t>
      </w:r>
      <w:r w:rsidR="002754F4" w:rsidRPr="00EF6288">
        <w:rPr>
          <w:rFonts w:ascii="Arial" w:hAnsi="Arial" w:cs="Arial"/>
        </w:rPr>
        <w:t>,</w:t>
      </w:r>
      <w:r w:rsidR="00C658E0" w:rsidRPr="00EF6288">
        <w:rPr>
          <w:rFonts w:ascii="Arial" w:hAnsi="Arial" w:cs="Arial"/>
        </w:rPr>
        <w:t xml:space="preserve"> and schools who have insufficient data </w:t>
      </w:r>
      <w:r w:rsidR="00324EDA" w:rsidRPr="00EF6288">
        <w:rPr>
          <w:rFonts w:ascii="Arial" w:hAnsi="Arial" w:cs="Arial"/>
        </w:rPr>
        <w:t>(i.e., minimum-N 30)</w:t>
      </w:r>
      <w:r w:rsidR="00324EDA">
        <w:rPr>
          <w:rFonts w:ascii="Arial" w:hAnsi="Arial" w:cs="Arial"/>
        </w:rPr>
        <w:t xml:space="preserve"> </w:t>
      </w:r>
      <w:r w:rsidR="007170C9" w:rsidRPr="00EF6288">
        <w:rPr>
          <w:rFonts w:ascii="Arial" w:hAnsi="Arial" w:cs="Arial"/>
        </w:rPr>
        <w:t>or growth status</w:t>
      </w:r>
      <w:r w:rsidR="00C658E0" w:rsidRPr="00EF6288">
        <w:rPr>
          <w:rFonts w:ascii="Arial" w:hAnsi="Arial" w:cs="Arial"/>
        </w:rPr>
        <w:t>.</w:t>
      </w:r>
    </w:p>
    <w:p w14:paraId="65B57107" w14:textId="77777777" w:rsidR="00D254E9" w:rsidRPr="00EF6288" w:rsidRDefault="00D254E9" w:rsidP="00D254E9">
      <w:pPr>
        <w:spacing w:line="240" w:lineRule="auto"/>
        <w:rPr>
          <w:rFonts w:ascii="Arial" w:hAnsi="Arial" w:cs="Arial"/>
          <w:szCs w:val="24"/>
          <w:shd w:val="clear" w:color="auto" w:fill="FFFFFF"/>
        </w:rPr>
      </w:pPr>
    </w:p>
    <w:p w14:paraId="21E43BFA" w14:textId="77777777" w:rsidR="00177F06" w:rsidRPr="00EF6288" w:rsidRDefault="00177F06" w:rsidP="00177F06">
      <w:pPr>
        <w:spacing w:line="240" w:lineRule="auto"/>
        <w:rPr>
          <w:rFonts w:ascii="Arial" w:hAnsi="Arial" w:cs="Arial"/>
          <w:szCs w:val="24"/>
          <w:shd w:val="clear" w:color="auto" w:fill="FFFFFF"/>
        </w:rPr>
      </w:pPr>
      <w:r w:rsidRPr="00EF6288">
        <w:rPr>
          <w:rFonts w:ascii="Arial" w:hAnsi="Arial" w:cs="Arial"/>
          <w:i/>
          <w:szCs w:val="24"/>
          <w:shd w:val="clear" w:color="auto" w:fill="FFFFFF"/>
        </w:rPr>
        <w:t>Continually Low-Performing School</w:t>
      </w:r>
      <w:r w:rsidRPr="00EF6288">
        <w:rPr>
          <w:rFonts w:ascii="Arial" w:hAnsi="Arial" w:cs="Arial"/>
          <w:szCs w:val="24"/>
          <w:shd w:val="clear" w:color="auto" w:fill="FFFFFF"/>
        </w:rPr>
        <w:t>.</w:t>
      </w:r>
      <w:r w:rsidRPr="00EF6288">
        <w:rPr>
          <w:rFonts w:ascii="Arial" w:hAnsi="Arial" w:cs="Arial"/>
          <w:i/>
          <w:szCs w:val="24"/>
          <w:shd w:val="clear" w:color="auto" w:fill="FFFFFF"/>
        </w:rPr>
        <w:t xml:space="preserve"> </w:t>
      </w:r>
      <w:r w:rsidRPr="00EF6288">
        <w:rPr>
          <w:rFonts w:ascii="Arial" w:hAnsi="Arial" w:cs="Arial"/>
          <w:szCs w:val="24"/>
          <w:shd w:val="clear" w:color="auto" w:fill="FFFFFF"/>
        </w:rPr>
        <w:t xml:space="preserve">A continually low-performing school is identified as low-performing—as defined above—in any two of the last three years. For the purposes of this list, charter schools are not identified as continually low-performing schools. </w:t>
      </w:r>
    </w:p>
    <w:p w14:paraId="2219FB24" w14:textId="77777777" w:rsidR="00D254E9" w:rsidRPr="00EF6288" w:rsidRDefault="00D254E9" w:rsidP="00D254E9">
      <w:pPr>
        <w:spacing w:line="240" w:lineRule="auto"/>
        <w:rPr>
          <w:rFonts w:ascii="Arial" w:hAnsi="Arial" w:cs="Arial"/>
          <w:szCs w:val="24"/>
          <w:shd w:val="clear" w:color="auto" w:fill="FFFFFF"/>
        </w:rPr>
      </w:pPr>
    </w:p>
    <w:p w14:paraId="6DDDD107" w14:textId="4D8EB72E" w:rsidR="0040799C" w:rsidRPr="00EF6288" w:rsidRDefault="00D254E9" w:rsidP="009642A7">
      <w:pPr>
        <w:spacing w:line="240" w:lineRule="auto"/>
        <w:rPr>
          <w:rFonts w:ascii="Arial" w:hAnsi="Arial" w:cs="Arial"/>
          <w:sz w:val="20"/>
        </w:rPr>
        <w:sectPr w:rsidR="0040799C" w:rsidRPr="00EF6288" w:rsidSect="0000038D">
          <w:headerReference w:type="even" r:id="rId51"/>
          <w:headerReference w:type="default" r:id="rId52"/>
          <w:footerReference w:type="default" r:id="rId53"/>
          <w:headerReference w:type="first" r:id="rId54"/>
          <w:footerReference w:type="first" r:id="rId55"/>
          <w:pgSz w:w="12240" w:h="15840" w:code="1"/>
          <w:pgMar w:top="1440" w:right="1440" w:bottom="1440" w:left="1440" w:header="432" w:footer="475" w:gutter="0"/>
          <w:cols w:space="720"/>
          <w:noEndnote/>
          <w:docGrid w:linePitch="326"/>
        </w:sectPr>
      </w:pPr>
      <w:r w:rsidRPr="00EF6288">
        <w:rPr>
          <w:rFonts w:ascii="Arial" w:hAnsi="Arial" w:cs="Arial"/>
          <w:i/>
          <w:szCs w:val="24"/>
          <w:shd w:val="clear" w:color="auto" w:fill="FFFFFF"/>
        </w:rPr>
        <w:t xml:space="preserve">Continually Low-Performing Charter Schools. </w:t>
      </w:r>
      <w:r w:rsidRPr="00EF6288">
        <w:rPr>
          <w:rFonts w:ascii="Arial" w:hAnsi="Arial" w:cs="Arial"/>
          <w:szCs w:val="24"/>
          <w:shd w:val="clear" w:color="auto" w:fill="FFFFFF"/>
        </w:rPr>
        <w:t>A continually low-performing charter school is identified as low-performing</w:t>
      </w:r>
      <w:r w:rsidR="00617695" w:rsidRPr="00EF6288">
        <w:rPr>
          <w:rFonts w:ascii="Arial" w:hAnsi="Arial" w:cs="Arial"/>
          <w:szCs w:val="24"/>
          <w:shd w:val="clear" w:color="auto" w:fill="FFFFFF"/>
        </w:rPr>
        <w:t>—</w:t>
      </w:r>
      <w:r w:rsidRPr="00EF6288">
        <w:rPr>
          <w:rFonts w:ascii="Arial" w:hAnsi="Arial" w:cs="Arial"/>
          <w:szCs w:val="24"/>
          <w:shd w:val="clear" w:color="auto" w:fill="FFFFFF"/>
        </w:rPr>
        <w:t>as defined above</w:t>
      </w:r>
      <w:r w:rsidR="00617695" w:rsidRPr="00EF6288">
        <w:rPr>
          <w:rFonts w:ascii="Arial" w:hAnsi="Arial" w:cs="Arial"/>
          <w:szCs w:val="24"/>
          <w:shd w:val="clear" w:color="auto" w:fill="FFFFFF"/>
        </w:rPr>
        <w:t>—</w:t>
      </w:r>
      <w:r w:rsidRPr="00EF6288">
        <w:rPr>
          <w:rFonts w:ascii="Arial" w:hAnsi="Arial" w:cs="Arial"/>
          <w:szCs w:val="24"/>
          <w:shd w:val="clear" w:color="auto" w:fill="FFFFFF"/>
        </w:rPr>
        <w:t xml:space="preserve">in any two of the last three years. </w:t>
      </w:r>
    </w:p>
    <w:p w14:paraId="2534236E" w14:textId="213169C8" w:rsidR="00EB7E45" w:rsidRPr="00EF6288" w:rsidRDefault="00C12300" w:rsidP="00D32024">
      <w:pPr>
        <w:pStyle w:val="Heading1"/>
      </w:pPr>
      <w:bookmarkStart w:id="875" w:name="_Toc135812565"/>
      <w:bookmarkStart w:id="876" w:name="_Toc136418946"/>
      <w:bookmarkStart w:id="877" w:name="_Toc136419202"/>
      <w:bookmarkStart w:id="878" w:name="_Toc225405021"/>
      <w:r w:rsidRPr="00EF6288">
        <w:lastRenderedPageBreak/>
        <w:t>Long-Term Goals</w:t>
      </w:r>
      <w:bookmarkEnd w:id="875"/>
      <w:bookmarkEnd w:id="876"/>
      <w:bookmarkEnd w:id="877"/>
      <w:bookmarkEnd w:id="878"/>
      <w:r w:rsidR="007F4424" w:rsidRPr="00EF6288">
        <w:fldChar w:fldCharType="begin"/>
      </w:r>
      <w:r w:rsidR="007F4424" w:rsidRPr="00EF6288">
        <w:instrText xml:space="preserve"> XE "Long-Term Goals" </w:instrText>
      </w:r>
      <w:r w:rsidR="007F4424" w:rsidRPr="00EF6288">
        <w:fldChar w:fldCharType="end"/>
      </w:r>
    </w:p>
    <w:p w14:paraId="1D46C808" w14:textId="77777777" w:rsidR="00185C7D" w:rsidRPr="00EF6288" w:rsidRDefault="00185C7D" w:rsidP="0062384E">
      <w:pPr>
        <w:spacing w:line="240" w:lineRule="auto"/>
        <w:rPr>
          <w:rFonts w:ascii="Arial" w:hAnsi="Arial" w:cs="Arial"/>
          <w:b/>
          <w:caps/>
          <w:color w:val="auto"/>
          <w:kern w:val="16"/>
          <w:sz w:val="28"/>
          <w:szCs w:val="28"/>
        </w:rPr>
      </w:pPr>
    </w:p>
    <w:p w14:paraId="3BE15E71" w14:textId="3FE9B9FB" w:rsidR="00A14D07" w:rsidRPr="00EF6288" w:rsidRDefault="00A14D07" w:rsidP="00A14D07">
      <w:pPr>
        <w:spacing w:line="240" w:lineRule="auto"/>
        <w:ind w:right="-90"/>
        <w:contextualSpacing/>
        <w:rPr>
          <w:rFonts w:ascii="Arial" w:hAnsi="Arial" w:cs="Arial"/>
          <w:color w:val="auto"/>
        </w:rPr>
      </w:pPr>
      <w:bookmarkStart w:id="879" w:name="_Int_jBWkxLDg"/>
      <w:proofErr w:type="gramStart"/>
      <w:r w:rsidRPr="00EF6288">
        <w:rPr>
          <w:rFonts w:ascii="Arial" w:hAnsi="Arial" w:cs="Arial"/>
          <w:color w:val="auto"/>
        </w:rPr>
        <w:t xml:space="preserve">The </w:t>
      </w:r>
      <w:r w:rsidRPr="00EF6288">
        <w:rPr>
          <w:rFonts w:ascii="Arial" w:hAnsi="Arial" w:cs="Arial"/>
          <w:i/>
          <w:color w:val="auto"/>
        </w:rPr>
        <w:t>Every</w:t>
      </w:r>
      <w:bookmarkEnd w:id="879"/>
      <w:proofErr w:type="gramEnd"/>
      <w:r w:rsidRPr="00EF6288">
        <w:rPr>
          <w:rFonts w:ascii="Arial" w:hAnsi="Arial" w:cs="Arial"/>
          <w:i/>
          <w:color w:val="auto"/>
        </w:rPr>
        <w:t xml:space="preserve"> Student Succeeds Act</w:t>
      </w:r>
      <w:r w:rsidRPr="00EF6288">
        <w:rPr>
          <w:rFonts w:ascii="Arial" w:hAnsi="Arial" w:cs="Arial"/>
          <w:color w:val="auto"/>
        </w:rPr>
        <w:t xml:space="preserve"> (ESSA) requires states to develop </w:t>
      </w:r>
      <w:r w:rsidR="00A93007" w:rsidRPr="00EF6288">
        <w:rPr>
          <w:rFonts w:ascii="Arial" w:hAnsi="Arial" w:cs="Arial"/>
          <w:color w:val="auto"/>
        </w:rPr>
        <w:t>ambitious</w:t>
      </w:r>
      <w:r w:rsidRPr="00EF6288">
        <w:rPr>
          <w:rFonts w:ascii="Arial" w:hAnsi="Arial" w:cs="Arial"/>
          <w:color w:val="auto"/>
        </w:rPr>
        <w:t xml:space="preserve"> yet attainable long-term goals and measures of interim progress in the following areas:</w:t>
      </w:r>
    </w:p>
    <w:p w14:paraId="31D73E9F" w14:textId="77777777" w:rsidR="00EC6243" w:rsidRPr="00EC6243" w:rsidRDefault="00EC6243" w:rsidP="00CA5853">
      <w:pPr>
        <w:numPr>
          <w:ilvl w:val="0"/>
          <w:numId w:val="79"/>
        </w:numPr>
        <w:spacing w:line="240" w:lineRule="auto"/>
        <w:contextualSpacing/>
        <w:rPr>
          <w:rFonts w:ascii="Arial" w:hAnsi="Arial" w:cs="Arial"/>
          <w:color w:val="auto"/>
        </w:rPr>
      </w:pPr>
      <w:r w:rsidRPr="00EC6243">
        <w:rPr>
          <w:rFonts w:ascii="Arial" w:hAnsi="Arial" w:cs="Arial"/>
          <w:color w:val="auto"/>
        </w:rPr>
        <w:t xml:space="preserve">Reading </w:t>
      </w:r>
      <w:bookmarkStart w:id="880" w:name="_Int_JV32ucx4"/>
      <w:r w:rsidRPr="00EC6243">
        <w:rPr>
          <w:rFonts w:ascii="Arial" w:hAnsi="Arial" w:cs="Arial"/>
          <w:color w:val="auto"/>
        </w:rPr>
        <w:t>at</w:t>
      </w:r>
      <w:bookmarkEnd w:id="880"/>
      <w:r w:rsidRPr="00EC6243">
        <w:rPr>
          <w:rFonts w:ascii="Arial" w:hAnsi="Arial" w:cs="Arial"/>
          <w:color w:val="auto"/>
        </w:rPr>
        <w:t xml:space="preserve"> grades 3–8</w:t>
      </w:r>
    </w:p>
    <w:p w14:paraId="298A2524" w14:textId="77777777" w:rsidR="00EC6243" w:rsidRPr="00EC6243" w:rsidRDefault="00EC6243" w:rsidP="00CA5853">
      <w:pPr>
        <w:numPr>
          <w:ilvl w:val="0"/>
          <w:numId w:val="79"/>
        </w:numPr>
        <w:spacing w:line="240" w:lineRule="auto"/>
        <w:contextualSpacing/>
        <w:rPr>
          <w:rFonts w:ascii="Arial" w:hAnsi="Arial" w:cs="Arial"/>
          <w:color w:val="auto"/>
        </w:rPr>
      </w:pPr>
      <w:r w:rsidRPr="00EC6243">
        <w:rPr>
          <w:rFonts w:ascii="Arial" w:hAnsi="Arial" w:cs="Arial"/>
          <w:color w:val="auto"/>
        </w:rPr>
        <w:t>Mathematics at grades 3–8</w:t>
      </w:r>
    </w:p>
    <w:p w14:paraId="33BFA594" w14:textId="77777777" w:rsidR="00EC6243" w:rsidRPr="00EC6243" w:rsidRDefault="00EC6243" w:rsidP="00CA5853">
      <w:pPr>
        <w:numPr>
          <w:ilvl w:val="0"/>
          <w:numId w:val="79"/>
        </w:numPr>
        <w:spacing w:line="240" w:lineRule="auto"/>
        <w:contextualSpacing/>
        <w:rPr>
          <w:rFonts w:ascii="Arial" w:hAnsi="Arial" w:cs="Arial"/>
          <w:color w:val="auto"/>
        </w:rPr>
      </w:pPr>
      <w:r w:rsidRPr="00EC6243">
        <w:rPr>
          <w:rFonts w:ascii="Arial" w:hAnsi="Arial" w:cs="Arial"/>
          <w:color w:val="auto"/>
        </w:rPr>
        <w:t>Reading at high school (grade 10)</w:t>
      </w:r>
    </w:p>
    <w:p w14:paraId="5A3FEDE3" w14:textId="77777777" w:rsidR="00EC6243" w:rsidRPr="00EC6243" w:rsidRDefault="00EC6243" w:rsidP="00CA5853">
      <w:pPr>
        <w:numPr>
          <w:ilvl w:val="0"/>
          <w:numId w:val="79"/>
        </w:numPr>
        <w:spacing w:line="240" w:lineRule="auto"/>
        <w:contextualSpacing/>
        <w:rPr>
          <w:rFonts w:ascii="Arial" w:hAnsi="Arial" w:cs="Arial"/>
          <w:color w:val="auto"/>
        </w:rPr>
      </w:pPr>
      <w:r w:rsidRPr="00EC6243">
        <w:rPr>
          <w:rFonts w:ascii="Arial" w:hAnsi="Arial" w:cs="Arial"/>
          <w:color w:val="auto"/>
        </w:rPr>
        <w:t>Mathematics at high school (grade 11)</w:t>
      </w:r>
    </w:p>
    <w:p w14:paraId="61961679" w14:textId="77777777" w:rsidR="00EC6243" w:rsidRPr="00EC6243" w:rsidRDefault="00EC6243" w:rsidP="00CA5853">
      <w:pPr>
        <w:numPr>
          <w:ilvl w:val="0"/>
          <w:numId w:val="79"/>
        </w:numPr>
        <w:spacing w:line="240" w:lineRule="auto"/>
        <w:contextualSpacing/>
        <w:rPr>
          <w:rFonts w:ascii="Arial" w:hAnsi="Arial" w:cs="Arial"/>
          <w:color w:val="auto"/>
        </w:rPr>
      </w:pPr>
      <w:r w:rsidRPr="00EC6243">
        <w:rPr>
          <w:rFonts w:ascii="Arial" w:hAnsi="Arial" w:cs="Arial"/>
          <w:color w:val="auto"/>
        </w:rPr>
        <w:t>English Learner Progress</w:t>
      </w:r>
    </w:p>
    <w:p w14:paraId="0E8847DD" w14:textId="4970B652" w:rsidR="00A14D07" w:rsidRPr="00EC6243" w:rsidRDefault="00EC6243" w:rsidP="00CA5853">
      <w:pPr>
        <w:numPr>
          <w:ilvl w:val="0"/>
          <w:numId w:val="79"/>
        </w:numPr>
        <w:spacing w:line="240" w:lineRule="auto"/>
        <w:contextualSpacing/>
        <w:rPr>
          <w:rFonts w:ascii="Arial" w:hAnsi="Arial" w:cs="Arial"/>
          <w:color w:val="auto"/>
        </w:rPr>
      </w:pPr>
      <w:r w:rsidRPr="00EC6243">
        <w:rPr>
          <w:rFonts w:ascii="Arial" w:hAnsi="Arial" w:cs="Arial"/>
          <w:color w:val="auto"/>
        </w:rPr>
        <w:t>Cohort Graduation Rate</w:t>
      </w:r>
    </w:p>
    <w:p w14:paraId="1D39B424" w14:textId="77777777" w:rsidR="00A14D07" w:rsidRPr="00EF6288" w:rsidRDefault="00A14D07" w:rsidP="00037F06">
      <w:pPr>
        <w:spacing w:line="240" w:lineRule="auto"/>
        <w:rPr>
          <w:rFonts w:ascii="Arial" w:hAnsi="Arial" w:cs="Arial"/>
        </w:rPr>
      </w:pPr>
    </w:p>
    <w:p w14:paraId="49C08E29" w14:textId="77777777" w:rsidR="00A14D07" w:rsidRPr="00EF6288" w:rsidRDefault="00A14D07" w:rsidP="00A14D07">
      <w:pPr>
        <w:spacing w:line="240" w:lineRule="auto"/>
        <w:ind w:right="190"/>
        <w:contextualSpacing/>
        <w:rPr>
          <w:rFonts w:ascii="Arial" w:hAnsi="Arial" w:cs="Arial"/>
          <w:color w:val="auto"/>
          <w:szCs w:val="24"/>
        </w:rPr>
      </w:pPr>
      <w:r w:rsidRPr="00EF6288">
        <w:rPr>
          <w:rFonts w:ascii="Arial" w:hAnsi="Arial" w:cs="Arial"/>
          <w:color w:val="auto"/>
          <w:szCs w:val="24"/>
        </w:rPr>
        <w:t xml:space="preserve">These goals were set by the State Board of Education. Long-term goals may be adjusted if changes to assessments take place that drastically alter the outcomes of the assessment. When adjustments are needed, an amendment to the NC ESSA State Plan must be submitted and approved by the USED. </w:t>
      </w:r>
    </w:p>
    <w:p w14:paraId="7B1AA6DD" w14:textId="77777777" w:rsidR="00A14D07" w:rsidRPr="00EF6288" w:rsidRDefault="00A14D07" w:rsidP="00A14D07">
      <w:pPr>
        <w:spacing w:line="240" w:lineRule="auto"/>
        <w:ind w:right="190"/>
        <w:contextualSpacing/>
        <w:rPr>
          <w:rFonts w:ascii="Arial" w:hAnsi="Arial" w:cs="Arial"/>
          <w:color w:val="auto"/>
          <w:szCs w:val="24"/>
        </w:rPr>
      </w:pPr>
    </w:p>
    <w:p w14:paraId="4F1B020C" w14:textId="5F99C253" w:rsidR="00200811" w:rsidRDefault="004944FA" w:rsidP="00B16C54">
      <w:pPr>
        <w:pStyle w:val="BodyText"/>
        <w:spacing w:after="0" w:line="240" w:lineRule="auto"/>
        <w:rPr>
          <w:rFonts w:ascii="Arial" w:hAnsi="Arial" w:cs="Arial"/>
          <w:szCs w:val="24"/>
        </w:rPr>
      </w:pPr>
      <w:r w:rsidRPr="004944FA">
        <w:rPr>
          <w:rFonts w:ascii="Arial" w:hAnsi="Arial" w:cs="Arial"/>
          <w:szCs w:val="24"/>
        </w:rPr>
        <w:t xml:space="preserve">For the 2020–21 school year, the USED approved an addendum that granted North Carolina the ability to shift the long-term goal timelines for Academic Achievement, Graduation Rate, and English Language Proficiency by two years. This shift extended the timeline from a ten-year model to a twelve-year model, allowing the NCDPI to move the goals from 2019–20 and 2020–21 forward two years, beginning with the 2021–22 school year. </w:t>
      </w:r>
    </w:p>
    <w:p w14:paraId="642A31CD" w14:textId="77777777" w:rsidR="00951804" w:rsidRPr="00EF6288" w:rsidRDefault="00951804" w:rsidP="00B16C54">
      <w:pPr>
        <w:pStyle w:val="BodyText"/>
        <w:spacing w:after="0" w:line="240" w:lineRule="auto"/>
        <w:rPr>
          <w:rFonts w:ascii="Arial" w:hAnsi="Arial" w:cs="Arial"/>
        </w:rPr>
      </w:pPr>
    </w:p>
    <w:p w14:paraId="06FCD458" w14:textId="2E1DFBE6" w:rsidR="00A14D07" w:rsidRPr="00EF6288" w:rsidRDefault="00A14D07" w:rsidP="001514C3">
      <w:pPr>
        <w:pStyle w:val="Heading2"/>
      </w:pPr>
      <w:bookmarkStart w:id="881" w:name="_Toc102997794"/>
      <w:bookmarkStart w:id="882" w:name="_Toc102997900"/>
      <w:bookmarkStart w:id="883" w:name="_Toc102998006"/>
      <w:bookmarkStart w:id="884" w:name="_Toc106102925"/>
      <w:bookmarkStart w:id="885" w:name="_Toc106103030"/>
      <w:bookmarkStart w:id="886" w:name="_Toc100132586"/>
      <w:bookmarkStart w:id="887" w:name="_Toc100132790"/>
      <w:bookmarkStart w:id="888" w:name="_Toc100136591"/>
      <w:bookmarkStart w:id="889" w:name="_Toc114211837"/>
      <w:bookmarkStart w:id="890" w:name="_Toc135812566"/>
      <w:bookmarkStart w:id="891" w:name="_Toc136418947"/>
      <w:bookmarkStart w:id="892" w:name="_Toc136419203"/>
      <w:bookmarkStart w:id="893" w:name="_Toc225405022"/>
      <w:bookmarkEnd w:id="881"/>
      <w:bookmarkEnd w:id="882"/>
      <w:bookmarkEnd w:id="883"/>
      <w:bookmarkEnd w:id="884"/>
      <w:bookmarkEnd w:id="885"/>
      <w:r w:rsidRPr="00EF6288">
        <w:t xml:space="preserve">Long-Term Goals for the </w:t>
      </w:r>
      <w:bookmarkStart w:id="894" w:name="_Int_icIKT7Nf"/>
      <w:proofErr w:type="gramStart"/>
      <w:r w:rsidRPr="00EF6288">
        <w:t>All Students</w:t>
      </w:r>
      <w:bookmarkEnd w:id="894"/>
      <w:proofErr w:type="gramEnd"/>
      <w:r w:rsidRPr="00EF6288">
        <w:t xml:space="preserve"> Group</w:t>
      </w:r>
      <w:bookmarkEnd w:id="886"/>
      <w:bookmarkEnd w:id="887"/>
      <w:bookmarkEnd w:id="888"/>
      <w:bookmarkEnd w:id="889"/>
      <w:bookmarkEnd w:id="890"/>
      <w:bookmarkEnd w:id="891"/>
      <w:bookmarkEnd w:id="892"/>
      <w:bookmarkEnd w:id="893"/>
    </w:p>
    <w:p w14:paraId="4842B86C" w14:textId="77777777" w:rsidR="001017C4" w:rsidRPr="001017C4" w:rsidRDefault="001017C4" w:rsidP="001017C4">
      <w:pPr>
        <w:spacing w:line="240" w:lineRule="auto"/>
        <w:ind w:right="397"/>
        <w:contextualSpacing/>
        <w:rPr>
          <w:rFonts w:ascii="Arial" w:hAnsi="Arial" w:cs="Arial"/>
          <w:color w:val="auto"/>
          <w:szCs w:val="24"/>
        </w:rPr>
      </w:pPr>
      <w:r w:rsidRPr="001017C4">
        <w:rPr>
          <w:rFonts w:ascii="Arial" w:hAnsi="Arial" w:cs="Arial"/>
          <w:color w:val="auto"/>
          <w:szCs w:val="24"/>
        </w:rPr>
        <w:t xml:space="preserve">The academic progress goals (i.e., reading and mathematics) are set to improve the </w:t>
      </w:r>
      <w:bookmarkStart w:id="895" w:name="_Int_4HsS1n1Z"/>
      <w:proofErr w:type="gramStart"/>
      <w:r w:rsidRPr="001017C4">
        <w:rPr>
          <w:rFonts w:ascii="Arial" w:hAnsi="Arial" w:cs="Arial"/>
          <w:color w:val="auto"/>
          <w:szCs w:val="24"/>
        </w:rPr>
        <w:t>All Students</w:t>
      </w:r>
      <w:bookmarkEnd w:id="895"/>
      <w:proofErr w:type="gramEnd"/>
      <w:r w:rsidRPr="001017C4">
        <w:rPr>
          <w:rFonts w:ascii="Arial" w:hAnsi="Arial" w:cs="Arial"/>
          <w:color w:val="auto"/>
          <w:szCs w:val="24"/>
        </w:rPr>
        <w:t xml:space="preserve"> group college-and-career readiness proficiency (i.e., Achievement Levels 4 and 5) by at least twenty percentage points over a twelve-year period.</w:t>
      </w:r>
    </w:p>
    <w:p w14:paraId="1EA504CA" w14:textId="77777777" w:rsidR="001017C4" w:rsidRPr="001017C4" w:rsidRDefault="001017C4" w:rsidP="001017C4">
      <w:pPr>
        <w:spacing w:line="240" w:lineRule="auto"/>
        <w:contextualSpacing/>
        <w:rPr>
          <w:rFonts w:ascii="Arial" w:hAnsi="Arial" w:cs="Arial"/>
          <w:color w:val="auto"/>
          <w:szCs w:val="24"/>
        </w:rPr>
      </w:pPr>
    </w:p>
    <w:p w14:paraId="3BB57F2E" w14:textId="74CF0332" w:rsidR="001017C4" w:rsidRPr="00EF6288" w:rsidRDefault="001017C4" w:rsidP="001017C4">
      <w:pPr>
        <w:spacing w:line="240" w:lineRule="auto"/>
        <w:ind w:right="127"/>
        <w:contextualSpacing/>
        <w:rPr>
          <w:rFonts w:ascii="Arial" w:hAnsi="Arial" w:cs="Arial"/>
          <w:color w:val="auto"/>
        </w:rPr>
      </w:pPr>
      <w:r w:rsidRPr="00EF6288">
        <w:rPr>
          <w:rFonts w:ascii="Arial" w:hAnsi="Arial" w:cs="Arial"/>
          <w:color w:val="auto"/>
        </w:rPr>
        <w:t xml:space="preserve">The ELP goal is set to increase EL proficiency from 25.3% to 60.0% over a twelve-year period. </w:t>
      </w:r>
    </w:p>
    <w:p w14:paraId="3CDCD5F9" w14:textId="77777777" w:rsidR="001017C4" w:rsidRPr="001017C4" w:rsidRDefault="001017C4" w:rsidP="001017C4">
      <w:pPr>
        <w:spacing w:line="240" w:lineRule="auto"/>
        <w:contextualSpacing/>
        <w:rPr>
          <w:rFonts w:ascii="Arial" w:hAnsi="Arial" w:cs="Arial"/>
          <w:color w:val="auto"/>
          <w:szCs w:val="24"/>
        </w:rPr>
      </w:pPr>
    </w:p>
    <w:p w14:paraId="7F0993E9" w14:textId="77777777" w:rsidR="001017C4" w:rsidRPr="001017C4" w:rsidRDefault="001017C4" w:rsidP="001017C4">
      <w:pPr>
        <w:spacing w:line="240" w:lineRule="auto"/>
        <w:contextualSpacing/>
        <w:rPr>
          <w:rFonts w:ascii="Arial" w:hAnsi="Arial" w:cs="Arial"/>
          <w:color w:val="auto"/>
          <w:szCs w:val="24"/>
        </w:rPr>
      </w:pPr>
      <w:r w:rsidRPr="001017C4">
        <w:rPr>
          <w:rFonts w:ascii="Arial" w:hAnsi="Arial" w:cs="Arial"/>
          <w:color w:val="auto"/>
          <w:szCs w:val="24"/>
        </w:rPr>
        <w:t>The CGR goal has been set to increase to 95% over a twelve-year period.</w:t>
      </w:r>
    </w:p>
    <w:p w14:paraId="2D7C4569" w14:textId="77777777" w:rsidR="00A14D07" w:rsidRPr="00EF6288" w:rsidRDefault="00A14D07" w:rsidP="00A14D07">
      <w:pPr>
        <w:spacing w:line="240" w:lineRule="auto"/>
        <w:contextualSpacing/>
        <w:rPr>
          <w:rFonts w:ascii="Arial" w:hAnsi="Arial" w:cs="Arial"/>
          <w:color w:val="auto"/>
          <w:szCs w:val="24"/>
        </w:rPr>
      </w:pPr>
    </w:p>
    <w:p w14:paraId="137F990D" w14:textId="3795F4E7" w:rsidR="00A14D07" w:rsidRPr="00EF6288" w:rsidRDefault="00A14D07" w:rsidP="00A14D07">
      <w:pPr>
        <w:spacing w:line="240" w:lineRule="auto"/>
        <w:ind w:right="507"/>
        <w:contextualSpacing/>
        <w:rPr>
          <w:rFonts w:ascii="Arial" w:hAnsi="Arial" w:cs="Arial"/>
          <w:color w:val="auto"/>
        </w:rPr>
      </w:pPr>
      <w:r w:rsidRPr="00EF6288">
        <w:rPr>
          <w:rFonts w:ascii="Arial" w:hAnsi="Arial" w:cs="Arial"/>
          <w:color w:val="auto"/>
        </w:rPr>
        <w:t xml:space="preserve">Each school has its own baseline but is expected to match the state increase of these measures in the </w:t>
      </w:r>
      <w:bookmarkStart w:id="896" w:name="_Int_jVbsfocX"/>
      <w:proofErr w:type="gramStart"/>
      <w:r w:rsidRPr="00EF6288">
        <w:rPr>
          <w:rFonts w:ascii="Arial" w:hAnsi="Arial" w:cs="Arial"/>
          <w:color w:val="auto"/>
        </w:rPr>
        <w:t>All Students</w:t>
      </w:r>
      <w:bookmarkEnd w:id="896"/>
      <w:proofErr w:type="gramEnd"/>
      <w:r w:rsidRPr="00EF6288">
        <w:rPr>
          <w:rFonts w:ascii="Arial" w:hAnsi="Arial" w:cs="Arial"/>
          <w:color w:val="auto"/>
        </w:rPr>
        <w:t xml:space="preserve"> group by the same amount (</w:t>
      </w:r>
      <w:r w:rsidR="00CA50DE" w:rsidRPr="00EF6288">
        <w:rPr>
          <w:rFonts w:ascii="Arial" w:hAnsi="Arial" w:cs="Arial"/>
          <w:color w:val="auto"/>
        </w:rPr>
        <w:t xml:space="preserve">i.e., </w:t>
      </w:r>
      <w:r w:rsidRPr="00EF6288">
        <w:rPr>
          <w:rFonts w:ascii="Arial" w:hAnsi="Arial" w:cs="Arial"/>
          <w:color w:val="auto"/>
        </w:rPr>
        <w:t>academic goals) or to the same goal (</w:t>
      </w:r>
      <w:r w:rsidR="00CA50DE" w:rsidRPr="00EF6288">
        <w:rPr>
          <w:rFonts w:ascii="Arial" w:hAnsi="Arial" w:cs="Arial"/>
          <w:color w:val="auto"/>
        </w:rPr>
        <w:t xml:space="preserve">i.e., </w:t>
      </w:r>
      <w:r w:rsidRPr="00EF6288">
        <w:rPr>
          <w:rFonts w:ascii="Arial" w:hAnsi="Arial" w:cs="Arial"/>
          <w:color w:val="auto"/>
        </w:rPr>
        <w:t>ELP and CGR) by the end of twelve years.</w:t>
      </w:r>
      <w:r w:rsidR="00D4663F" w:rsidRPr="00EF6288">
        <w:rPr>
          <w:rFonts w:ascii="Arial" w:hAnsi="Arial" w:cs="Arial"/>
          <w:color w:val="auto"/>
        </w:rPr>
        <w:t xml:space="preserve"> </w:t>
      </w:r>
      <w:r w:rsidR="00617B16" w:rsidRPr="00EF6288">
        <w:rPr>
          <w:rFonts w:ascii="Arial" w:hAnsi="Arial" w:cs="Arial"/>
          <w:color w:val="auto"/>
        </w:rPr>
        <w:t xml:space="preserve">Updated goals can be viewed </w:t>
      </w:r>
      <w:r w:rsidR="00BD5199" w:rsidRPr="00EF6288">
        <w:rPr>
          <w:rFonts w:ascii="Arial" w:hAnsi="Arial" w:cs="Arial"/>
          <w:color w:val="auto"/>
        </w:rPr>
        <w:t xml:space="preserve">in the </w:t>
      </w:r>
      <w:hyperlink r:id="rId56" w:history="1">
        <w:r w:rsidR="00BD5199" w:rsidRPr="006F6201">
          <w:rPr>
            <w:rStyle w:val="Hyperlink"/>
            <w:rFonts w:ascii="Arial" w:hAnsi="Arial" w:cs="Arial"/>
          </w:rPr>
          <w:t>Long-Term Goal tool</w:t>
        </w:r>
      </w:hyperlink>
      <w:r w:rsidR="00BD5199" w:rsidRPr="00EF6288">
        <w:rPr>
          <w:rFonts w:ascii="Arial" w:hAnsi="Arial" w:cs="Arial"/>
          <w:color w:val="auto"/>
        </w:rPr>
        <w:t xml:space="preserve">. </w:t>
      </w:r>
    </w:p>
    <w:p w14:paraId="0C42FBD9" w14:textId="77777777" w:rsidR="00F45B1F" w:rsidRPr="00EF6288" w:rsidRDefault="00F45B1F" w:rsidP="00B16C54">
      <w:pPr>
        <w:rPr>
          <w:rFonts w:ascii="Arial" w:hAnsi="Arial" w:cs="Arial"/>
        </w:rPr>
      </w:pPr>
      <w:bookmarkStart w:id="897" w:name="_Toc102997796"/>
      <w:bookmarkStart w:id="898" w:name="_Toc102997902"/>
      <w:bookmarkStart w:id="899" w:name="_Toc102998008"/>
      <w:bookmarkStart w:id="900" w:name="_Toc106102927"/>
      <w:bookmarkStart w:id="901" w:name="_Toc106103032"/>
      <w:bookmarkStart w:id="902" w:name="_Toc100132587"/>
      <w:bookmarkStart w:id="903" w:name="_Toc100132791"/>
      <w:bookmarkStart w:id="904" w:name="_Toc100136592"/>
      <w:bookmarkStart w:id="905" w:name="_Toc114211838"/>
      <w:bookmarkEnd w:id="897"/>
      <w:bookmarkEnd w:id="898"/>
      <w:bookmarkEnd w:id="899"/>
      <w:bookmarkEnd w:id="900"/>
      <w:bookmarkEnd w:id="901"/>
    </w:p>
    <w:p w14:paraId="4631C512" w14:textId="7BB7F4AD" w:rsidR="00A14D07" w:rsidRPr="00EF6288" w:rsidRDefault="00A14D07" w:rsidP="001514C3">
      <w:pPr>
        <w:pStyle w:val="Heading2"/>
      </w:pPr>
      <w:bookmarkStart w:id="906" w:name="_Toc135812567"/>
      <w:bookmarkStart w:id="907" w:name="_Toc136418948"/>
      <w:bookmarkStart w:id="908" w:name="_Toc136419204"/>
      <w:bookmarkStart w:id="909" w:name="_Toc225405023"/>
      <w:r w:rsidRPr="00EF6288">
        <w:t>Long-Term Goals for Subgroups</w:t>
      </w:r>
      <w:bookmarkEnd w:id="902"/>
      <w:bookmarkEnd w:id="903"/>
      <w:bookmarkEnd w:id="904"/>
      <w:bookmarkEnd w:id="905"/>
      <w:bookmarkEnd w:id="906"/>
      <w:bookmarkEnd w:id="907"/>
      <w:bookmarkEnd w:id="908"/>
      <w:bookmarkEnd w:id="909"/>
    </w:p>
    <w:p w14:paraId="57E4E8B1" w14:textId="77777777" w:rsidR="00C14031" w:rsidRPr="00C14031" w:rsidRDefault="00C14031" w:rsidP="00C14031">
      <w:pPr>
        <w:spacing w:line="240" w:lineRule="auto"/>
        <w:ind w:right="349"/>
        <w:contextualSpacing/>
        <w:rPr>
          <w:rFonts w:ascii="Arial" w:hAnsi="Arial" w:cs="Arial"/>
          <w:color w:val="auto"/>
        </w:rPr>
      </w:pPr>
      <w:r w:rsidRPr="00C14031">
        <w:rPr>
          <w:rFonts w:ascii="Arial" w:hAnsi="Arial" w:cs="Arial"/>
          <w:color w:val="auto"/>
        </w:rPr>
        <w:t xml:space="preserve">Long-term goals for reportable subgroups exist to ensure the gaps between the </w:t>
      </w:r>
      <w:bookmarkStart w:id="910" w:name="_Int_FA5itlA2"/>
      <w:r w:rsidRPr="00C14031">
        <w:rPr>
          <w:rFonts w:ascii="Arial" w:hAnsi="Arial" w:cs="Arial"/>
          <w:color w:val="auto"/>
        </w:rPr>
        <w:t>economically disadvantaged</w:t>
      </w:r>
      <w:bookmarkEnd w:id="910"/>
      <w:r w:rsidRPr="00C14031">
        <w:rPr>
          <w:rFonts w:ascii="Arial" w:hAnsi="Arial" w:cs="Arial"/>
          <w:color w:val="auto"/>
        </w:rPr>
        <w:t xml:space="preserve"> and non-</w:t>
      </w:r>
      <w:bookmarkStart w:id="911" w:name="_Int_vTdBrnPv"/>
      <w:r w:rsidRPr="00C14031">
        <w:rPr>
          <w:rFonts w:ascii="Arial" w:hAnsi="Arial" w:cs="Arial"/>
          <w:color w:val="auto"/>
        </w:rPr>
        <w:t>economically disadvantaged</w:t>
      </w:r>
      <w:bookmarkEnd w:id="911"/>
      <w:r w:rsidRPr="00C14031">
        <w:rPr>
          <w:rFonts w:ascii="Arial" w:hAnsi="Arial" w:cs="Arial"/>
          <w:color w:val="auto"/>
        </w:rPr>
        <w:t xml:space="preserve"> subgroups are closing. The goal decreases the gaps between these two groups by approximately ten percentage points which equates to an approximately 33% reduction in the gap. The reduction of these two groups will also result in a reduction of gaps between </w:t>
      </w:r>
      <w:r w:rsidRPr="00C14031">
        <w:rPr>
          <w:rFonts w:ascii="Arial" w:hAnsi="Arial" w:cs="Arial"/>
          <w:color w:val="auto"/>
        </w:rPr>
        <w:lastRenderedPageBreak/>
        <w:t>other subgroups such as American Indian to White, Black to White, and Hispanic to White.</w:t>
      </w:r>
    </w:p>
    <w:p w14:paraId="06E81D44" w14:textId="77777777" w:rsidR="007C3070" w:rsidRPr="00EF6288" w:rsidRDefault="007C3070" w:rsidP="00A14D07">
      <w:pPr>
        <w:spacing w:line="240" w:lineRule="auto"/>
        <w:ind w:right="349"/>
        <w:contextualSpacing/>
        <w:rPr>
          <w:rFonts w:ascii="Arial" w:hAnsi="Arial" w:cs="Arial"/>
          <w:color w:val="auto"/>
        </w:rPr>
      </w:pPr>
    </w:p>
    <w:p w14:paraId="145E8BCD" w14:textId="2EAB046A" w:rsidR="00A14D07" w:rsidRPr="00EF6288" w:rsidRDefault="00A14D07" w:rsidP="001514C3">
      <w:pPr>
        <w:pStyle w:val="Heading2"/>
      </w:pPr>
      <w:bookmarkStart w:id="912" w:name="_Toc102997798"/>
      <w:bookmarkStart w:id="913" w:name="_Toc102997904"/>
      <w:bookmarkStart w:id="914" w:name="_Toc102998010"/>
      <w:bookmarkStart w:id="915" w:name="_Toc106102929"/>
      <w:bookmarkStart w:id="916" w:name="_Toc106103034"/>
      <w:bookmarkStart w:id="917" w:name="_Toc100132588"/>
      <w:bookmarkStart w:id="918" w:name="_Toc100132792"/>
      <w:bookmarkStart w:id="919" w:name="_Toc100136593"/>
      <w:bookmarkStart w:id="920" w:name="_Toc114211839"/>
      <w:bookmarkStart w:id="921" w:name="_Toc135812568"/>
      <w:bookmarkStart w:id="922" w:name="_Toc136418949"/>
      <w:bookmarkStart w:id="923" w:name="_Toc136419205"/>
      <w:bookmarkStart w:id="924" w:name="_Toc225405024"/>
      <w:bookmarkEnd w:id="912"/>
      <w:bookmarkEnd w:id="913"/>
      <w:bookmarkEnd w:id="914"/>
      <w:bookmarkEnd w:id="915"/>
      <w:bookmarkEnd w:id="916"/>
      <w:r w:rsidRPr="00EF6288">
        <w:t>Measures of Interim Progress</w:t>
      </w:r>
      <w:bookmarkEnd w:id="917"/>
      <w:bookmarkEnd w:id="918"/>
      <w:bookmarkEnd w:id="919"/>
      <w:bookmarkEnd w:id="920"/>
      <w:bookmarkEnd w:id="921"/>
      <w:bookmarkEnd w:id="922"/>
      <w:bookmarkEnd w:id="923"/>
      <w:bookmarkEnd w:id="924"/>
    </w:p>
    <w:p w14:paraId="0A25FFC8" w14:textId="77777777" w:rsidR="00A14D07" w:rsidRPr="00EF6288" w:rsidRDefault="00A14D07" w:rsidP="00A14D07">
      <w:pPr>
        <w:spacing w:line="240" w:lineRule="auto"/>
        <w:rPr>
          <w:rFonts w:ascii="Arial" w:hAnsi="Arial" w:cs="Arial"/>
        </w:rPr>
      </w:pPr>
      <w:r w:rsidRPr="00EF6288">
        <w:rPr>
          <w:rFonts w:ascii="Arial" w:hAnsi="Arial" w:cs="Arial"/>
        </w:rPr>
        <w:t xml:space="preserve">To assist in tracking progress toward obtaining the state's long-term goals, yearly measures of interim progress were established at the state level. Measures of interim progress are equal improvement increments over twelve years that result in the overall twelve-year goal. These yearly progress measures are then applied to each school to set yearly measures of interim progress, from their current level of performance, for the </w:t>
      </w:r>
      <w:bookmarkStart w:id="925" w:name="_Int_KWEefL1P"/>
      <w:proofErr w:type="gramStart"/>
      <w:r w:rsidRPr="00EF6288">
        <w:rPr>
          <w:rFonts w:ascii="Arial" w:hAnsi="Arial" w:cs="Arial"/>
        </w:rPr>
        <w:t>All Students</w:t>
      </w:r>
      <w:bookmarkEnd w:id="925"/>
      <w:proofErr w:type="gramEnd"/>
      <w:r w:rsidRPr="00EF6288">
        <w:rPr>
          <w:rFonts w:ascii="Arial" w:hAnsi="Arial" w:cs="Arial"/>
        </w:rPr>
        <w:t xml:space="preserve"> group and each subgroup. The result of every school meeting their goals should advance the state to achieve its</w:t>
      </w:r>
      <w:r w:rsidRPr="00EF6288">
        <w:rPr>
          <w:rFonts w:ascii="Arial" w:hAnsi="Arial" w:cs="Arial"/>
          <w:spacing w:val="-17"/>
        </w:rPr>
        <w:t xml:space="preserve"> </w:t>
      </w:r>
      <w:r w:rsidRPr="00EF6288">
        <w:rPr>
          <w:rFonts w:ascii="Arial" w:hAnsi="Arial" w:cs="Arial"/>
        </w:rPr>
        <w:t>goals.</w:t>
      </w:r>
    </w:p>
    <w:p w14:paraId="6CA67CB5" w14:textId="77777777" w:rsidR="00F45B1F" w:rsidRPr="00EF6288" w:rsidRDefault="00F45B1F" w:rsidP="004949E5">
      <w:pPr>
        <w:pStyle w:val="BodyText"/>
        <w:spacing w:after="0" w:line="240" w:lineRule="auto"/>
        <w:rPr>
          <w:rFonts w:ascii="Arial" w:hAnsi="Arial" w:cs="Arial"/>
        </w:rPr>
      </w:pPr>
    </w:p>
    <w:p w14:paraId="16D36A46" w14:textId="6EC9290B" w:rsidR="00A14D07" w:rsidRPr="00EF6288" w:rsidRDefault="00A14D07" w:rsidP="001514C3">
      <w:pPr>
        <w:pStyle w:val="Heading2"/>
      </w:pPr>
      <w:bookmarkStart w:id="926" w:name="_Toc102997800"/>
      <w:bookmarkStart w:id="927" w:name="_Toc102997906"/>
      <w:bookmarkStart w:id="928" w:name="_Toc102998012"/>
      <w:bookmarkStart w:id="929" w:name="_Toc106102931"/>
      <w:bookmarkStart w:id="930" w:name="_Toc106103036"/>
      <w:bookmarkStart w:id="931" w:name="_Toc100132589"/>
      <w:bookmarkStart w:id="932" w:name="_Toc100132793"/>
      <w:bookmarkStart w:id="933" w:name="_Toc100136594"/>
      <w:bookmarkStart w:id="934" w:name="_Toc114211840"/>
      <w:bookmarkStart w:id="935" w:name="_Toc135812569"/>
      <w:bookmarkStart w:id="936" w:name="_Toc136418950"/>
      <w:bookmarkStart w:id="937" w:name="_Toc136419206"/>
      <w:bookmarkStart w:id="938" w:name="_Toc225405025"/>
      <w:bookmarkEnd w:id="926"/>
      <w:bookmarkEnd w:id="927"/>
      <w:bookmarkEnd w:id="928"/>
      <w:bookmarkEnd w:id="929"/>
      <w:bookmarkEnd w:id="930"/>
      <w:r w:rsidRPr="00EF6288">
        <w:t>Rules for All Goals</w:t>
      </w:r>
      <w:bookmarkEnd w:id="931"/>
      <w:bookmarkEnd w:id="932"/>
      <w:bookmarkEnd w:id="933"/>
      <w:bookmarkEnd w:id="934"/>
      <w:bookmarkEnd w:id="935"/>
      <w:bookmarkEnd w:id="936"/>
      <w:bookmarkEnd w:id="937"/>
      <w:bookmarkEnd w:id="938"/>
    </w:p>
    <w:p w14:paraId="47A0C2CA" w14:textId="49495C8F" w:rsidR="00A14D07" w:rsidRPr="00EF6288" w:rsidRDefault="00A14D07" w:rsidP="00CA5853">
      <w:pPr>
        <w:numPr>
          <w:ilvl w:val="0"/>
          <w:numId w:val="162"/>
        </w:numPr>
        <w:spacing w:line="240" w:lineRule="auto"/>
        <w:contextualSpacing/>
        <w:rPr>
          <w:rFonts w:ascii="Arial" w:hAnsi="Arial" w:cs="Arial"/>
        </w:rPr>
      </w:pPr>
      <w:r w:rsidRPr="00EF6288">
        <w:rPr>
          <w:rFonts w:ascii="Arial" w:hAnsi="Arial" w:cs="Arial"/>
        </w:rPr>
        <w:t xml:space="preserve">Goals are set for individual schools and for the state. Goals are not set for </w:t>
      </w:r>
      <w:r w:rsidR="00C84404">
        <w:rPr>
          <w:rFonts w:ascii="Arial" w:hAnsi="Arial" w:cs="Arial"/>
        </w:rPr>
        <w:t xml:space="preserve">districts. </w:t>
      </w:r>
    </w:p>
    <w:p w14:paraId="7D5DA488" w14:textId="2AE239C4" w:rsidR="00A14D07" w:rsidRPr="00EF6288" w:rsidRDefault="00A14D07" w:rsidP="00CA5853">
      <w:pPr>
        <w:numPr>
          <w:ilvl w:val="0"/>
          <w:numId w:val="162"/>
        </w:numPr>
        <w:spacing w:line="240" w:lineRule="auto"/>
        <w:contextualSpacing/>
        <w:rPr>
          <w:rFonts w:ascii="Arial" w:hAnsi="Arial" w:cs="Arial"/>
        </w:rPr>
      </w:pPr>
      <w:r w:rsidRPr="00EF6288">
        <w:rPr>
          <w:rFonts w:ascii="Arial" w:hAnsi="Arial" w:cs="Arial"/>
        </w:rPr>
        <w:t>The minimum-</w:t>
      </w:r>
      <w:r w:rsidR="00211B56" w:rsidRPr="00EF6288">
        <w:rPr>
          <w:rFonts w:ascii="Arial" w:hAnsi="Arial" w:cs="Arial"/>
        </w:rPr>
        <w:t>n</w:t>
      </w:r>
      <w:r w:rsidRPr="00EF6288">
        <w:rPr>
          <w:rFonts w:ascii="Arial" w:hAnsi="Arial" w:cs="Arial"/>
        </w:rPr>
        <w:t xml:space="preserve"> of students needed for all long-term goal calculations and determinations, regardless of subject or subgroup, is thirty.</w:t>
      </w:r>
    </w:p>
    <w:p w14:paraId="0C7DFDDB" w14:textId="77777777" w:rsidR="00A14D07" w:rsidRPr="00EF6288" w:rsidRDefault="00A14D07" w:rsidP="00CA5853">
      <w:pPr>
        <w:numPr>
          <w:ilvl w:val="1"/>
          <w:numId w:val="162"/>
        </w:numPr>
        <w:spacing w:line="240" w:lineRule="auto"/>
        <w:contextualSpacing/>
        <w:rPr>
          <w:rFonts w:ascii="Arial" w:hAnsi="Arial" w:cs="Arial"/>
        </w:rPr>
      </w:pPr>
      <w:r w:rsidRPr="00EF6288">
        <w:rPr>
          <w:rFonts w:ascii="Arial" w:hAnsi="Arial" w:cs="Arial"/>
        </w:rPr>
        <w:t>Less than thirty students in the baseline year:</w:t>
      </w:r>
    </w:p>
    <w:p w14:paraId="0C528B09" w14:textId="77777777" w:rsidR="00312CD0" w:rsidRPr="00A14D07" w:rsidRDefault="00A14D07" w:rsidP="00CA5853">
      <w:pPr>
        <w:numPr>
          <w:ilvl w:val="2"/>
          <w:numId w:val="162"/>
        </w:numPr>
        <w:spacing w:line="240" w:lineRule="auto"/>
        <w:contextualSpacing/>
      </w:pPr>
      <w:r w:rsidRPr="00312CD0">
        <w:rPr>
          <w:rFonts w:ascii="Arial" w:hAnsi="Arial" w:cs="Arial"/>
        </w:rPr>
        <w:t xml:space="preserve">If a school does not </w:t>
      </w:r>
      <w:bookmarkStart w:id="939" w:name="_Int_m75U73qx"/>
      <w:r w:rsidRPr="00312CD0">
        <w:rPr>
          <w:rFonts w:ascii="Arial" w:hAnsi="Arial" w:cs="Arial"/>
        </w:rPr>
        <w:t>have</w:t>
      </w:r>
      <w:bookmarkEnd w:id="939"/>
      <w:r w:rsidRPr="00312CD0">
        <w:rPr>
          <w:rFonts w:ascii="Arial" w:hAnsi="Arial" w:cs="Arial"/>
        </w:rPr>
        <w:t xml:space="preserve"> a goal due to insufficient data in the baseline year but </w:t>
      </w:r>
      <w:bookmarkStart w:id="940" w:name="_Int_ilQsJC5c"/>
      <w:r w:rsidRPr="00312CD0">
        <w:rPr>
          <w:rFonts w:ascii="Arial" w:hAnsi="Arial" w:cs="Arial"/>
        </w:rPr>
        <w:t>achieves</w:t>
      </w:r>
      <w:bookmarkEnd w:id="940"/>
      <w:r w:rsidRPr="00312CD0">
        <w:rPr>
          <w:rFonts w:ascii="Arial" w:hAnsi="Arial" w:cs="Arial"/>
        </w:rPr>
        <w:t xml:space="preserve"> enough data in a subsequent year, </w:t>
      </w:r>
      <w:r w:rsidR="00312CD0" w:rsidRPr="00312CD0">
        <w:rPr>
          <w:rFonts w:ascii="Arial" w:hAnsi="Arial" w:cs="Arial"/>
        </w:rPr>
        <w:t>the year that achieves enough data becomes the baseline year and the school will have a goal from that point forward with the same measure of interim progress expectations as the state until the end of the state’s twelve-year timeframe.</w:t>
      </w:r>
    </w:p>
    <w:p w14:paraId="50B6F033" w14:textId="77777777" w:rsidR="00A14D07" w:rsidRPr="00312CD0" w:rsidRDefault="00A14D07" w:rsidP="00CA5853">
      <w:pPr>
        <w:widowControl w:val="0"/>
        <w:numPr>
          <w:ilvl w:val="1"/>
          <w:numId w:val="162"/>
        </w:numPr>
        <w:autoSpaceDE w:val="0"/>
        <w:autoSpaceDN w:val="0"/>
        <w:spacing w:line="240" w:lineRule="auto"/>
        <w:contextualSpacing/>
        <w:rPr>
          <w:rFonts w:ascii="Arial" w:hAnsi="Arial" w:cs="Arial"/>
          <w:szCs w:val="24"/>
        </w:rPr>
      </w:pPr>
      <w:r w:rsidRPr="00312CD0">
        <w:rPr>
          <w:rFonts w:ascii="Arial" w:hAnsi="Arial" w:cs="Arial"/>
          <w:szCs w:val="24"/>
        </w:rPr>
        <w:t>Less than thirty students in subsequent</w:t>
      </w:r>
      <w:r w:rsidRPr="00312CD0">
        <w:rPr>
          <w:rFonts w:ascii="Arial" w:hAnsi="Arial" w:cs="Arial"/>
          <w:spacing w:val="-17"/>
          <w:szCs w:val="24"/>
        </w:rPr>
        <w:t xml:space="preserve"> </w:t>
      </w:r>
      <w:r w:rsidRPr="00312CD0">
        <w:rPr>
          <w:rFonts w:ascii="Arial" w:hAnsi="Arial" w:cs="Arial"/>
          <w:szCs w:val="24"/>
        </w:rPr>
        <w:t>years:</w:t>
      </w:r>
    </w:p>
    <w:p w14:paraId="1529C7D8" w14:textId="77777777"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If a school has enough data in a group for a subject to set a long-term goal, the goal is set for the school for the duration of the state goal.</w:t>
      </w:r>
    </w:p>
    <w:p w14:paraId="7EE471D9" w14:textId="77777777"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If the school does not have enough data in subsequent years, the trajectory remains the same, but the determination of whether the school met or did not meet the target is not reported.</w:t>
      </w:r>
    </w:p>
    <w:p w14:paraId="1CF07D82" w14:textId="77777777"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When the school has enough data again in another year for that group and subject, the expectation of interim progress follows the expectation from the first year the group had enough data.</w:t>
      </w:r>
    </w:p>
    <w:p w14:paraId="510B9873" w14:textId="27FACDFD" w:rsidR="00A14D07" w:rsidRPr="00EF6288" w:rsidRDefault="00A14D07" w:rsidP="00CA5853">
      <w:pPr>
        <w:numPr>
          <w:ilvl w:val="0"/>
          <w:numId w:val="162"/>
        </w:numPr>
        <w:spacing w:line="240" w:lineRule="auto"/>
        <w:contextualSpacing/>
        <w:rPr>
          <w:rFonts w:ascii="Arial" w:hAnsi="Arial" w:cs="Arial"/>
        </w:rPr>
      </w:pPr>
      <w:r w:rsidRPr="00EF6288">
        <w:rPr>
          <w:rFonts w:ascii="Arial" w:hAnsi="Arial" w:cs="Arial"/>
        </w:rPr>
        <w:t xml:space="preserve">The baseline year for academic progress and cohort graduation rate goals was the 2015–16 school year. There were no measures of interim progress for the 2016–17 school year. Measures of interim progress for these measures began being reported after the 2017–18 school year. </w:t>
      </w:r>
    </w:p>
    <w:p w14:paraId="44E464C5" w14:textId="0608E425" w:rsidR="00A14D07" w:rsidRPr="00EF6288" w:rsidRDefault="00A14D07" w:rsidP="00CA5853">
      <w:pPr>
        <w:numPr>
          <w:ilvl w:val="0"/>
          <w:numId w:val="162"/>
        </w:numPr>
        <w:spacing w:line="240" w:lineRule="auto"/>
        <w:contextualSpacing/>
        <w:rPr>
          <w:rFonts w:ascii="Arial" w:hAnsi="Arial" w:cs="Arial"/>
        </w:rPr>
      </w:pPr>
      <w:r w:rsidRPr="00EF6288">
        <w:rPr>
          <w:rFonts w:ascii="Arial" w:hAnsi="Arial" w:cs="Arial"/>
        </w:rPr>
        <w:t>Measures of interim progress for the E</w:t>
      </w:r>
      <w:r w:rsidR="00CD1A21" w:rsidRPr="00EF6288">
        <w:rPr>
          <w:rFonts w:ascii="Arial" w:hAnsi="Arial" w:cs="Arial"/>
        </w:rPr>
        <w:t xml:space="preserve">LP </w:t>
      </w:r>
      <w:r w:rsidRPr="00EF6288">
        <w:rPr>
          <w:rFonts w:ascii="Arial" w:hAnsi="Arial" w:cs="Arial"/>
        </w:rPr>
        <w:t>goal were reported after the 2017–18 school year. The baseline for this measure was set using 2016–17 data.</w:t>
      </w:r>
    </w:p>
    <w:p w14:paraId="08FAB01D" w14:textId="77777777" w:rsidR="00A14D07" w:rsidRPr="00EF6288" w:rsidRDefault="00A14D07" w:rsidP="00CA5853">
      <w:pPr>
        <w:numPr>
          <w:ilvl w:val="0"/>
          <w:numId w:val="162"/>
        </w:numPr>
        <w:spacing w:line="240" w:lineRule="auto"/>
        <w:contextualSpacing/>
        <w:rPr>
          <w:rFonts w:ascii="Arial" w:hAnsi="Arial" w:cs="Arial"/>
        </w:rPr>
      </w:pPr>
      <w:r w:rsidRPr="00EF6288">
        <w:rPr>
          <w:rFonts w:ascii="Arial" w:hAnsi="Arial" w:cs="Arial"/>
        </w:rPr>
        <w:t>Measures of interim progress for Academic Achievement, Graduation Rate, and English Language Proficiency are shifted forward by two years beginning with the 2019-20 school year.</w:t>
      </w:r>
    </w:p>
    <w:p w14:paraId="1442F425" w14:textId="77777777" w:rsidR="00A14D07" w:rsidRPr="00EF6288" w:rsidRDefault="00A14D07" w:rsidP="00CA5853">
      <w:pPr>
        <w:numPr>
          <w:ilvl w:val="0"/>
          <w:numId w:val="162"/>
        </w:numPr>
        <w:spacing w:line="240" w:lineRule="auto"/>
        <w:contextualSpacing/>
        <w:rPr>
          <w:rFonts w:ascii="Arial" w:hAnsi="Arial" w:cs="Arial"/>
        </w:rPr>
      </w:pPr>
      <w:r w:rsidRPr="00EF6288">
        <w:rPr>
          <w:rFonts w:ascii="Arial" w:hAnsi="Arial" w:cs="Arial"/>
        </w:rPr>
        <w:t>Long-term goals for closed and reconfigured schools are as follows:</w:t>
      </w:r>
    </w:p>
    <w:p w14:paraId="679CFE57" w14:textId="77777777" w:rsidR="00A14D07" w:rsidRPr="00EF6288" w:rsidRDefault="00A14D07" w:rsidP="00CA5853">
      <w:pPr>
        <w:numPr>
          <w:ilvl w:val="1"/>
          <w:numId w:val="162"/>
        </w:numPr>
        <w:spacing w:line="240" w:lineRule="auto"/>
        <w:contextualSpacing/>
        <w:rPr>
          <w:rFonts w:ascii="Arial" w:hAnsi="Arial" w:cs="Arial"/>
        </w:rPr>
      </w:pPr>
      <w:r w:rsidRPr="00EF6288">
        <w:rPr>
          <w:rFonts w:ascii="Arial" w:hAnsi="Arial" w:cs="Arial"/>
        </w:rPr>
        <w:t>Closed Schools:</w:t>
      </w:r>
    </w:p>
    <w:p w14:paraId="0CD633B7" w14:textId="5FC22A2B"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When a school closes (i.e., no longer uses the school code assigned by Financial and Business Services), long-term goals and measures of interim progress are no longer calculated for the school.</w:t>
      </w:r>
    </w:p>
    <w:p w14:paraId="108A9A5F" w14:textId="77777777"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lastRenderedPageBreak/>
        <w:t xml:space="preserve">Results from the most recent year the school was open are reported along with other accountability measures for that school year. These results are found in the static </w:t>
      </w:r>
      <w:proofErr w:type="gramStart"/>
      <w:r w:rsidRPr="00EF6288">
        <w:rPr>
          <w:rFonts w:ascii="Arial" w:hAnsi="Arial" w:cs="Arial"/>
        </w:rPr>
        <w:t>data results</w:t>
      </w:r>
      <w:proofErr w:type="gramEnd"/>
      <w:r w:rsidRPr="00EF6288">
        <w:rPr>
          <w:rFonts w:ascii="Arial" w:hAnsi="Arial" w:cs="Arial"/>
        </w:rPr>
        <w:t xml:space="preserve"> posted to the Office of Accountability and Testing website and in local reports provided securely to public school units.</w:t>
      </w:r>
    </w:p>
    <w:p w14:paraId="3050EC67" w14:textId="36D8A297"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 xml:space="preserve">Future targets and reporting are eliminated once the Office of Accountability and Testing receives confirmation of official school closure from authoritative sources within the </w:t>
      </w:r>
      <w:r w:rsidR="00E2125E" w:rsidRPr="00EF6288">
        <w:rPr>
          <w:rFonts w:ascii="Arial" w:hAnsi="Arial" w:cs="Arial"/>
        </w:rPr>
        <w:t>NCDPI</w:t>
      </w:r>
      <w:r w:rsidRPr="00EF6288">
        <w:rPr>
          <w:rFonts w:ascii="Arial" w:hAnsi="Arial" w:cs="Arial"/>
        </w:rPr>
        <w:t>.</w:t>
      </w:r>
    </w:p>
    <w:p w14:paraId="2B8A069B" w14:textId="77777777" w:rsidR="00A14D07" w:rsidRPr="00EF6288" w:rsidRDefault="00A14D07" w:rsidP="00CA5853">
      <w:pPr>
        <w:numPr>
          <w:ilvl w:val="1"/>
          <w:numId w:val="162"/>
        </w:numPr>
        <w:spacing w:line="240" w:lineRule="auto"/>
        <w:contextualSpacing/>
        <w:rPr>
          <w:rFonts w:ascii="Arial" w:hAnsi="Arial" w:cs="Arial"/>
        </w:rPr>
      </w:pPr>
      <w:r w:rsidRPr="00EF6288">
        <w:rPr>
          <w:rFonts w:ascii="Arial" w:hAnsi="Arial" w:cs="Arial"/>
        </w:rPr>
        <w:t>Reconfigured Schools:</w:t>
      </w:r>
    </w:p>
    <w:p w14:paraId="692C4451" w14:textId="77777777"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Schools that reconfigure, but maintain the same school code, continue to have the long-term goals and measures of interim progress as defined by the baseline year for each year of the long-term goals.</w:t>
      </w:r>
    </w:p>
    <w:p w14:paraId="6245D9B9" w14:textId="00BA90E4"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When a school no longer has enough data to yield a result (</w:t>
      </w:r>
      <w:bookmarkStart w:id="941" w:name="_Int_zhdfw2Ko"/>
      <w:r w:rsidR="00E2125E" w:rsidRPr="00EF6288">
        <w:rPr>
          <w:rFonts w:ascii="Arial" w:hAnsi="Arial" w:cs="Arial"/>
        </w:rPr>
        <w:t xml:space="preserve">i.e., </w:t>
      </w:r>
      <w:r w:rsidRPr="00EF6288">
        <w:rPr>
          <w:rFonts w:ascii="Arial" w:hAnsi="Arial" w:cs="Arial"/>
        </w:rPr>
        <w:t>minimum-N</w:t>
      </w:r>
      <w:bookmarkEnd w:id="941"/>
      <w:r w:rsidRPr="00EF6288">
        <w:rPr>
          <w:rFonts w:ascii="Arial" w:hAnsi="Arial" w:cs="Arial"/>
        </w:rPr>
        <w:t xml:space="preserve">) for all students or any subgroup of students, the measures of interim progress will no longer populate results, but </w:t>
      </w:r>
      <w:r w:rsidR="00E2125E" w:rsidRPr="00EF6288">
        <w:rPr>
          <w:rFonts w:ascii="Arial" w:hAnsi="Arial" w:cs="Arial"/>
        </w:rPr>
        <w:t xml:space="preserve">they </w:t>
      </w:r>
      <w:r w:rsidRPr="00EF6288">
        <w:rPr>
          <w:rFonts w:ascii="Arial" w:hAnsi="Arial" w:cs="Arial"/>
        </w:rPr>
        <w:t>will continue to show the established targets.</w:t>
      </w:r>
    </w:p>
    <w:p w14:paraId="2CBE898A" w14:textId="77777777"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Any new goals that have enough data will begin to populate using the first year where there is enough data as the baseline.</w:t>
      </w:r>
    </w:p>
    <w:p w14:paraId="24AF4C39" w14:textId="2FE25512" w:rsidR="00A14D07" w:rsidRPr="00EF6288" w:rsidRDefault="00A14D07" w:rsidP="00CA5853">
      <w:pPr>
        <w:numPr>
          <w:ilvl w:val="2"/>
          <w:numId w:val="162"/>
        </w:numPr>
        <w:spacing w:line="240" w:lineRule="auto"/>
        <w:contextualSpacing/>
        <w:rPr>
          <w:rFonts w:ascii="Arial" w:hAnsi="Arial" w:cs="Arial"/>
        </w:rPr>
      </w:pPr>
      <w:r w:rsidRPr="00EF6288">
        <w:rPr>
          <w:rFonts w:ascii="Arial" w:hAnsi="Arial" w:cs="Arial"/>
        </w:rPr>
        <w:t>Only when the State Board of Education changes the long-term goals</w:t>
      </w:r>
      <w:r w:rsidR="00233FBB" w:rsidRPr="00EF6288">
        <w:rPr>
          <w:rFonts w:ascii="Arial" w:hAnsi="Arial" w:cs="Arial"/>
        </w:rPr>
        <w:t>,</w:t>
      </w:r>
      <w:r w:rsidRPr="00EF6288">
        <w:rPr>
          <w:rFonts w:ascii="Arial" w:hAnsi="Arial" w:cs="Arial"/>
        </w:rPr>
        <w:t xml:space="preserve"> and the school no longer has the grade levels necessary to create long-term goals</w:t>
      </w:r>
      <w:r w:rsidRPr="00EF6288" w:rsidDel="00E2125E">
        <w:rPr>
          <w:rFonts w:ascii="Arial" w:hAnsi="Arial" w:cs="Arial"/>
        </w:rPr>
        <w:t>,</w:t>
      </w:r>
      <w:r w:rsidRPr="00EF6288">
        <w:rPr>
          <w:rFonts w:ascii="Arial" w:hAnsi="Arial" w:cs="Arial"/>
        </w:rPr>
        <w:t xml:space="preserve"> are goals dropped or changed for a reconfigured school.</w:t>
      </w:r>
    </w:p>
    <w:p w14:paraId="1C95A8C7" w14:textId="77777777" w:rsidR="00401546" w:rsidRPr="00401546" w:rsidRDefault="00401546" w:rsidP="00CA5853">
      <w:pPr>
        <w:numPr>
          <w:ilvl w:val="0"/>
          <w:numId w:val="162"/>
        </w:numPr>
        <w:spacing w:line="240" w:lineRule="auto"/>
        <w:contextualSpacing/>
        <w:rPr>
          <w:rFonts w:ascii="Arial" w:hAnsi="Arial" w:cs="Arial"/>
        </w:rPr>
      </w:pPr>
      <w:r w:rsidRPr="00401546">
        <w:rPr>
          <w:rFonts w:ascii="Arial" w:hAnsi="Arial" w:cs="Arial"/>
        </w:rPr>
        <w:t xml:space="preserve">If a school’s measure of interim progress target reaches 95% or higher for either the </w:t>
      </w:r>
      <w:proofErr w:type="gramStart"/>
      <w:r w:rsidRPr="00401546">
        <w:rPr>
          <w:rFonts w:ascii="Arial" w:hAnsi="Arial" w:cs="Arial"/>
        </w:rPr>
        <w:t>All Students</w:t>
      </w:r>
      <w:proofErr w:type="gramEnd"/>
      <w:r w:rsidRPr="00401546">
        <w:rPr>
          <w:rFonts w:ascii="Arial" w:hAnsi="Arial" w:cs="Arial"/>
        </w:rPr>
        <w:t xml:space="preserve"> group or any subgroup, from that point forward, the measure of interim progress expectation is an increase of 0.5 percentage points rather than the state defined yearly increase.</w:t>
      </w:r>
    </w:p>
    <w:p w14:paraId="7B4D7A93" w14:textId="77777777" w:rsidR="00F45B1F" w:rsidRPr="00EF6288" w:rsidRDefault="00F45B1F" w:rsidP="0079434E">
      <w:pPr>
        <w:pStyle w:val="BodyText"/>
        <w:spacing w:after="0" w:line="240" w:lineRule="auto"/>
        <w:rPr>
          <w:rFonts w:ascii="Arial" w:hAnsi="Arial" w:cs="Arial"/>
        </w:rPr>
      </w:pPr>
    </w:p>
    <w:p w14:paraId="0B52AE7A" w14:textId="5E425B32" w:rsidR="00A14D07" w:rsidRPr="00EF6288" w:rsidRDefault="00A14D07" w:rsidP="001514C3">
      <w:pPr>
        <w:pStyle w:val="Heading2"/>
      </w:pPr>
      <w:bookmarkStart w:id="942" w:name="_Toc102997802"/>
      <w:bookmarkStart w:id="943" w:name="_Toc102997908"/>
      <w:bookmarkStart w:id="944" w:name="_Toc102998014"/>
      <w:bookmarkStart w:id="945" w:name="_Toc106102933"/>
      <w:bookmarkStart w:id="946" w:name="_Toc106103038"/>
      <w:bookmarkStart w:id="947" w:name="_Toc100132590"/>
      <w:bookmarkStart w:id="948" w:name="_Toc100132794"/>
      <w:bookmarkStart w:id="949" w:name="_Toc100136595"/>
      <w:bookmarkStart w:id="950" w:name="_Toc114211841"/>
      <w:bookmarkStart w:id="951" w:name="_Toc135812570"/>
      <w:bookmarkStart w:id="952" w:name="_Toc136418951"/>
      <w:bookmarkStart w:id="953" w:name="_Toc136419207"/>
      <w:bookmarkStart w:id="954" w:name="_Toc225405026"/>
      <w:bookmarkEnd w:id="942"/>
      <w:bookmarkEnd w:id="943"/>
      <w:bookmarkEnd w:id="944"/>
      <w:bookmarkEnd w:id="945"/>
      <w:bookmarkEnd w:id="946"/>
      <w:r w:rsidRPr="00EF6288">
        <w:t>Additional Rules for Academic Progress Goals</w:t>
      </w:r>
      <w:bookmarkEnd w:id="947"/>
      <w:bookmarkEnd w:id="948"/>
      <w:bookmarkEnd w:id="949"/>
      <w:bookmarkEnd w:id="950"/>
      <w:bookmarkEnd w:id="951"/>
      <w:bookmarkEnd w:id="952"/>
      <w:bookmarkEnd w:id="953"/>
      <w:bookmarkEnd w:id="954"/>
    </w:p>
    <w:p w14:paraId="7DFC2282" w14:textId="5CE269CA" w:rsidR="00A14D07" w:rsidRPr="00EF6288" w:rsidRDefault="00A14D07" w:rsidP="00CA5853">
      <w:pPr>
        <w:numPr>
          <w:ilvl w:val="0"/>
          <w:numId w:val="80"/>
        </w:numPr>
        <w:spacing w:line="240" w:lineRule="auto"/>
        <w:ind w:left="360"/>
        <w:contextualSpacing/>
        <w:rPr>
          <w:rFonts w:ascii="Arial" w:hAnsi="Arial" w:cs="Arial"/>
        </w:rPr>
      </w:pPr>
      <w:r w:rsidRPr="00EF6288">
        <w:rPr>
          <w:rFonts w:ascii="Arial" w:hAnsi="Arial" w:cs="Arial"/>
        </w:rPr>
        <w:t>Goals are based on the percent</w:t>
      </w:r>
      <w:r w:rsidR="00233FBB" w:rsidRPr="00EF6288">
        <w:rPr>
          <w:rFonts w:ascii="Arial" w:hAnsi="Arial" w:cs="Arial"/>
        </w:rPr>
        <w:t>age</w:t>
      </w:r>
      <w:r w:rsidRPr="00EF6288">
        <w:rPr>
          <w:rFonts w:ascii="Arial" w:hAnsi="Arial" w:cs="Arial"/>
        </w:rPr>
        <w:t xml:space="preserve"> of students achieving the college</w:t>
      </w:r>
      <w:r w:rsidR="00F80177">
        <w:rPr>
          <w:rFonts w:ascii="Arial" w:hAnsi="Arial" w:cs="Arial"/>
        </w:rPr>
        <w:t>-and-career</w:t>
      </w:r>
      <w:r w:rsidRPr="00EF6288">
        <w:rPr>
          <w:rFonts w:ascii="Arial" w:hAnsi="Arial" w:cs="Arial"/>
        </w:rPr>
        <w:t xml:space="preserve"> readiness proficiency standard (</w:t>
      </w:r>
      <w:r w:rsidR="00E2125E" w:rsidRPr="00EF6288">
        <w:rPr>
          <w:rFonts w:ascii="Arial" w:hAnsi="Arial" w:cs="Arial"/>
        </w:rPr>
        <w:t xml:space="preserve">i.e., </w:t>
      </w:r>
      <w:r w:rsidRPr="00EF6288">
        <w:rPr>
          <w:rFonts w:ascii="Arial" w:hAnsi="Arial" w:cs="Arial"/>
        </w:rPr>
        <w:t>Achievement Levels 4 and 5).</w:t>
      </w:r>
    </w:p>
    <w:p w14:paraId="4CC4CB2A" w14:textId="368DDB7B" w:rsidR="00A14D07" w:rsidRPr="00D105C4" w:rsidRDefault="00D105C4" w:rsidP="00CA5853">
      <w:pPr>
        <w:numPr>
          <w:ilvl w:val="0"/>
          <w:numId w:val="80"/>
        </w:numPr>
        <w:spacing w:line="240" w:lineRule="auto"/>
        <w:ind w:left="360"/>
        <w:contextualSpacing/>
        <w:rPr>
          <w:rFonts w:ascii="Arial" w:hAnsi="Arial" w:cs="Arial"/>
        </w:rPr>
      </w:pPr>
      <w:r w:rsidRPr="00D105C4">
        <w:rPr>
          <w:rFonts w:ascii="Arial" w:hAnsi="Arial" w:cs="Arial"/>
        </w:rPr>
        <w:t>If any subgroup does not meet the 95% participation requirement, an appropriate denominator adjustment is included in the calculations (see Section 3 for more information).</w:t>
      </w:r>
    </w:p>
    <w:p w14:paraId="2DB00DE4" w14:textId="142C1E58" w:rsidR="0080078E" w:rsidRPr="00EF6288" w:rsidRDefault="00BB254E" w:rsidP="00CA5853">
      <w:pPr>
        <w:numPr>
          <w:ilvl w:val="0"/>
          <w:numId w:val="80"/>
        </w:numPr>
        <w:spacing w:line="240" w:lineRule="auto"/>
        <w:ind w:left="360"/>
        <w:contextualSpacing/>
        <w:rPr>
          <w:rFonts w:ascii="Arial" w:hAnsi="Arial" w:cs="Arial"/>
        </w:rPr>
      </w:pPr>
      <w:r>
        <w:rPr>
          <w:rFonts w:ascii="Arial" w:hAnsi="Arial" w:cs="Arial"/>
        </w:rPr>
        <w:t xml:space="preserve">Identified </w:t>
      </w:r>
      <w:r w:rsidR="00A14D07" w:rsidRPr="00EF6288">
        <w:rPr>
          <w:rFonts w:ascii="Arial" w:hAnsi="Arial" w:cs="Arial"/>
        </w:rPr>
        <w:t xml:space="preserve">ELs in their first or second year in </w:t>
      </w:r>
      <w:r w:rsidR="00E2125E" w:rsidRPr="00EF6288">
        <w:rPr>
          <w:rFonts w:ascii="Arial" w:hAnsi="Arial" w:cs="Arial"/>
        </w:rPr>
        <w:t>US</w:t>
      </w:r>
      <w:r w:rsidR="00A14D07" w:rsidRPr="00EF6288">
        <w:rPr>
          <w:rFonts w:ascii="Arial" w:hAnsi="Arial" w:cs="Arial"/>
        </w:rPr>
        <w:t xml:space="preserve"> schools are not included in long-term goal calculations. </w:t>
      </w:r>
    </w:p>
    <w:p w14:paraId="34B2E080" w14:textId="376B628A" w:rsidR="00A14D07" w:rsidRPr="00EF6288" w:rsidRDefault="00A14D07" w:rsidP="00CA5853">
      <w:pPr>
        <w:numPr>
          <w:ilvl w:val="0"/>
          <w:numId w:val="80"/>
        </w:numPr>
        <w:spacing w:line="240" w:lineRule="auto"/>
        <w:ind w:left="360"/>
        <w:contextualSpacing/>
        <w:rPr>
          <w:rFonts w:ascii="Arial" w:hAnsi="Arial" w:cs="Arial"/>
        </w:rPr>
      </w:pPr>
      <w:r w:rsidRPr="00EF6288">
        <w:rPr>
          <w:rFonts w:ascii="Arial" w:hAnsi="Arial" w:cs="Arial"/>
        </w:rPr>
        <w:t>Students who have exited EL status within the last four years are included in the EL subgroup for the purposes of long-term goal calculations and determinations.</w:t>
      </w:r>
    </w:p>
    <w:p w14:paraId="4D5B6AF6" w14:textId="5443A7DD" w:rsidR="00A14D07" w:rsidRPr="00EF6288" w:rsidRDefault="00A14D07" w:rsidP="00CA5853">
      <w:pPr>
        <w:numPr>
          <w:ilvl w:val="0"/>
          <w:numId w:val="80"/>
        </w:numPr>
        <w:spacing w:line="240" w:lineRule="auto"/>
        <w:ind w:left="360"/>
        <w:contextualSpacing/>
        <w:rPr>
          <w:rFonts w:ascii="Arial" w:hAnsi="Arial" w:cs="Arial"/>
        </w:rPr>
      </w:pPr>
      <w:r w:rsidRPr="00EF6288">
        <w:rPr>
          <w:rFonts w:ascii="Arial" w:hAnsi="Arial" w:cs="Arial"/>
        </w:rPr>
        <w:t xml:space="preserve">High school goals are based on all grade </w:t>
      </w:r>
      <w:r w:rsidR="0055032F">
        <w:rPr>
          <w:rFonts w:ascii="Arial" w:hAnsi="Arial" w:cs="Arial"/>
        </w:rPr>
        <w:t>10</w:t>
      </w:r>
      <w:r w:rsidRPr="00EF6288">
        <w:rPr>
          <w:rFonts w:ascii="Arial" w:hAnsi="Arial" w:cs="Arial"/>
        </w:rPr>
        <w:t xml:space="preserve"> students’ English II EOC scores regardless of when they took the assessment.</w:t>
      </w:r>
    </w:p>
    <w:p w14:paraId="78582837" w14:textId="77777777" w:rsidR="0042645C" w:rsidRDefault="006915A8" w:rsidP="00CA5853">
      <w:pPr>
        <w:numPr>
          <w:ilvl w:val="0"/>
          <w:numId w:val="80"/>
        </w:numPr>
        <w:spacing w:line="240" w:lineRule="auto"/>
        <w:ind w:left="360"/>
        <w:contextualSpacing/>
        <w:rPr>
          <w:rFonts w:ascii="Arial" w:hAnsi="Arial" w:cs="Arial"/>
        </w:rPr>
        <w:sectPr w:rsidR="0042645C" w:rsidSect="0000038D">
          <w:headerReference w:type="even" r:id="rId57"/>
          <w:headerReference w:type="default" r:id="rId58"/>
          <w:headerReference w:type="first" r:id="rId59"/>
          <w:footerReference w:type="first" r:id="rId60"/>
          <w:pgSz w:w="12240" w:h="15840"/>
          <w:pgMar w:top="1440" w:right="1440" w:bottom="1440" w:left="1440" w:header="720" w:footer="720" w:gutter="0"/>
          <w:cols w:space="720"/>
          <w:noEndnote/>
          <w:docGrid w:linePitch="326"/>
        </w:sectPr>
      </w:pPr>
      <w:r w:rsidRPr="006915A8">
        <w:rPr>
          <w:rFonts w:ascii="Arial" w:hAnsi="Arial" w:cs="Arial"/>
        </w:rPr>
        <w:t>High school goals are based on grade 11 students’ Mathematics EOC scores regardless of when they took the assessment (see Section 8 for more information).</w:t>
      </w:r>
    </w:p>
    <w:p w14:paraId="454739DA" w14:textId="03929CAA" w:rsidR="00A14D07" w:rsidRPr="00EF6288" w:rsidRDefault="00A14D07" w:rsidP="001514C3">
      <w:pPr>
        <w:pStyle w:val="Heading2"/>
      </w:pPr>
      <w:bookmarkStart w:id="955" w:name="_Toc102997804"/>
      <w:bookmarkStart w:id="956" w:name="_Toc102997910"/>
      <w:bookmarkStart w:id="957" w:name="_Toc102998016"/>
      <w:bookmarkStart w:id="958" w:name="_Toc106102935"/>
      <w:bookmarkStart w:id="959" w:name="_Toc106103040"/>
      <w:bookmarkStart w:id="960" w:name="_Toc102997806"/>
      <w:bookmarkStart w:id="961" w:name="_Toc102997912"/>
      <w:bookmarkStart w:id="962" w:name="_Toc102998018"/>
      <w:bookmarkStart w:id="963" w:name="_Toc106102937"/>
      <w:bookmarkStart w:id="964" w:name="_Toc106103042"/>
      <w:bookmarkStart w:id="965" w:name="_Toc100132592"/>
      <w:bookmarkStart w:id="966" w:name="_Toc100132796"/>
      <w:bookmarkStart w:id="967" w:name="_Toc100136597"/>
      <w:bookmarkStart w:id="968" w:name="_Toc114211843"/>
      <w:bookmarkStart w:id="969" w:name="_Toc135812572"/>
      <w:bookmarkStart w:id="970" w:name="_Toc136418953"/>
      <w:bookmarkStart w:id="971" w:name="_Toc136419209"/>
      <w:bookmarkStart w:id="972" w:name="_Toc225405027"/>
      <w:bookmarkEnd w:id="955"/>
      <w:bookmarkEnd w:id="956"/>
      <w:bookmarkEnd w:id="957"/>
      <w:bookmarkEnd w:id="958"/>
      <w:bookmarkEnd w:id="959"/>
      <w:bookmarkEnd w:id="960"/>
      <w:bookmarkEnd w:id="961"/>
      <w:bookmarkEnd w:id="962"/>
      <w:bookmarkEnd w:id="963"/>
      <w:bookmarkEnd w:id="964"/>
      <w:r w:rsidRPr="00EF6288">
        <w:lastRenderedPageBreak/>
        <w:t>Additional Rules for English Learner Progress</w:t>
      </w:r>
      <w:bookmarkEnd w:id="965"/>
      <w:bookmarkEnd w:id="966"/>
      <w:bookmarkEnd w:id="967"/>
      <w:bookmarkEnd w:id="968"/>
      <w:bookmarkEnd w:id="969"/>
      <w:bookmarkEnd w:id="970"/>
      <w:bookmarkEnd w:id="971"/>
      <w:bookmarkEnd w:id="972"/>
    </w:p>
    <w:p w14:paraId="58833610" w14:textId="66030DEA" w:rsidR="00A14D07" w:rsidRPr="00EF6288" w:rsidRDefault="00A14D07" w:rsidP="00CA5853">
      <w:pPr>
        <w:numPr>
          <w:ilvl w:val="0"/>
          <w:numId w:val="80"/>
        </w:numPr>
        <w:spacing w:line="240" w:lineRule="auto"/>
        <w:ind w:left="450"/>
        <w:contextualSpacing/>
        <w:rPr>
          <w:rFonts w:ascii="Arial" w:hAnsi="Arial" w:cs="Arial"/>
        </w:rPr>
      </w:pPr>
      <w:r w:rsidRPr="00EF6288">
        <w:rPr>
          <w:rFonts w:ascii="Arial" w:hAnsi="Arial" w:cs="Arial"/>
        </w:rPr>
        <w:t>Percent is based upon the number of EL students in grades K</w:t>
      </w:r>
      <w:r w:rsidR="00D2449F" w:rsidRPr="00EF6288">
        <w:rPr>
          <w:rFonts w:ascii="Arial" w:hAnsi="Arial" w:cs="Arial"/>
        </w:rPr>
        <w:t>–</w:t>
      </w:r>
      <w:r w:rsidRPr="00EF6288">
        <w:rPr>
          <w:rFonts w:ascii="Arial" w:hAnsi="Arial" w:cs="Arial"/>
        </w:rPr>
        <w:t xml:space="preserve">13 who met their yearly goal set by NC toward English language proficiency or exited the EL status. See </w:t>
      </w:r>
      <w:r w:rsidR="0029418E">
        <w:rPr>
          <w:rFonts w:ascii="Arial" w:hAnsi="Arial" w:cs="Arial"/>
        </w:rPr>
        <w:t>Section 6</w:t>
      </w:r>
      <w:r w:rsidRPr="00EF6288">
        <w:rPr>
          <w:rFonts w:ascii="Arial" w:hAnsi="Arial" w:cs="Arial"/>
        </w:rPr>
        <w:t xml:space="preserve"> for more information.</w:t>
      </w:r>
    </w:p>
    <w:p w14:paraId="28B2CB08" w14:textId="77777777" w:rsidR="00A14D07" w:rsidRPr="00EF6288" w:rsidRDefault="00A14D07" w:rsidP="00A14D07">
      <w:pPr>
        <w:spacing w:line="240" w:lineRule="auto"/>
        <w:ind w:left="100"/>
        <w:contextualSpacing/>
        <w:rPr>
          <w:rFonts w:ascii="Arial" w:hAnsi="Arial" w:cs="Arial"/>
          <w:color w:val="auto"/>
          <w:szCs w:val="24"/>
        </w:rPr>
      </w:pPr>
    </w:p>
    <w:p w14:paraId="6E23B87C" w14:textId="2F25644B" w:rsidR="00A14D07" w:rsidRDefault="00A14D07" w:rsidP="000F6B83">
      <w:pPr>
        <w:spacing w:line="240" w:lineRule="auto"/>
        <w:contextualSpacing/>
        <w:rPr>
          <w:rFonts w:ascii="Arial" w:hAnsi="Arial" w:cs="Arial"/>
          <w:color w:val="auto"/>
        </w:rPr>
      </w:pPr>
      <w:r w:rsidRPr="00EF6288">
        <w:rPr>
          <w:rFonts w:ascii="Arial" w:hAnsi="Arial" w:cs="Arial"/>
          <w:color w:val="auto"/>
        </w:rPr>
        <w:t>State</w:t>
      </w:r>
      <w:r w:rsidR="00D2449F" w:rsidRPr="00EF6288">
        <w:rPr>
          <w:rFonts w:ascii="Arial" w:hAnsi="Arial" w:cs="Arial"/>
          <w:color w:val="auto"/>
        </w:rPr>
        <w:t>-</w:t>
      </w:r>
      <w:r w:rsidRPr="00EF6288">
        <w:rPr>
          <w:rFonts w:ascii="Arial" w:hAnsi="Arial" w:cs="Arial"/>
          <w:color w:val="auto"/>
        </w:rPr>
        <w:t xml:space="preserve">level reading, </w:t>
      </w:r>
      <w:r w:rsidR="00D2449F" w:rsidRPr="00EF6288">
        <w:rPr>
          <w:rFonts w:ascii="Arial" w:hAnsi="Arial" w:cs="Arial"/>
          <w:color w:val="auto"/>
        </w:rPr>
        <w:t xml:space="preserve">math, </w:t>
      </w:r>
      <w:r w:rsidRPr="00EF6288">
        <w:rPr>
          <w:rFonts w:ascii="Arial" w:hAnsi="Arial" w:cs="Arial"/>
          <w:color w:val="auto"/>
        </w:rPr>
        <w:t>Cohort Graduation Rate, and E</w:t>
      </w:r>
      <w:r w:rsidR="00EA50B1" w:rsidRPr="00EF6288">
        <w:rPr>
          <w:rFonts w:ascii="Arial" w:hAnsi="Arial" w:cs="Arial"/>
          <w:color w:val="auto"/>
        </w:rPr>
        <w:t xml:space="preserve">LP </w:t>
      </w:r>
      <w:r w:rsidRPr="00EF6288">
        <w:rPr>
          <w:rFonts w:ascii="Arial" w:hAnsi="Arial" w:cs="Arial"/>
          <w:color w:val="auto"/>
        </w:rPr>
        <w:t xml:space="preserve">long-term goals are </w:t>
      </w:r>
      <w:r w:rsidR="00906BC2" w:rsidRPr="00EF6288">
        <w:rPr>
          <w:rFonts w:ascii="Arial" w:hAnsi="Arial" w:cs="Arial"/>
          <w:color w:val="auto"/>
        </w:rPr>
        <w:t>presented</w:t>
      </w:r>
      <w:r w:rsidR="00D2449F" w:rsidRPr="00EF6288">
        <w:rPr>
          <w:rFonts w:ascii="Arial" w:hAnsi="Arial" w:cs="Arial"/>
          <w:color w:val="auto"/>
        </w:rPr>
        <w:t xml:space="preserve"> </w:t>
      </w:r>
      <w:r w:rsidRPr="00EF6288">
        <w:rPr>
          <w:rFonts w:ascii="Arial" w:hAnsi="Arial" w:cs="Arial"/>
          <w:color w:val="auto"/>
        </w:rPr>
        <w:t xml:space="preserve">in </w:t>
      </w:r>
      <w:r w:rsidR="0069282F" w:rsidRPr="00BD6E9B">
        <w:rPr>
          <w:rFonts w:ascii="Arial" w:hAnsi="Arial" w:cs="Arial"/>
          <w:color w:val="auto"/>
        </w:rPr>
        <w:t>tables 10.6 through</w:t>
      </w:r>
      <w:r w:rsidR="00BD6E9B" w:rsidRPr="00BD6E9B">
        <w:rPr>
          <w:rFonts w:ascii="Arial" w:hAnsi="Arial" w:cs="Arial"/>
          <w:color w:val="auto"/>
        </w:rPr>
        <w:t xml:space="preserve"> 10.6.4</w:t>
      </w:r>
      <w:r w:rsidR="00D2449F" w:rsidRPr="00BD6E9B">
        <w:rPr>
          <w:rFonts w:ascii="Arial" w:hAnsi="Arial" w:cs="Arial"/>
          <w:color w:val="auto"/>
        </w:rPr>
        <w:t>.</w:t>
      </w:r>
    </w:p>
    <w:p w14:paraId="71638B94" w14:textId="77777777" w:rsidR="009A1D56" w:rsidRDefault="009A1D56" w:rsidP="00A14D07">
      <w:pPr>
        <w:spacing w:line="240" w:lineRule="auto"/>
        <w:ind w:left="100"/>
        <w:contextualSpacing/>
        <w:rPr>
          <w:rFonts w:ascii="Arial" w:hAnsi="Arial" w:cs="Arial"/>
          <w:color w:val="auto"/>
        </w:rPr>
      </w:pPr>
    </w:p>
    <w:p w14:paraId="49D58113" w14:textId="626E4687" w:rsidR="009A1D56" w:rsidRPr="006C6023" w:rsidRDefault="009A1D56" w:rsidP="000F6B83">
      <w:pPr>
        <w:spacing w:line="240" w:lineRule="auto"/>
        <w:contextualSpacing/>
        <w:rPr>
          <w:rFonts w:ascii="Arial" w:hAnsi="Arial" w:cs="Arial"/>
          <w:color w:val="auto"/>
          <w:sz w:val="20"/>
        </w:rPr>
      </w:pPr>
      <w:r w:rsidRPr="006C6023">
        <w:rPr>
          <w:rFonts w:ascii="Arial" w:hAnsi="Arial" w:cs="Arial"/>
          <w:color w:val="auto"/>
          <w:sz w:val="20"/>
        </w:rPr>
        <w:t>TABLE</w:t>
      </w:r>
      <w:r w:rsidR="00501314" w:rsidRPr="006C6023">
        <w:rPr>
          <w:rFonts w:ascii="Arial" w:hAnsi="Arial" w:cs="Arial"/>
          <w:color w:val="auto"/>
          <w:sz w:val="20"/>
        </w:rPr>
        <w:t xml:space="preserve"> 10.6</w:t>
      </w:r>
      <w:r w:rsidR="00F63D77" w:rsidRPr="006C6023">
        <w:rPr>
          <w:rFonts w:ascii="Arial" w:hAnsi="Arial" w:cs="Arial"/>
          <w:color w:val="auto"/>
          <w:sz w:val="20"/>
        </w:rPr>
        <w:t>.</w:t>
      </w:r>
      <w:r w:rsidR="00501314" w:rsidRPr="006C6023">
        <w:rPr>
          <w:rFonts w:ascii="Arial" w:hAnsi="Arial" w:cs="Arial"/>
          <w:color w:val="auto"/>
          <w:sz w:val="20"/>
        </w:rPr>
        <w:t xml:space="preserve"> State </w:t>
      </w:r>
      <w:r w:rsidR="00976058">
        <w:rPr>
          <w:rFonts w:ascii="Arial" w:hAnsi="Arial" w:cs="Arial"/>
          <w:color w:val="auto"/>
          <w:sz w:val="20"/>
        </w:rPr>
        <w:t>l</w:t>
      </w:r>
      <w:r w:rsidR="00501314" w:rsidRPr="006C6023">
        <w:rPr>
          <w:rFonts w:ascii="Arial" w:hAnsi="Arial" w:cs="Arial"/>
          <w:color w:val="auto"/>
          <w:sz w:val="20"/>
        </w:rPr>
        <w:t xml:space="preserve">evel </w:t>
      </w:r>
      <w:r w:rsidR="00976058">
        <w:rPr>
          <w:rFonts w:ascii="Arial" w:hAnsi="Arial" w:cs="Arial"/>
          <w:color w:val="auto"/>
          <w:sz w:val="20"/>
        </w:rPr>
        <w:t>r</w:t>
      </w:r>
      <w:r w:rsidR="00501314" w:rsidRPr="006C6023">
        <w:rPr>
          <w:rFonts w:ascii="Arial" w:hAnsi="Arial" w:cs="Arial"/>
          <w:color w:val="auto"/>
          <w:sz w:val="20"/>
        </w:rPr>
        <w:t xml:space="preserve">eading </w:t>
      </w:r>
      <w:r w:rsidR="00976058">
        <w:rPr>
          <w:rFonts w:ascii="Arial" w:hAnsi="Arial" w:cs="Arial"/>
          <w:color w:val="auto"/>
          <w:sz w:val="20"/>
        </w:rPr>
        <w:t>g</w:t>
      </w:r>
      <w:r w:rsidR="00501314" w:rsidRPr="006C6023">
        <w:rPr>
          <w:rFonts w:ascii="Arial" w:hAnsi="Arial" w:cs="Arial"/>
          <w:color w:val="auto"/>
          <w:sz w:val="20"/>
        </w:rPr>
        <w:t>rades 3–8</w:t>
      </w:r>
      <w:r w:rsidR="00DD6DA4">
        <w:rPr>
          <w:rFonts w:ascii="Arial" w:hAnsi="Arial" w:cs="Arial"/>
          <w:color w:val="auto"/>
          <w:sz w:val="20"/>
        </w:rPr>
        <w:t xml:space="preserve">, </w:t>
      </w:r>
      <w:r w:rsidR="00605E08">
        <w:rPr>
          <w:rFonts w:ascii="Arial" w:hAnsi="Arial" w:cs="Arial"/>
          <w:color w:val="auto"/>
          <w:sz w:val="20"/>
        </w:rPr>
        <w:t>y</w:t>
      </w:r>
      <w:r w:rsidR="00DD6DA4">
        <w:rPr>
          <w:rFonts w:ascii="Arial" w:hAnsi="Arial" w:cs="Arial"/>
          <w:color w:val="auto"/>
          <w:sz w:val="20"/>
        </w:rPr>
        <w:t xml:space="preserve">early </w:t>
      </w:r>
      <w:r w:rsidR="00605E08">
        <w:rPr>
          <w:rFonts w:ascii="Arial" w:hAnsi="Arial" w:cs="Arial"/>
          <w:color w:val="auto"/>
          <w:sz w:val="20"/>
        </w:rPr>
        <w:t>m</w:t>
      </w:r>
      <w:r w:rsidR="00DD6DA4">
        <w:rPr>
          <w:rFonts w:ascii="Arial" w:hAnsi="Arial" w:cs="Arial"/>
          <w:color w:val="auto"/>
          <w:sz w:val="20"/>
        </w:rPr>
        <w:t xml:space="preserve">easure of </w:t>
      </w:r>
      <w:r w:rsidR="00605E08">
        <w:rPr>
          <w:rFonts w:ascii="Arial" w:hAnsi="Arial" w:cs="Arial"/>
          <w:color w:val="auto"/>
          <w:sz w:val="20"/>
        </w:rPr>
        <w:t>i</w:t>
      </w:r>
      <w:r w:rsidR="00DD6DA4">
        <w:rPr>
          <w:rFonts w:ascii="Arial" w:hAnsi="Arial" w:cs="Arial"/>
          <w:color w:val="auto"/>
          <w:sz w:val="20"/>
        </w:rPr>
        <w:t>nterim progress</w:t>
      </w:r>
      <w:r w:rsidR="0086596E">
        <w:rPr>
          <w:rFonts w:ascii="Arial" w:hAnsi="Arial" w:cs="Arial"/>
          <w:color w:val="auto"/>
          <w:sz w:val="20"/>
        </w:rPr>
        <w:t xml:space="preserve"> proficiency goals</w:t>
      </w:r>
    </w:p>
    <w:tbl>
      <w:tblPr>
        <w:tblW w:w="4378" w:type="pct"/>
        <w:tblInd w:w="-5" w:type="dxa"/>
        <w:tblLayout w:type="fixed"/>
        <w:tblCellMar>
          <w:top w:w="15" w:type="dxa"/>
          <w:bottom w:w="15" w:type="dxa"/>
        </w:tblCellMar>
        <w:tblLook w:val="04A0" w:firstRow="1" w:lastRow="0" w:firstColumn="1" w:lastColumn="0" w:noHBand="0" w:noVBand="1"/>
      </w:tblPr>
      <w:tblGrid>
        <w:gridCol w:w="2609"/>
        <w:gridCol w:w="1442"/>
        <w:gridCol w:w="1075"/>
        <w:gridCol w:w="1177"/>
        <w:gridCol w:w="1177"/>
        <w:gridCol w:w="1177"/>
        <w:gridCol w:w="1603"/>
        <w:gridCol w:w="1079"/>
      </w:tblGrid>
      <w:tr w:rsidR="001B3040" w:rsidRPr="001913CA" w14:paraId="6F0847BA" w14:textId="77777777" w:rsidTr="000F6B83">
        <w:trPr>
          <w:cantSplit/>
          <w:trHeight w:val="236"/>
        </w:trPr>
        <w:tc>
          <w:tcPr>
            <w:tcW w:w="115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CECC0B0" w14:textId="77777777" w:rsidR="001B3040" w:rsidRPr="006C6023" w:rsidRDefault="001B3040" w:rsidP="00C34424">
            <w:pPr>
              <w:spacing w:line="240" w:lineRule="auto"/>
              <w:rPr>
                <w:rFonts w:ascii="Arial" w:hAnsi="Arial" w:cs="Arial"/>
                <w:b/>
                <w:bCs/>
                <w:sz w:val="20"/>
              </w:rPr>
            </w:pPr>
            <w:r w:rsidRPr="006C6023">
              <w:rPr>
                <w:rFonts w:ascii="Arial" w:hAnsi="Arial" w:cs="Arial"/>
                <w:b/>
                <w:bCs/>
                <w:sz w:val="20"/>
              </w:rPr>
              <w:t>State Level Reading</w:t>
            </w:r>
          </w:p>
          <w:p w14:paraId="61A8FF18" w14:textId="77777777" w:rsidR="001B3040" w:rsidRPr="006C6023" w:rsidRDefault="001B3040" w:rsidP="00C34424">
            <w:pPr>
              <w:spacing w:line="240" w:lineRule="auto"/>
              <w:rPr>
                <w:rFonts w:ascii="Arial" w:hAnsi="Arial" w:cs="Arial"/>
                <w:b/>
                <w:bCs/>
                <w:sz w:val="20"/>
              </w:rPr>
            </w:pPr>
            <w:r w:rsidRPr="006C6023">
              <w:rPr>
                <w:rFonts w:ascii="Arial" w:hAnsi="Arial" w:cs="Arial"/>
                <w:b/>
                <w:bCs/>
                <w:sz w:val="20"/>
              </w:rPr>
              <w:t>Grades 3-8</w:t>
            </w:r>
          </w:p>
          <w:p w14:paraId="62010B70" w14:textId="77777777" w:rsidR="001B3040" w:rsidRPr="006C6023" w:rsidRDefault="001B3040" w:rsidP="006B0F8A">
            <w:pPr>
              <w:spacing w:line="240" w:lineRule="auto"/>
              <w:rPr>
                <w:rFonts w:ascii="Arial" w:hAnsi="Arial" w:cs="Arial"/>
                <w:b/>
                <w:bCs/>
                <w:sz w:val="20"/>
              </w:rPr>
            </w:pPr>
          </w:p>
        </w:tc>
        <w:tc>
          <w:tcPr>
            <w:tcW w:w="636"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D20BA7A" w14:textId="07945D92"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2015–2016 Baseline Performance</w:t>
            </w:r>
          </w:p>
        </w:tc>
        <w:tc>
          <w:tcPr>
            <w:tcW w:w="474"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B3E4E71" w14:textId="77777777"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Percent Increase</w:t>
            </w:r>
          </w:p>
          <w:p w14:paraId="205440C2" w14:textId="77777777" w:rsidR="001B3040" w:rsidRPr="006C6023" w:rsidRDefault="001B3040" w:rsidP="006C6023">
            <w:pPr>
              <w:spacing w:line="240" w:lineRule="auto"/>
              <w:contextualSpacing/>
              <w:rPr>
                <w:rFonts w:ascii="Arial" w:hAnsi="Arial" w:cs="Arial"/>
                <w:b/>
                <w:bCs/>
                <w:sz w:val="20"/>
              </w:rPr>
            </w:pPr>
            <w:r w:rsidRPr="006C6023">
              <w:rPr>
                <w:rFonts w:ascii="Arial" w:hAnsi="Arial" w:cs="Arial"/>
                <w:b/>
                <w:bCs/>
                <w:sz w:val="20"/>
              </w:rPr>
              <w:t>Per Year</w:t>
            </w:r>
          </w:p>
          <w:p w14:paraId="4B9EBEA6" w14:textId="77777777" w:rsidR="001B3040" w:rsidRPr="006C6023" w:rsidRDefault="001B3040" w:rsidP="006C6023">
            <w:pPr>
              <w:spacing w:line="240" w:lineRule="auto"/>
              <w:contextualSpacing/>
              <w:rPr>
                <w:rFonts w:ascii="Arial" w:hAnsi="Arial" w:cs="Arial"/>
                <w:b/>
                <w:bCs/>
                <w:sz w:val="20"/>
              </w:rPr>
            </w:pPr>
          </w:p>
        </w:tc>
        <w:tc>
          <w:tcPr>
            <w:tcW w:w="5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F4B7740" w14:textId="654206CD"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2025–26</w:t>
            </w:r>
            <w:r w:rsidRPr="006C6023">
              <w:rPr>
                <w:rFonts w:ascii="Arial" w:hAnsi="Arial" w:cs="Arial"/>
                <w:b/>
                <w:bCs/>
                <w:sz w:val="20"/>
              </w:rPr>
              <w:br/>
            </w:r>
          </w:p>
        </w:tc>
        <w:tc>
          <w:tcPr>
            <w:tcW w:w="5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D2AC783" w14:textId="29122667"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2026–27</w:t>
            </w:r>
            <w:r w:rsidRPr="006C6023">
              <w:rPr>
                <w:rFonts w:ascii="Arial" w:hAnsi="Arial" w:cs="Arial"/>
                <w:b/>
                <w:bCs/>
                <w:sz w:val="20"/>
              </w:rPr>
              <w:br/>
            </w:r>
          </w:p>
        </w:tc>
        <w:tc>
          <w:tcPr>
            <w:tcW w:w="51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D34D0C5" w14:textId="292F4453"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2027–28</w:t>
            </w:r>
            <w:r w:rsidRPr="006C6023">
              <w:rPr>
                <w:rFonts w:ascii="Arial" w:hAnsi="Arial" w:cs="Arial"/>
                <w:b/>
                <w:bCs/>
                <w:sz w:val="20"/>
              </w:rPr>
              <w:br/>
            </w:r>
          </w:p>
        </w:tc>
        <w:tc>
          <w:tcPr>
            <w:tcW w:w="707" w:type="pct"/>
            <w:tcBorders>
              <w:top w:val="single" w:sz="4" w:space="0" w:color="auto"/>
              <w:left w:val="single" w:sz="4" w:space="0" w:color="auto"/>
              <w:bottom w:val="nil"/>
              <w:right w:val="single" w:sz="4" w:space="0" w:color="auto"/>
            </w:tcBorders>
            <w:shd w:val="clear" w:color="auto" w:fill="B4C6E7" w:themeFill="accent1" w:themeFillTint="66"/>
            <w:vAlign w:val="center"/>
            <w:hideMark/>
          </w:tcPr>
          <w:p w14:paraId="29E8D881" w14:textId="37242C46"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2028–29</w:t>
            </w:r>
          </w:p>
          <w:p w14:paraId="5E39E9C9" w14:textId="01C34124"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12-Year Goal</w:t>
            </w:r>
          </w:p>
        </w:tc>
        <w:tc>
          <w:tcPr>
            <w:tcW w:w="478" w:type="pct"/>
            <w:tcBorders>
              <w:top w:val="single" w:sz="4" w:space="0" w:color="auto"/>
              <w:left w:val="single" w:sz="4" w:space="0" w:color="auto"/>
              <w:bottom w:val="nil"/>
              <w:right w:val="single" w:sz="4" w:space="0" w:color="auto"/>
            </w:tcBorders>
            <w:shd w:val="clear" w:color="auto" w:fill="B4C6E7" w:themeFill="accent1" w:themeFillTint="66"/>
            <w:vAlign w:val="center"/>
            <w:hideMark/>
          </w:tcPr>
          <w:p w14:paraId="6ECAA426" w14:textId="2D666916" w:rsidR="001B3040" w:rsidRPr="006C6023" w:rsidRDefault="001B3040" w:rsidP="006C6023">
            <w:pPr>
              <w:spacing w:line="240" w:lineRule="auto"/>
              <w:contextualSpacing/>
              <w:jc w:val="center"/>
              <w:rPr>
                <w:rFonts w:ascii="Arial" w:hAnsi="Arial" w:cs="Arial"/>
                <w:b/>
                <w:bCs/>
                <w:sz w:val="20"/>
              </w:rPr>
            </w:pPr>
            <w:r w:rsidRPr="006C6023">
              <w:rPr>
                <w:rFonts w:ascii="Arial" w:hAnsi="Arial" w:cs="Arial"/>
                <w:b/>
                <w:bCs/>
                <w:sz w:val="20"/>
              </w:rPr>
              <w:t>12-Year Percent</w:t>
            </w:r>
            <w:r w:rsidR="00B45922">
              <w:rPr>
                <w:rFonts w:ascii="Arial" w:hAnsi="Arial" w:cs="Arial"/>
                <w:b/>
                <w:bCs/>
                <w:sz w:val="20"/>
              </w:rPr>
              <w:t xml:space="preserve"> Increase</w:t>
            </w:r>
          </w:p>
        </w:tc>
      </w:tr>
      <w:tr w:rsidR="001B3040" w:rsidRPr="001913CA" w14:paraId="27DADFE7"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2BB4A993"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All Students</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4CDA41BF"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45.8</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6C1911F4"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2.003</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34ADC4E6"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59.8</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09676AF3"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61.8</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5F7E9304"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63.8</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15DAD6C6"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65.8</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076E2700"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20.0</w:t>
            </w:r>
          </w:p>
        </w:tc>
      </w:tr>
      <w:tr w:rsidR="001B3040" w:rsidRPr="001913CA" w14:paraId="1AB5231D"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5715B0D4"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American Indian</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762D9DB0"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30.4</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4F075FA0"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2.473</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47F7EB14"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47.7</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0D024632"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50.2</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2B4B9D2B"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52.7</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0ED94C85"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55.1</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4159523F"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24.7</w:t>
            </w:r>
          </w:p>
        </w:tc>
      </w:tr>
      <w:tr w:rsidR="001B3040" w:rsidRPr="001913CA" w14:paraId="6330BACD"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3210DC6A"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Asian</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4BE48FEB"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66.4</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1A721A2B"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1.760</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31B05A36"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78.7</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55818FAD"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80.5</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6671B351"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82.2</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32F9119A"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84.0</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18251F5C"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17.6</w:t>
            </w:r>
          </w:p>
        </w:tc>
      </w:tr>
      <w:tr w:rsidR="001B3040" w:rsidRPr="001913CA" w14:paraId="399CCB47"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5F7B3505"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Black</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14ADE5E6"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27.9</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6E595D4D"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2.549</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087CE59E"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45.7</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3A8187D6"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48.3</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1644E161"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50.8</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6B870866"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53.4</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365A19CE"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25.5</w:t>
            </w:r>
          </w:p>
        </w:tc>
      </w:tr>
      <w:tr w:rsidR="001B3040" w:rsidRPr="001913CA" w14:paraId="03219D8C"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4F2F3BA8"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Hispanic</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62108634"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31.5</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2EF9617E"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2.439</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7C681BA3"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48.6</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40F938D2"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51.0</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3405ACD4"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53.5</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58C40101"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55.9</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726761D8"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24.4</w:t>
            </w:r>
          </w:p>
        </w:tc>
      </w:tr>
      <w:tr w:rsidR="001B3040" w:rsidRPr="001913CA" w14:paraId="7E283785"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3BA5C3EC"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Two or more races</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615A1A30"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46.7</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58AB9208"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1.976</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3F5DFF09"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60.5</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140DD8F5"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62.5</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7248FCED"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64.5</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751C0CB3"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66.5</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502031ED"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19.8</w:t>
            </w:r>
          </w:p>
        </w:tc>
      </w:tr>
      <w:tr w:rsidR="001B3040" w:rsidRPr="001913CA" w14:paraId="3F5E0B62"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67E6F521"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White</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2256F118"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58.8</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7C6BF417"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1.606</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5D32ABEF"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70.0</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7BFADF20"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71.6</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624EDB57"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73.3</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0641773E"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74.9</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188848D0"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16.1</w:t>
            </w:r>
          </w:p>
        </w:tc>
      </w:tr>
      <w:tr w:rsidR="001B3040" w:rsidRPr="001913CA" w14:paraId="3028408C"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15E794CF"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Economically Disadvantaged Students</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70447362"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30.7</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0D0B5A8F"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2.464</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50A8337F"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47.9</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5FCC7EDA"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50.4</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432B6ABB"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52.9</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73AA533C"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55.3</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684813B0"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24.6</w:t>
            </w:r>
          </w:p>
        </w:tc>
      </w:tr>
      <w:tr w:rsidR="001B3040" w:rsidRPr="001913CA" w14:paraId="575C4065"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13410D22"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English Learners</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41A195C3"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11.1</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6EFB2D75"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3.062</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6FDD1978"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32.5</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1026F467"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35.6</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417AC4CC"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38.7</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1DDC947D"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41.7</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323932BD"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30.6</w:t>
            </w:r>
          </w:p>
        </w:tc>
      </w:tr>
      <w:tr w:rsidR="001B3040" w:rsidRPr="001913CA" w14:paraId="2ED541F4" w14:textId="77777777" w:rsidTr="000F6B83">
        <w:trPr>
          <w:trHeight w:val="45"/>
        </w:trPr>
        <w:tc>
          <w:tcPr>
            <w:tcW w:w="1150" w:type="pct"/>
            <w:tcBorders>
              <w:top w:val="single" w:sz="4" w:space="0" w:color="auto"/>
              <w:left w:val="single" w:sz="4" w:space="0" w:color="auto"/>
              <w:bottom w:val="single" w:sz="4" w:space="0" w:color="auto"/>
              <w:right w:val="single" w:sz="4" w:space="0" w:color="auto"/>
            </w:tcBorders>
            <w:noWrap/>
            <w:vAlign w:val="bottom"/>
            <w:hideMark/>
          </w:tcPr>
          <w:p w14:paraId="091F4454" w14:textId="77777777" w:rsidR="001B3040" w:rsidRPr="006C6023" w:rsidRDefault="001B3040" w:rsidP="006C6023">
            <w:pPr>
              <w:spacing w:line="240" w:lineRule="auto"/>
              <w:rPr>
                <w:rFonts w:ascii="Arial" w:hAnsi="Arial" w:cs="Arial"/>
                <w:b/>
                <w:bCs/>
                <w:sz w:val="20"/>
              </w:rPr>
            </w:pPr>
            <w:r w:rsidRPr="006C6023">
              <w:rPr>
                <w:rFonts w:ascii="Arial" w:hAnsi="Arial" w:cs="Arial"/>
                <w:b/>
                <w:bCs/>
                <w:sz w:val="20"/>
              </w:rPr>
              <w:t>Students with Disabilities</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0F8CF1A2"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13.6</w:t>
            </w:r>
          </w:p>
        </w:tc>
        <w:tc>
          <w:tcPr>
            <w:tcW w:w="474" w:type="pct"/>
            <w:tcBorders>
              <w:top w:val="single" w:sz="4" w:space="0" w:color="auto"/>
              <w:left w:val="single" w:sz="4" w:space="0" w:color="auto"/>
              <w:bottom w:val="single" w:sz="4" w:space="0" w:color="auto"/>
              <w:right w:val="single" w:sz="4" w:space="0" w:color="auto"/>
            </w:tcBorders>
            <w:noWrap/>
            <w:vAlign w:val="center"/>
            <w:hideMark/>
          </w:tcPr>
          <w:p w14:paraId="2D1E8049"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2.985</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2F4CF3BF"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34.5</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362FAD7F"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37.5</w:t>
            </w:r>
          </w:p>
        </w:tc>
        <w:tc>
          <w:tcPr>
            <w:tcW w:w="519" w:type="pct"/>
            <w:tcBorders>
              <w:top w:val="single" w:sz="4" w:space="0" w:color="auto"/>
              <w:left w:val="single" w:sz="4" w:space="0" w:color="auto"/>
              <w:bottom w:val="single" w:sz="4" w:space="0" w:color="auto"/>
              <w:right w:val="single" w:sz="4" w:space="0" w:color="auto"/>
            </w:tcBorders>
            <w:noWrap/>
            <w:vAlign w:val="center"/>
            <w:hideMark/>
          </w:tcPr>
          <w:p w14:paraId="5E1FA312"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40.5</w:t>
            </w:r>
          </w:p>
        </w:tc>
        <w:tc>
          <w:tcPr>
            <w:tcW w:w="707" w:type="pct"/>
            <w:tcBorders>
              <w:top w:val="single" w:sz="4" w:space="0" w:color="auto"/>
              <w:left w:val="single" w:sz="4" w:space="0" w:color="auto"/>
              <w:bottom w:val="single" w:sz="4" w:space="0" w:color="auto"/>
              <w:right w:val="single" w:sz="4" w:space="0" w:color="auto"/>
            </w:tcBorders>
            <w:noWrap/>
            <w:vAlign w:val="center"/>
            <w:hideMark/>
          </w:tcPr>
          <w:p w14:paraId="7EBFE3BE" w14:textId="77777777" w:rsidR="001B3040" w:rsidRPr="006C6023" w:rsidRDefault="001B3040" w:rsidP="006B0F8A">
            <w:pPr>
              <w:spacing w:line="240" w:lineRule="auto"/>
              <w:jc w:val="center"/>
              <w:rPr>
                <w:rFonts w:ascii="Arial" w:hAnsi="Arial" w:cs="Arial"/>
                <w:sz w:val="20"/>
              </w:rPr>
            </w:pPr>
            <w:r w:rsidRPr="006C6023">
              <w:rPr>
                <w:rFonts w:ascii="Arial" w:hAnsi="Arial" w:cs="Arial"/>
                <w:sz w:val="20"/>
              </w:rPr>
              <w:t>43.4</w:t>
            </w:r>
          </w:p>
        </w:tc>
        <w:tc>
          <w:tcPr>
            <w:tcW w:w="478" w:type="pct"/>
            <w:tcBorders>
              <w:top w:val="single" w:sz="4" w:space="0" w:color="auto"/>
              <w:left w:val="single" w:sz="4" w:space="0" w:color="auto"/>
              <w:bottom w:val="single" w:sz="4" w:space="0" w:color="auto"/>
              <w:right w:val="single" w:sz="4" w:space="0" w:color="auto"/>
            </w:tcBorders>
            <w:noWrap/>
            <w:vAlign w:val="center"/>
            <w:hideMark/>
          </w:tcPr>
          <w:p w14:paraId="2290FA0B" w14:textId="77777777" w:rsidR="001B3040" w:rsidRPr="006C6023" w:rsidRDefault="001B3040" w:rsidP="006B0F8A">
            <w:pPr>
              <w:spacing w:line="240" w:lineRule="auto"/>
              <w:jc w:val="center"/>
              <w:rPr>
                <w:rFonts w:ascii="Arial" w:hAnsi="Arial" w:cs="Arial"/>
                <w:b/>
                <w:bCs/>
                <w:sz w:val="20"/>
              </w:rPr>
            </w:pPr>
            <w:r w:rsidRPr="006C6023">
              <w:rPr>
                <w:rFonts w:ascii="Arial" w:hAnsi="Arial" w:cs="Arial"/>
                <w:b/>
                <w:bCs/>
                <w:sz w:val="20"/>
              </w:rPr>
              <w:t>29.8</w:t>
            </w:r>
          </w:p>
        </w:tc>
      </w:tr>
    </w:tbl>
    <w:p w14:paraId="557A0436" w14:textId="77777777" w:rsidR="009642A7" w:rsidRPr="00BF1F0E" w:rsidRDefault="009642A7">
      <w:pPr>
        <w:spacing w:line="240" w:lineRule="auto"/>
        <w:rPr>
          <w:rFonts w:ascii="Arial" w:hAnsi="Arial" w:cs="Arial"/>
          <w:iCs/>
          <w:color w:val="000000" w:themeColor="text1"/>
          <w:sz w:val="20"/>
          <w:szCs w:val="18"/>
        </w:rPr>
      </w:pPr>
      <w:r w:rsidRPr="00BF1F0E">
        <w:rPr>
          <w:rFonts w:ascii="Arial" w:hAnsi="Arial" w:cs="Arial"/>
          <w:iCs/>
          <w:color w:val="000000" w:themeColor="text1"/>
          <w:sz w:val="20"/>
          <w:szCs w:val="18"/>
        </w:rPr>
        <w:br w:type="page"/>
      </w:r>
    </w:p>
    <w:p w14:paraId="31D3B739" w14:textId="192DC156" w:rsidR="0086596E" w:rsidRPr="00163351" w:rsidRDefault="0086596E" w:rsidP="00C96731">
      <w:pPr>
        <w:spacing w:line="240" w:lineRule="auto"/>
        <w:contextualSpacing/>
        <w:rPr>
          <w:rFonts w:ascii="Arial" w:hAnsi="Arial" w:cs="Arial"/>
          <w:color w:val="auto"/>
          <w:sz w:val="20"/>
        </w:rPr>
      </w:pPr>
      <w:r w:rsidRPr="00163351">
        <w:rPr>
          <w:rFonts w:ascii="Arial" w:hAnsi="Arial" w:cs="Arial"/>
          <w:color w:val="auto"/>
          <w:sz w:val="20"/>
        </w:rPr>
        <w:lastRenderedPageBreak/>
        <w:t>TABLE 10.6.</w:t>
      </w:r>
      <w:r>
        <w:rPr>
          <w:rFonts w:ascii="Arial" w:hAnsi="Arial" w:cs="Arial"/>
          <w:color w:val="auto"/>
          <w:sz w:val="20"/>
        </w:rPr>
        <w:t>1.</w:t>
      </w:r>
      <w:r w:rsidRPr="00163351">
        <w:rPr>
          <w:rFonts w:ascii="Arial" w:hAnsi="Arial" w:cs="Arial"/>
          <w:color w:val="auto"/>
          <w:sz w:val="20"/>
        </w:rPr>
        <w:t xml:space="preserve"> State </w:t>
      </w:r>
      <w:r>
        <w:rPr>
          <w:rFonts w:ascii="Arial" w:hAnsi="Arial" w:cs="Arial"/>
          <w:color w:val="auto"/>
          <w:sz w:val="20"/>
        </w:rPr>
        <w:t>l</w:t>
      </w:r>
      <w:r w:rsidRPr="00163351">
        <w:rPr>
          <w:rFonts w:ascii="Arial" w:hAnsi="Arial" w:cs="Arial"/>
          <w:color w:val="auto"/>
          <w:sz w:val="20"/>
        </w:rPr>
        <w:t xml:space="preserve">evel </w:t>
      </w:r>
      <w:r w:rsidR="00921FA0">
        <w:rPr>
          <w:rFonts w:ascii="Arial" w:hAnsi="Arial" w:cs="Arial"/>
          <w:color w:val="auto"/>
          <w:sz w:val="20"/>
        </w:rPr>
        <w:t>mathematics</w:t>
      </w:r>
      <w:r w:rsidRPr="00163351">
        <w:rPr>
          <w:rFonts w:ascii="Arial" w:hAnsi="Arial" w:cs="Arial"/>
          <w:color w:val="auto"/>
          <w:sz w:val="20"/>
        </w:rPr>
        <w:t xml:space="preserve"> </w:t>
      </w:r>
      <w:r>
        <w:rPr>
          <w:rFonts w:ascii="Arial" w:hAnsi="Arial" w:cs="Arial"/>
          <w:color w:val="auto"/>
          <w:sz w:val="20"/>
        </w:rPr>
        <w:t>g</w:t>
      </w:r>
      <w:r w:rsidRPr="00163351">
        <w:rPr>
          <w:rFonts w:ascii="Arial" w:hAnsi="Arial" w:cs="Arial"/>
          <w:color w:val="auto"/>
          <w:sz w:val="20"/>
        </w:rPr>
        <w:t>rades 3–8</w:t>
      </w:r>
      <w:r>
        <w:rPr>
          <w:rFonts w:ascii="Arial" w:hAnsi="Arial" w:cs="Arial"/>
          <w:color w:val="auto"/>
          <w:sz w:val="20"/>
        </w:rPr>
        <w:t>, yearly measure of interim progress proficiency goals</w:t>
      </w:r>
    </w:p>
    <w:tbl>
      <w:tblPr>
        <w:tblW w:w="4345" w:type="pct"/>
        <w:tblLayout w:type="fixed"/>
        <w:tblLook w:val="04A0" w:firstRow="1" w:lastRow="0" w:firstColumn="1" w:lastColumn="0" w:noHBand="0" w:noVBand="1"/>
      </w:tblPr>
      <w:tblGrid>
        <w:gridCol w:w="2606"/>
        <w:gridCol w:w="1441"/>
        <w:gridCol w:w="1260"/>
        <w:gridCol w:w="1175"/>
        <w:gridCol w:w="1175"/>
        <w:gridCol w:w="1078"/>
        <w:gridCol w:w="1078"/>
        <w:gridCol w:w="1441"/>
      </w:tblGrid>
      <w:tr w:rsidR="00864159" w:rsidRPr="00C86335" w14:paraId="6F0D81E1" w14:textId="77777777" w:rsidTr="00E35886">
        <w:trPr>
          <w:trHeight w:val="395"/>
        </w:trPr>
        <w:tc>
          <w:tcPr>
            <w:tcW w:w="115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D8244BC" w14:textId="274F0C1A" w:rsidR="00864159" w:rsidRPr="00C86335" w:rsidRDefault="00864159" w:rsidP="00864159">
            <w:pPr>
              <w:spacing w:line="240" w:lineRule="auto"/>
              <w:rPr>
                <w:rFonts w:ascii="Arial" w:hAnsi="Arial" w:cs="Arial"/>
                <w:b/>
                <w:bCs/>
                <w:sz w:val="20"/>
              </w:rPr>
            </w:pPr>
            <w:r w:rsidRPr="00C86335">
              <w:rPr>
                <w:rFonts w:ascii="Arial" w:hAnsi="Arial" w:cs="Arial"/>
                <w:b/>
                <w:bCs/>
                <w:sz w:val="20"/>
              </w:rPr>
              <w:t xml:space="preserve">State Level </w:t>
            </w:r>
            <w:r w:rsidR="00AE03D8" w:rsidRPr="00C86335">
              <w:rPr>
                <w:rFonts w:ascii="Arial" w:hAnsi="Arial" w:cs="Arial"/>
                <w:b/>
                <w:bCs/>
                <w:sz w:val="20"/>
              </w:rPr>
              <w:t>Mathematics</w:t>
            </w:r>
          </w:p>
          <w:p w14:paraId="7993B137" w14:textId="77777777" w:rsidR="00864159" w:rsidRPr="00C86335" w:rsidRDefault="00864159" w:rsidP="00864159">
            <w:pPr>
              <w:spacing w:line="240" w:lineRule="auto"/>
              <w:rPr>
                <w:rFonts w:ascii="Arial" w:hAnsi="Arial" w:cs="Arial"/>
                <w:b/>
                <w:bCs/>
                <w:sz w:val="20"/>
              </w:rPr>
            </w:pPr>
            <w:r w:rsidRPr="00C86335">
              <w:rPr>
                <w:rFonts w:ascii="Arial" w:hAnsi="Arial" w:cs="Arial"/>
                <w:b/>
                <w:bCs/>
                <w:sz w:val="20"/>
              </w:rPr>
              <w:t>Grades 3-8</w:t>
            </w:r>
          </w:p>
          <w:p w14:paraId="60E9906C" w14:textId="77777777" w:rsidR="00864159" w:rsidRPr="0024166E" w:rsidRDefault="00864159" w:rsidP="00864159">
            <w:pPr>
              <w:spacing w:line="240" w:lineRule="auto"/>
              <w:rPr>
                <w:rFonts w:ascii="Arial" w:hAnsi="Arial" w:cs="Arial"/>
                <w:b/>
                <w:bCs/>
                <w:sz w:val="20"/>
              </w:rPr>
            </w:pPr>
          </w:p>
        </w:tc>
        <w:tc>
          <w:tcPr>
            <w:tcW w:w="64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B567518" w14:textId="7A9069AE" w:rsidR="00864159" w:rsidRPr="0024166E" w:rsidRDefault="00864159" w:rsidP="0024166E">
            <w:pPr>
              <w:spacing w:line="240" w:lineRule="auto"/>
              <w:jc w:val="center"/>
              <w:rPr>
                <w:rFonts w:ascii="Arial" w:hAnsi="Arial" w:cs="Arial"/>
                <w:b/>
                <w:bCs/>
                <w:sz w:val="20"/>
              </w:rPr>
            </w:pPr>
            <w:r w:rsidRPr="00C86335">
              <w:rPr>
                <w:rFonts w:ascii="Arial" w:hAnsi="Arial" w:cs="Arial"/>
                <w:b/>
                <w:bCs/>
                <w:sz w:val="20"/>
              </w:rPr>
              <w:t>2015–2016 Baseline Performance</w:t>
            </w:r>
          </w:p>
        </w:tc>
        <w:tc>
          <w:tcPr>
            <w:tcW w:w="56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79F5071" w14:textId="77777777" w:rsidR="00864159" w:rsidRPr="00C86335" w:rsidRDefault="00864159" w:rsidP="0024166E">
            <w:pPr>
              <w:spacing w:line="240" w:lineRule="auto"/>
              <w:contextualSpacing/>
              <w:jc w:val="center"/>
              <w:rPr>
                <w:rFonts w:ascii="Arial" w:hAnsi="Arial" w:cs="Arial"/>
                <w:b/>
                <w:bCs/>
                <w:sz w:val="20"/>
              </w:rPr>
            </w:pPr>
            <w:r w:rsidRPr="00C86335">
              <w:rPr>
                <w:rFonts w:ascii="Arial" w:hAnsi="Arial" w:cs="Arial"/>
                <w:b/>
                <w:bCs/>
                <w:sz w:val="20"/>
              </w:rPr>
              <w:t>Percent Increase</w:t>
            </w:r>
          </w:p>
          <w:p w14:paraId="25DDCE07" w14:textId="77777777" w:rsidR="00864159" w:rsidRPr="00C86335" w:rsidRDefault="00864159" w:rsidP="0024166E">
            <w:pPr>
              <w:spacing w:line="240" w:lineRule="auto"/>
              <w:contextualSpacing/>
              <w:jc w:val="center"/>
              <w:rPr>
                <w:rFonts w:ascii="Arial" w:hAnsi="Arial" w:cs="Arial"/>
                <w:b/>
                <w:bCs/>
                <w:sz w:val="20"/>
              </w:rPr>
            </w:pPr>
            <w:r w:rsidRPr="00C86335">
              <w:rPr>
                <w:rFonts w:ascii="Arial" w:hAnsi="Arial" w:cs="Arial"/>
                <w:b/>
                <w:bCs/>
                <w:sz w:val="20"/>
              </w:rPr>
              <w:t>Per Year</w:t>
            </w:r>
          </w:p>
          <w:p w14:paraId="3ED70F35" w14:textId="77777777" w:rsidR="00864159" w:rsidRPr="0024166E" w:rsidRDefault="00864159" w:rsidP="00864159">
            <w:pPr>
              <w:spacing w:line="240" w:lineRule="auto"/>
              <w:rPr>
                <w:rFonts w:ascii="Arial" w:hAnsi="Arial" w:cs="Arial"/>
                <w:b/>
                <w:bCs/>
                <w:sz w:val="20"/>
              </w:rPr>
            </w:pPr>
          </w:p>
        </w:tc>
        <w:tc>
          <w:tcPr>
            <w:tcW w:w="522"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6E6E4EE" w14:textId="368E3106" w:rsidR="00864159" w:rsidRPr="0024166E" w:rsidRDefault="00864159" w:rsidP="00864159">
            <w:pPr>
              <w:spacing w:line="240" w:lineRule="auto"/>
              <w:jc w:val="center"/>
              <w:rPr>
                <w:rFonts w:ascii="Arial" w:hAnsi="Arial" w:cs="Arial"/>
                <w:b/>
                <w:bCs/>
                <w:sz w:val="20"/>
              </w:rPr>
            </w:pPr>
            <w:r w:rsidRPr="0024166E">
              <w:rPr>
                <w:rFonts w:ascii="Arial" w:hAnsi="Arial" w:cs="Arial"/>
                <w:b/>
                <w:bCs/>
                <w:sz w:val="20"/>
              </w:rPr>
              <w:t>2025–26</w:t>
            </w:r>
            <w:r w:rsidRPr="0024166E">
              <w:rPr>
                <w:rFonts w:ascii="Arial" w:hAnsi="Arial" w:cs="Arial"/>
                <w:b/>
                <w:bCs/>
                <w:sz w:val="20"/>
              </w:rPr>
              <w:br/>
            </w:r>
          </w:p>
        </w:tc>
        <w:tc>
          <w:tcPr>
            <w:tcW w:w="522"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2E938D6" w14:textId="7579CA09" w:rsidR="00864159" w:rsidRPr="0024166E" w:rsidRDefault="00864159" w:rsidP="00864159">
            <w:pPr>
              <w:spacing w:line="240" w:lineRule="auto"/>
              <w:jc w:val="center"/>
              <w:rPr>
                <w:rFonts w:ascii="Arial" w:hAnsi="Arial" w:cs="Arial"/>
                <w:b/>
                <w:bCs/>
                <w:sz w:val="20"/>
              </w:rPr>
            </w:pPr>
            <w:r w:rsidRPr="0024166E">
              <w:rPr>
                <w:rFonts w:ascii="Arial" w:hAnsi="Arial" w:cs="Arial"/>
                <w:b/>
                <w:bCs/>
                <w:sz w:val="20"/>
              </w:rPr>
              <w:t>2026–27</w:t>
            </w:r>
            <w:r w:rsidRPr="0024166E">
              <w:rPr>
                <w:rFonts w:ascii="Arial" w:hAnsi="Arial" w:cs="Arial"/>
                <w:b/>
                <w:bCs/>
                <w:sz w:val="20"/>
              </w:rPr>
              <w:br/>
            </w:r>
          </w:p>
        </w:tc>
        <w:tc>
          <w:tcPr>
            <w:tcW w:w="479"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483609F6" w14:textId="631FA0EF" w:rsidR="00864159" w:rsidRPr="0024166E" w:rsidRDefault="00864159" w:rsidP="00864159">
            <w:pPr>
              <w:spacing w:line="240" w:lineRule="auto"/>
              <w:jc w:val="center"/>
              <w:rPr>
                <w:rFonts w:ascii="Arial" w:hAnsi="Arial" w:cs="Arial"/>
                <w:b/>
                <w:bCs/>
                <w:sz w:val="20"/>
              </w:rPr>
            </w:pPr>
            <w:r w:rsidRPr="0024166E">
              <w:rPr>
                <w:rFonts w:ascii="Arial" w:hAnsi="Arial" w:cs="Arial"/>
                <w:b/>
                <w:bCs/>
                <w:sz w:val="20"/>
              </w:rPr>
              <w:t>2027–28</w:t>
            </w:r>
            <w:r w:rsidRPr="0024166E">
              <w:rPr>
                <w:rFonts w:ascii="Arial" w:hAnsi="Arial" w:cs="Arial"/>
                <w:b/>
                <w:bCs/>
                <w:sz w:val="20"/>
              </w:rPr>
              <w:br/>
            </w:r>
          </w:p>
        </w:tc>
        <w:tc>
          <w:tcPr>
            <w:tcW w:w="47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196A6DA" w14:textId="77777777" w:rsidR="00864159" w:rsidRPr="00C86335" w:rsidRDefault="00864159" w:rsidP="00C86335">
            <w:pPr>
              <w:spacing w:line="240" w:lineRule="auto"/>
              <w:contextualSpacing/>
              <w:jc w:val="center"/>
              <w:rPr>
                <w:rFonts w:ascii="Arial" w:hAnsi="Arial" w:cs="Arial"/>
                <w:b/>
                <w:bCs/>
                <w:sz w:val="20"/>
              </w:rPr>
            </w:pPr>
            <w:r w:rsidRPr="00C86335">
              <w:rPr>
                <w:rFonts w:ascii="Arial" w:hAnsi="Arial" w:cs="Arial"/>
                <w:b/>
                <w:bCs/>
                <w:sz w:val="20"/>
              </w:rPr>
              <w:t>2028–29</w:t>
            </w:r>
          </w:p>
          <w:p w14:paraId="5C290041" w14:textId="5B8BB510" w:rsidR="00864159" w:rsidRPr="0024166E" w:rsidRDefault="00864159" w:rsidP="0024166E">
            <w:pPr>
              <w:spacing w:line="240" w:lineRule="auto"/>
              <w:jc w:val="center"/>
              <w:rPr>
                <w:rFonts w:ascii="Arial" w:hAnsi="Arial" w:cs="Arial"/>
                <w:b/>
                <w:bCs/>
                <w:sz w:val="20"/>
              </w:rPr>
            </w:pPr>
            <w:r w:rsidRPr="00C86335">
              <w:rPr>
                <w:rFonts w:ascii="Arial" w:hAnsi="Arial" w:cs="Arial"/>
                <w:b/>
                <w:bCs/>
                <w:sz w:val="20"/>
              </w:rPr>
              <w:t>12-Year Goal</w:t>
            </w:r>
          </w:p>
        </w:tc>
        <w:tc>
          <w:tcPr>
            <w:tcW w:w="64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65CB06D" w14:textId="77777777" w:rsidR="00864159" w:rsidRDefault="00864159" w:rsidP="00C86335">
            <w:pPr>
              <w:spacing w:line="240" w:lineRule="auto"/>
              <w:jc w:val="center"/>
              <w:rPr>
                <w:rFonts w:ascii="Arial" w:hAnsi="Arial" w:cs="Arial"/>
                <w:b/>
                <w:bCs/>
                <w:sz w:val="20"/>
              </w:rPr>
            </w:pPr>
            <w:r w:rsidRPr="00C86335">
              <w:rPr>
                <w:rFonts w:ascii="Arial" w:hAnsi="Arial" w:cs="Arial"/>
                <w:b/>
                <w:bCs/>
                <w:sz w:val="20"/>
              </w:rPr>
              <w:t>12-Year Percent</w:t>
            </w:r>
          </w:p>
          <w:p w14:paraId="2BFB9EF2" w14:textId="4EDEF762" w:rsidR="0087552B" w:rsidRPr="006C6023" w:rsidRDefault="0087552B" w:rsidP="0024166E">
            <w:pPr>
              <w:spacing w:line="240" w:lineRule="auto"/>
              <w:jc w:val="center"/>
              <w:rPr>
                <w:rFonts w:ascii="Arial" w:hAnsi="Arial" w:cs="Arial"/>
                <w:b/>
                <w:bCs/>
                <w:sz w:val="20"/>
              </w:rPr>
            </w:pPr>
            <w:r>
              <w:rPr>
                <w:rFonts w:ascii="Arial" w:hAnsi="Arial" w:cs="Arial"/>
                <w:b/>
                <w:bCs/>
                <w:sz w:val="20"/>
              </w:rPr>
              <w:t>Increase</w:t>
            </w:r>
          </w:p>
        </w:tc>
      </w:tr>
      <w:tr w:rsidR="00864159" w:rsidRPr="00C86335" w14:paraId="6E1D4843"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743C7804" w14:textId="77777777" w:rsidR="00864159" w:rsidRPr="0024166E" w:rsidRDefault="00864159" w:rsidP="006C6023">
            <w:pPr>
              <w:spacing w:line="240" w:lineRule="auto"/>
              <w:rPr>
                <w:rFonts w:ascii="Arial" w:hAnsi="Arial" w:cs="Arial"/>
                <w:b/>
                <w:bCs/>
                <w:sz w:val="20"/>
              </w:rPr>
            </w:pPr>
            <w:r w:rsidRPr="0024166E">
              <w:rPr>
                <w:rFonts w:ascii="Arial" w:hAnsi="Arial" w:cs="Arial"/>
                <w:b/>
                <w:bCs/>
                <w:sz w:val="20"/>
              </w:rPr>
              <w:t>All Students</w:t>
            </w:r>
          </w:p>
        </w:tc>
        <w:tc>
          <w:tcPr>
            <w:tcW w:w="640" w:type="pct"/>
            <w:tcBorders>
              <w:top w:val="nil"/>
              <w:left w:val="nil"/>
              <w:bottom w:val="single" w:sz="4" w:space="0" w:color="auto"/>
              <w:right w:val="single" w:sz="4" w:space="0" w:color="auto"/>
            </w:tcBorders>
            <w:noWrap/>
            <w:vAlign w:val="center"/>
            <w:hideMark/>
          </w:tcPr>
          <w:p w14:paraId="4ED52537"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47.0</w:t>
            </w:r>
          </w:p>
        </w:tc>
        <w:tc>
          <w:tcPr>
            <w:tcW w:w="560" w:type="pct"/>
            <w:tcBorders>
              <w:top w:val="nil"/>
              <w:left w:val="nil"/>
              <w:bottom w:val="single" w:sz="4" w:space="0" w:color="auto"/>
              <w:right w:val="single" w:sz="4" w:space="0" w:color="auto"/>
            </w:tcBorders>
            <w:noWrap/>
            <w:vAlign w:val="center"/>
            <w:hideMark/>
          </w:tcPr>
          <w:p w14:paraId="6201A13F"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2.709</w:t>
            </w:r>
          </w:p>
        </w:tc>
        <w:tc>
          <w:tcPr>
            <w:tcW w:w="522" w:type="pct"/>
            <w:tcBorders>
              <w:top w:val="single" w:sz="4" w:space="0" w:color="auto"/>
              <w:left w:val="nil"/>
              <w:bottom w:val="single" w:sz="4" w:space="0" w:color="auto"/>
              <w:right w:val="single" w:sz="4" w:space="0" w:color="auto"/>
            </w:tcBorders>
            <w:noWrap/>
            <w:vAlign w:val="center"/>
            <w:hideMark/>
          </w:tcPr>
          <w:p w14:paraId="579BF65A"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66.0</w:t>
            </w:r>
          </w:p>
        </w:tc>
        <w:tc>
          <w:tcPr>
            <w:tcW w:w="522" w:type="pct"/>
            <w:tcBorders>
              <w:top w:val="single" w:sz="4" w:space="0" w:color="auto"/>
              <w:left w:val="nil"/>
              <w:bottom w:val="single" w:sz="4" w:space="0" w:color="auto"/>
              <w:right w:val="single" w:sz="4" w:space="0" w:color="auto"/>
            </w:tcBorders>
            <w:noWrap/>
            <w:vAlign w:val="center"/>
            <w:hideMark/>
          </w:tcPr>
          <w:p w14:paraId="1546C3E6"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68.7</w:t>
            </w:r>
          </w:p>
        </w:tc>
        <w:tc>
          <w:tcPr>
            <w:tcW w:w="479" w:type="pct"/>
            <w:tcBorders>
              <w:top w:val="single" w:sz="4" w:space="0" w:color="auto"/>
              <w:left w:val="nil"/>
              <w:bottom w:val="single" w:sz="4" w:space="0" w:color="auto"/>
              <w:right w:val="single" w:sz="4" w:space="0" w:color="auto"/>
            </w:tcBorders>
            <w:noWrap/>
            <w:vAlign w:val="center"/>
            <w:hideMark/>
          </w:tcPr>
          <w:p w14:paraId="56D602EE"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71.4</w:t>
            </w:r>
          </w:p>
        </w:tc>
        <w:tc>
          <w:tcPr>
            <w:tcW w:w="479" w:type="pct"/>
            <w:tcBorders>
              <w:top w:val="single" w:sz="4" w:space="0" w:color="auto"/>
              <w:left w:val="nil"/>
              <w:bottom w:val="single" w:sz="4" w:space="0" w:color="auto"/>
              <w:right w:val="single" w:sz="4" w:space="0" w:color="auto"/>
            </w:tcBorders>
            <w:noWrap/>
            <w:vAlign w:val="center"/>
            <w:hideMark/>
          </w:tcPr>
          <w:p w14:paraId="6B3B3D06"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74.1</w:t>
            </w:r>
          </w:p>
        </w:tc>
        <w:tc>
          <w:tcPr>
            <w:tcW w:w="641" w:type="pct"/>
            <w:tcBorders>
              <w:top w:val="single" w:sz="4" w:space="0" w:color="auto"/>
              <w:left w:val="nil"/>
              <w:bottom w:val="single" w:sz="4" w:space="0" w:color="auto"/>
              <w:right w:val="single" w:sz="4" w:space="0" w:color="auto"/>
            </w:tcBorders>
            <w:noWrap/>
            <w:vAlign w:val="center"/>
            <w:hideMark/>
          </w:tcPr>
          <w:p w14:paraId="5AA103D7"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27.1</w:t>
            </w:r>
          </w:p>
        </w:tc>
      </w:tr>
      <w:tr w:rsidR="00864159" w:rsidRPr="00C86335" w14:paraId="734D61C9"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21BE850A" w14:textId="77777777" w:rsidR="00864159" w:rsidRPr="0024166E" w:rsidRDefault="00864159" w:rsidP="006C6023">
            <w:pPr>
              <w:spacing w:line="240" w:lineRule="auto"/>
              <w:rPr>
                <w:rFonts w:ascii="Arial" w:hAnsi="Arial" w:cs="Arial"/>
                <w:b/>
                <w:bCs/>
                <w:sz w:val="20"/>
              </w:rPr>
            </w:pPr>
            <w:r w:rsidRPr="0024166E">
              <w:rPr>
                <w:rFonts w:ascii="Arial" w:hAnsi="Arial" w:cs="Arial"/>
                <w:b/>
                <w:bCs/>
                <w:sz w:val="20"/>
              </w:rPr>
              <w:t>American Indian</w:t>
            </w:r>
          </w:p>
        </w:tc>
        <w:tc>
          <w:tcPr>
            <w:tcW w:w="640" w:type="pct"/>
            <w:tcBorders>
              <w:top w:val="nil"/>
              <w:left w:val="nil"/>
              <w:bottom w:val="single" w:sz="4" w:space="0" w:color="auto"/>
              <w:right w:val="single" w:sz="4" w:space="0" w:color="auto"/>
            </w:tcBorders>
            <w:noWrap/>
            <w:vAlign w:val="center"/>
            <w:hideMark/>
          </w:tcPr>
          <w:p w14:paraId="2502A4A1"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31.6</w:t>
            </w:r>
          </w:p>
        </w:tc>
        <w:tc>
          <w:tcPr>
            <w:tcW w:w="560" w:type="pct"/>
            <w:tcBorders>
              <w:top w:val="nil"/>
              <w:left w:val="nil"/>
              <w:bottom w:val="single" w:sz="4" w:space="0" w:color="auto"/>
              <w:right w:val="single" w:sz="4" w:space="0" w:color="auto"/>
            </w:tcBorders>
            <w:noWrap/>
            <w:vAlign w:val="center"/>
            <w:hideMark/>
          </w:tcPr>
          <w:p w14:paraId="71727FB7"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3.216</w:t>
            </w:r>
          </w:p>
        </w:tc>
        <w:tc>
          <w:tcPr>
            <w:tcW w:w="522" w:type="pct"/>
            <w:tcBorders>
              <w:top w:val="nil"/>
              <w:left w:val="nil"/>
              <w:bottom w:val="single" w:sz="4" w:space="0" w:color="auto"/>
              <w:right w:val="single" w:sz="4" w:space="0" w:color="auto"/>
            </w:tcBorders>
            <w:noWrap/>
            <w:vAlign w:val="center"/>
            <w:hideMark/>
          </w:tcPr>
          <w:p w14:paraId="1117E9AD"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54.1</w:t>
            </w:r>
          </w:p>
        </w:tc>
        <w:tc>
          <w:tcPr>
            <w:tcW w:w="522" w:type="pct"/>
            <w:tcBorders>
              <w:top w:val="nil"/>
              <w:left w:val="nil"/>
              <w:bottom w:val="single" w:sz="4" w:space="0" w:color="auto"/>
              <w:right w:val="single" w:sz="4" w:space="0" w:color="auto"/>
            </w:tcBorders>
            <w:noWrap/>
            <w:vAlign w:val="center"/>
            <w:hideMark/>
          </w:tcPr>
          <w:p w14:paraId="5D6C3AFC"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57.3</w:t>
            </w:r>
          </w:p>
        </w:tc>
        <w:tc>
          <w:tcPr>
            <w:tcW w:w="479" w:type="pct"/>
            <w:tcBorders>
              <w:top w:val="nil"/>
              <w:left w:val="nil"/>
              <w:bottom w:val="single" w:sz="4" w:space="0" w:color="auto"/>
              <w:right w:val="single" w:sz="4" w:space="0" w:color="auto"/>
            </w:tcBorders>
            <w:noWrap/>
            <w:vAlign w:val="center"/>
            <w:hideMark/>
          </w:tcPr>
          <w:p w14:paraId="1C1FBBAD"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60.5</w:t>
            </w:r>
          </w:p>
        </w:tc>
        <w:tc>
          <w:tcPr>
            <w:tcW w:w="479" w:type="pct"/>
            <w:tcBorders>
              <w:top w:val="nil"/>
              <w:left w:val="nil"/>
              <w:bottom w:val="single" w:sz="4" w:space="0" w:color="auto"/>
              <w:right w:val="single" w:sz="4" w:space="0" w:color="auto"/>
            </w:tcBorders>
            <w:noWrap/>
            <w:vAlign w:val="center"/>
            <w:hideMark/>
          </w:tcPr>
          <w:p w14:paraId="086FA56E"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63.8</w:t>
            </w:r>
          </w:p>
        </w:tc>
        <w:tc>
          <w:tcPr>
            <w:tcW w:w="641" w:type="pct"/>
            <w:tcBorders>
              <w:top w:val="nil"/>
              <w:left w:val="nil"/>
              <w:bottom w:val="single" w:sz="4" w:space="0" w:color="auto"/>
              <w:right w:val="single" w:sz="4" w:space="0" w:color="auto"/>
            </w:tcBorders>
            <w:noWrap/>
            <w:vAlign w:val="center"/>
            <w:hideMark/>
          </w:tcPr>
          <w:p w14:paraId="3E2A2EAC"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32.2</w:t>
            </w:r>
          </w:p>
        </w:tc>
      </w:tr>
      <w:tr w:rsidR="00864159" w:rsidRPr="00C86335" w14:paraId="396C2992"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7AAD4C09" w14:textId="77777777" w:rsidR="00864159" w:rsidRPr="0024166E" w:rsidRDefault="00864159" w:rsidP="0024166E">
            <w:pPr>
              <w:spacing w:line="240" w:lineRule="auto"/>
              <w:rPr>
                <w:rFonts w:ascii="Arial" w:hAnsi="Arial" w:cs="Arial"/>
                <w:b/>
                <w:bCs/>
                <w:sz w:val="20"/>
              </w:rPr>
            </w:pPr>
            <w:r w:rsidRPr="0024166E">
              <w:rPr>
                <w:rFonts w:ascii="Arial" w:hAnsi="Arial" w:cs="Arial"/>
                <w:b/>
                <w:bCs/>
                <w:sz w:val="20"/>
              </w:rPr>
              <w:t>Asian</w:t>
            </w:r>
          </w:p>
        </w:tc>
        <w:tc>
          <w:tcPr>
            <w:tcW w:w="640" w:type="pct"/>
            <w:tcBorders>
              <w:top w:val="nil"/>
              <w:left w:val="nil"/>
              <w:bottom w:val="single" w:sz="4" w:space="0" w:color="auto"/>
              <w:right w:val="single" w:sz="4" w:space="0" w:color="auto"/>
            </w:tcBorders>
            <w:noWrap/>
            <w:vAlign w:val="center"/>
            <w:hideMark/>
          </w:tcPr>
          <w:p w14:paraId="654AE463"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76.1</w:t>
            </w:r>
          </w:p>
        </w:tc>
        <w:tc>
          <w:tcPr>
            <w:tcW w:w="560" w:type="pct"/>
            <w:tcBorders>
              <w:top w:val="nil"/>
              <w:left w:val="nil"/>
              <w:bottom w:val="single" w:sz="4" w:space="0" w:color="auto"/>
              <w:right w:val="single" w:sz="4" w:space="0" w:color="auto"/>
            </w:tcBorders>
            <w:noWrap/>
            <w:vAlign w:val="center"/>
            <w:hideMark/>
          </w:tcPr>
          <w:p w14:paraId="05289232"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1.763</w:t>
            </w:r>
          </w:p>
        </w:tc>
        <w:tc>
          <w:tcPr>
            <w:tcW w:w="522" w:type="pct"/>
            <w:tcBorders>
              <w:top w:val="nil"/>
              <w:left w:val="nil"/>
              <w:bottom w:val="single" w:sz="4" w:space="0" w:color="auto"/>
              <w:right w:val="single" w:sz="4" w:space="0" w:color="auto"/>
            </w:tcBorders>
            <w:noWrap/>
            <w:vAlign w:val="center"/>
            <w:hideMark/>
          </w:tcPr>
          <w:p w14:paraId="4D7D382C"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88.4</w:t>
            </w:r>
          </w:p>
        </w:tc>
        <w:tc>
          <w:tcPr>
            <w:tcW w:w="522" w:type="pct"/>
            <w:tcBorders>
              <w:top w:val="nil"/>
              <w:left w:val="nil"/>
              <w:bottom w:val="single" w:sz="4" w:space="0" w:color="auto"/>
              <w:right w:val="single" w:sz="4" w:space="0" w:color="auto"/>
            </w:tcBorders>
            <w:noWrap/>
            <w:vAlign w:val="center"/>
            <w:hideMark/>
          </w:tcPr>
          <w:p w14:paraId="57E0C6E6"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90.2</w:t>
            </w:r>
          </w:p>
        </w:tc>
        <w:tc>
          <w:tcPr>
            <w:tcW w:w="479" w:type="pct"/>
            <w:tcBorders>
              <w:top w:val="nil"/>
              <w:left w:val="nil"/>
              <w:bottom w:val="single" w:sz="4" w:space="0" w:color="auto"/>
              <w:right w:val="single" w:sz="4" w:space="0" w:color="auto"/>
            </w:tcBorders>
            <w:noWrap/>
            <w:vAlign w:val="center"/>
            <w:hideMark/>
          </w:tcPr>
          <w:p w14:paraId="653B5A5E"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92.0</w:t>
            </w:r>
          </w:p>
        </w:tc>
        <w:tc>
          <w:tcPr>
            <w:tcW w:w="479" w:type="pct"/>
            <w:tcBorders>
              <w:top w:val="nil"/>
              <w:left w:val="nil"/>
              <w:bottom w:val="single" w:sz="4" w:space="0" w:color="auto"/>
              <w:right w:val="single" w:sz="4" w:space="0" w:color="auto"/>
            </w:tcBorders>
            <w:noWrap/>
            <w:vAlign w:val="center"/>
            <w:hideMark/>
          </w:tcPr>
          <w:p w14:paraId="3106A8CF"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93.7</w:t>
            </w:r>
          </w:p>
        </w:tc>
        <w:tc>
          <w:tcPr>
            <w:tcW w:w="641" w:type="pct"/>
            <w:tcBorders>
              <w:top w:val="nil"/>
              <w:left w:val="nil"/>
              <w:bottom w:val="single" w:sz="4" w:space="0" w:color="auto"/>
              <w:right w:val="single" w:sz="4" w:space="0" w:color="auto"/>
            </w:tcBorders>
            <w:noWrap/>
            <w:vAlign w:val="center"/>
            <w:hideMark/>
          </w:tcPr>
          <w:p w14:paraId="6786CCD0"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17.6</w:t>
            </w:r>
          </w:p>
        </w:tc>
      </w:tr>
      <w:tr w:rsidR="00864159" w:rsidRPr="00C86335" w14:paraId="06994BEA"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05838FFF" w14:textId="77777777" w:rsidR="00864159" w:rsidRPr="0024166E" w:rsidRDefault="00864159" w:rsidP="0024166E">
            <w:pPr>
              <w:spacing w:line="240" w:lineRule="auto"/>
              <w:rPr>
                <w:rFonts w:ascii="Arial" w:hAnsi="Arial" w:cs="Arial"/>
                <w:b/>
                <w:bCs/>
                <w:sz w:val="20"/>
              </w:rPr>
            </w:pPr>
            <w:r w:rsidRPr="0024166E">
              <w:rPr>
                <w:rFonts w:ascii="Arial" w:hAnsi="Arial" w:cs="Arial"/>
                <w:b/>
                <w:bCs/>
                <w:sz w:val="20"/>
              </w:rPr>
              <w:t>Black</w:t>
            </w:r>
          </w:p>
        </w:tc>
        <w:tc>
          <w:tcPr>
            <w:tcW w:w="640" w:type="pct"/>
            <w:tcBorders>
              <w:top w:val="nil"/>
              <w:left w:val="nil"/>
              <w:bottom w:val="single" w:sz="4" w:space="0" w:color="auto"/>
              <w:right w:val="single" w:sz="4" w:space="0" w:color="auto"/>
            </w:tcBorders>
            <w:noWrap/>
            <w:vAlign w:val="center"/>
            <w:hideMark/>
          </w:tcPr>
          <w:p w14:paraId="2337E7D4"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27.1</w:t>
            </w:r>
          </w:p>
        </w:tc>
        <w:tc>
          <w:tcPr>
            <w:tcW w:w="560" w:type="pct"/>
            <w:tcBorders>
              <w:top w:val="nil"/>
              <w:left w:val="nil"/>
              <w:bottom w:val="single" w:sz="4" w:space="0" w:color="auto"/>
              <w:right w:val="single" w:sz="4" w:space="0" w:color="auto"/>
            </w:tcBorders>
            <w:noWrap/>
            <w:vAlign w:val="center"/>
            <w:hideMark/>
          </w:tcPr>
          <w:p w14:paraId="32C580B7"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3.363</w:t>
            </w:r>
          </w:p>
        </w:tc>
        <w:tc>
          <w:tcPr>
            <w:tcW w:w="522" w:type="pct"/>
            <w:tcBorders>
              <w:top w:val="nil"/>
              <w:left w:val="nil"/>
              <w:bottom w:val="single" w:sz="4" w:space="0" w:color="auto"/>
              <w:right w:val="single" w:sz="4" w:space="0" w:color="auto"/>
            </w:tcBorders>
            <w:noWrap/>
            <w:vAlign w:val="center"/>
            <w:hideMark/>
          </w:tcPr>
          <w:p w14:paraId="45F711FA"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50.6</w:t>
            </w:r>
          </w:p>
        </w:tc>
        <w:tc>
          <w:tcPr>
            <w:tcW w:w="522" w:type="pct"/>
            <w:tcBorders>
              <w:top w:val="nil"/>
              <w:left w:val="nil"/>
              <w:bottom w:val="single" w:sz="4" w:space="0" w:color="auto"/>
              <w:right w:val="single" w:sz="4" w:space="0" w:color="auto"/>
            </w:tcBorders>
            <w:noWrap/>
            <w:vAlign w:val="center"/>
            <w:hideMark/>
          </w:tcPr>
          <w:p w14:paraId="32798ED2"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54.0</w:t>
            </w:r>
          </w:p>
        </w:tc>
        <w:tc>
          <w:tcPr>
            <w:tcW w:w="479" w:type="pct"/>
            <w:tcBorders>
              <w:top w:val="nil"/>
              <w:left w:val="nil"/>
              <w:bottom w:val="single" w:sz="4" w:space="0" w:color="auto"/>
              <w:right w:val="single" w:sz="4" w:space="0" w:color="auto"/>
            </w:tcBorders>
            <w:noWrap/>
            <w:vAlign w:val="center"/>
            <w:hideMark/>
          </w:tcPr>
          <w:p w14:paraId="7C68D073"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57.4</w:t>
            </w:r>
          </w:p>
        </w:tc>
        <w:tc>
          <w:tcPr>
            <w:tcW w:w="479" w:type="pct"/>
            <w:tcBorders>
              <w:top w:val="nil"/>
              <w:left w:val="nil"/>
              <w:bottom w:val="single" w:sz="4" w:space="0" w:color="auto"/>
              <w:right w:val="single" w:sz="4" w:space="0" w:color="auto"/>
            </w:tcBorders>
            <w:noWrap/>
            <w:vAlign w:val="center"/>
            <w:hideMark/>
          </w:tcPr>
          <w:p w14:paraId="5C11B487" w14:textId="77777777" w:rsidR="00864159" w:rsidRPr="0024166E" w:rsidRDefault="00864159" w:rsidP="00A25B20">
            <w:pPr>
              <w:spacing w:line="240" w:lineRule="auto"/>
              <w:jc w:val="center"/>
              <w:rPr>
                <w:rFonts w:ascii="Arial" w:hAnsi="Arial" w:cs="Arial"/>
                <w:sz w:val="20"/>
              </w:rPr>
            </w:pPr>
            <w:r w:rsidRPr="0024166E">
              <w:rPr>
                <w:rFonts w:ascii="Arial" w:hAnsi="Arial" w:cs="Arial"/>
                <w:sz w:val="20"/>
              </w:rPr>
              <w:t>60.7</w:t>
            </w:r>
          </w:p>
        </w:tc>
        <w:tc>
          <w:tcPr>
            <w:tcW w:w="641" w:type="pct"/>
            <w:tcBorders>
              <w:top w:val="nil"/>
              <w:left w:val="nil"/>
              <w:bottom w:val="single" w:sz="4" w:space="0" w:color="auto"/>
              <w:right w:val="single" w:sz="4" w:space="0" w:color="auto"/>
            </w:tcBorders>
            <w:noWrap/>
            <w:vAlign w:val="center"/>
            <w:hideMark/>
          </w:tcPr>
          <w:p w14:paraId="2E47767C" w14:textId="77777777" w:rsidR="00864159" w:rsidRPr="0024166E" w:rsidRDefault="00864159" w:rsidP="00A25B20">
            <w:pPr>
              <w:spacing w:line="240" w:lineRule="auto"/>
              <w:jc w:val="center"/>
              <w:rPr>
                <w:rFonts w:ascii="Arial" w:hAnsi="Arial" w:cs="Arial"/>
                <w:b/>
                <w:bCs/>
                <w:sz w:val="20"/>
              </w:rPr>
            </w:pPr>
            <w:r w:rsidRPr="0024166E">
              <w:rPr>
                <w:rFonts w:ascii="Arial" w:hAnsi="Arial" w:cs="Arial"/>
                <w:b/>
                <w:bCs/>
                <w:sz w:val="20"/>
              </w:rPr>
              <w:t>33.6</w:t>
            </w:r>
          </w:p>
        </w:tc>
      </w:tr>
      <w:tr w:rsidR="00864159" w:rsidRPr="00C86335" w14:paraId="6AD4738E"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420213D1" w14:textId="77777777" w:rsidR="00864159" w:rsidRPr="00EC4844" w:rsidRDefault="00864159" w:rsidP="00EC4844">
            <w:pPr>
              <w:spacing w:line="240" w:lineRule="auto"/>
              <w:rPr>
                <w:rFonts w:ascii="Arial" w:hAnsi="Arial" w:cs="Arial"/>
                <w:b/>
                <w:bCs/>
                <w:sz w:val="20"/>
              </w:rPr>
            </w:pPr>
            <w:r w:rsidRPr="00EC4844">
              <w:rPr>
                <w:rFonts w:ascii="Arial" w:hAnsi="Arial" w:cs="Arial"/>
                <w:b/>
                <w:bCs/>
                <w:sz w:val="20"/>
              </w:rPr>
              <w:t>Hispanic</w:t>
            </w:r>
          </w:p>
        </w:tc>
        <w:tc>
          <w:tcPr>
            <w:tcW w:w="640" w:type="pct"/>
            <w:tcBorders>
              <w:top w:val="nil"/>
              <w:left w:val="nil"/>
              <w:bottom w:val="single" w:sz="4" w:space="0" w:color="auto"/>
              <w:right w:val="single" w:sz="4" w:space="0" w:color="auto"/>
            </w:tcBorders>
            <w:noWrap/>
            <w:vAlign w:val="center"/>
            <w:hideMark/>
          </w:tcPr>
          <w:p w14:paraId="64BF2186"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38.1</w:t>
            </w:r>
          </w:p>
        </w:tc>
        <w:tc>
          <w:tcPr>
            <w:tcW w:w="560" w:type="pct"/>
            <w:tcBorders>
              <w:top w:val="nil"/>
              <w:left w:val="nil"/>
              <w:bottom w:val="single" w:sz="4" w:space="0" w:color="auto"/>
              <w:right w:val="single" w:sz="4" w:space="0" w:color="auto"/>
            </w:tcBorders>
            <w:noWrap/>
            <w:vAlign w:val="center"/>
            <w:hideMark/>
          </w:tcPr>
          <w:p w14:paraId="13760167"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3.004</w:t>
            </w:r>
          </w:p>
        </w:tc>
        <w:tc>
          <w:tcPr>
            <w:tcW w:w="522" w:type="pct"/>
            <w:tcBorders>
              <w:top w:val="nil"/>
              <w:left w:val="nil"/>
              <w:bottom w:val="single" w:sz="4" w:space="0" w:color="auto"/>
              <w:right w:val="single" w:sz="4" w:space="0" w:color="auto"/>
            </w:tcBorders>
            <w:noWrap/>
            <w:vAlign w:val="center"/>
            <w:hideMark/>
          </w:tcPr>
          <w:p w14:paraId="7F565ECD"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59.1</w:t>
            </w:r>
          </w:p>
        </w:tc>
        <w:tc>
          <w:tcPr>
            <w:tcW w:w="522" w:type="pct"/>
            <w:tcBorders>
              <w:top w:val="nil"/>
              <w:left w:val="nil"/>
              <w:bottom w:val="single" w:sz="4" w:space="0" w:color="auto"/>
              <w:right w:val="single" w:sz="4" w:space="0" w:color="auto"/>
            </w:tcBorders>
            <w:noWrap/>
            <w:vAlign w:val="center"/>
            <w:hideMark/>
          </w:tcPr>
          <w:p w14:paraId="2F7FEC2A"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62.1</w:t>
            </w:r>
          </w:p>
        </w:tc>
        <w:tc>
          <w:tcPr>
            <w:tcW w:w="479" w:type="pct"/>
            <w:tcBorders>
              <w:top w:val="nil"/>
              <w:left w:val="nil"/>
              <w:bottom w:val="single" w:sz="4" w:space="0" w:color="auto"/>
              <w:right w:val="single" w:sz="4" w:space="0" w:color="auto"/>
            </w:tcBorders>
            <w:noWrap/>
            <w:vAlign w:val="center"/>
            <w:hideMark/>
          </w:tcPr>
          <w:p w14:paraId="5993CD51"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65.1</w:t>
            </w:r>
          </w:p>
        </w:tc>
        <w:tc>
          <w:tcPr>
            <w:tcW w:w="479" w:type="pct"/>
            <w:tcBorders>
              <w:top w:val="nil"/>
              <w:left w:val="nil"/>
              <w:bottom w:val="single" w:sz="4" w:space="0" w:color="auto"/>
              <w:right w:val="single" w:sz="4" w:space="0" w:color="auto"/>
            </w:tcBorders>
            <w:noWrap/>
            <w:vAlign w:val="center"/>
            <w:hideMark/>
          </w:tcPr>
          <w:p w14:paraId="16386FE6"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68.1</w:t>
            </w:r>
          </w:p>
        </w:tc>
        <w:tc>
          <w:tcPr>
            <w:tcW w:w="641" w:type="pct"/>
            <w:tcBorders>
              <w:top w:val="nil"/>
              <w:left w:val="nil"/>
              <w:bottom w:val="single" w:sz="4" w:space="0" w:color="auto"/>
              <w:right w:val="single" w:sz="4" w:space="0" w:color="auto"/>
            </w:tcBorders>
            <w:noWrap/>
            <w:vAlign w:val="center"/>
            <w:hideMark/>
          </w:tcPr>
          <w:p w14:paraId="0E298B5F"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30.0</w:t>
            </w:r>
          </w:p>
        </w:tc>
      </w:tr>
      <w:tr w:rsidR="00864159" w:rsidRPr="00C86335" w14:paraId="78BB6A22"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736209B1" w14:textId="77777777" w:rsidR="00864159" w:rsidRPr="00EC4844" w:rsidRDefault="00864159" w:rsidP="00EC4844">
            <w:pPr>
              <w:spacing w:line="240" w:lineRule="auto"/>
              <w:rPr>
                <w:rFonts w:ascii="Arial" w:hAnsi="Arial" w:cs="Arial"/>
                <w:b/>
                <w:bCs/>
                <w:sz w:val="20"/>
              </w:rPr>
            </w:pPr>
            <w:r w:rsidRPr="00EC4844">
              <w:rPr>
                <w:rFonts w:ascii="Arial" w:hAnsi="Arial" w:cs="Arial"/>
                <w:b/>
                <w:bCs/>
                <w:sz w:val="20"/>
              </w:rPr>
              <w:t>Two or more races</w:t>
            </w:r>
          </w:p>
        </w:tc>
        <w:tc>
          <w:tcPr>
            <w:tcW w:w="640" w:type="pct"/>
            <w:tcBorders>
              <w:top w:val="nil"/>
              <w:left w:val="nil"/>
              <w:bottom w:val="single" w:sz="4" w:space="0" w:color="auto"/>
              <w:right w:val="single" w:sz="4" w:space="0" w:color="auto"/>
            </w:tcBorders>
            <w:noWrap/>
            <w:vAlign w:val="center"/>
            <w:hideMark/>
          </w:tcPr>
          <w:p w14:paraId="131AB5ED"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45.1</w:t>
            </w:r>
          </w:p>
        </w:tc>
        <w:tc>
          <w:tcPr>
            <w:tcW w:w="560" w:type="pct"/>
            <w:tcBorders>
              <w:top w:val="nil"/>
              <w:left w:val="nil"/>
              <w:bottom w:val="single" w:sz="4" w:space="0" w:color="auto"/>
              <w:right w:val="single" w:sz="4" w:space="0" w:color="auto"/>
            </w:tcBorders>
            <w:noWrap/>
            <w:vAlign w:val="center"/>
            <w:hideMark/>
          </w:tcPr>
          <w:p w14:paraId="02C20ADC"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2.775</w:t>
            </w:r>
          </w:p>
        </w:tc>
        <w:tc>
          <w:tcPr>
            <w:tcW w:w="522" w:type="pct"/>
            <w:tcBorders>
              <w:top w:val="nil"/>
              <w:left w:val="nil"/>
              <w:bottom w:val="single" w:sz="4" w:space="0" w:color="auto"/>
              <w:right w:val="single" w:sz="4" w:space="0" w:color="auto"/>
            </w:tcBorders>
            <w:noWrap/>
            <w:vAlign w:val="center"/>
            <w:hideMark/>
          </w:tcPr>
          <w:p w14:paraId="515E4FDF"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64.5</w:t>
            </w:r>
          </w:p>
        </w:tc>
        <w:tc>
          <w:tcPr>
            <w:tcW w:w="522" w:type="pct"/>
            <w:tcBorders>
              <w:top w:val="nil"/>
              <w:left w:val="nil"/>
              <w:bottom w:val="single" w:sz="4" w:space="0" w:color="auto"/>
              <w:right w:val="single" w:sz="4" w:space="0" w:color="auto"/>
            </w:tcBorders>
            <w:noWrap/>
            <w:vAlign w:val="center"/>
            <w:hideMark/>
          </w:tcPr>
          <w:p w14:paraId="2A2AFD06"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67.3</w:t>
            </w:r>
          </w:p>
        </w:tc>
        <w:tc>
          <w:tcPr>
            <w:tcW w:w="479" w:type="pct"/>
            <w:tcBorders>
              <w:top w:val="nil"/>
              <w:left w:val="nil"/>
              <w:bottom w:val="single" w:sz="4" w:space="0" w:color="auto"/>
              <w:right w:val="single" w:sz="4" w:space="0" w:color="auto"/>
            </w:tcBorders>
            <w:noWrap/>
            <w:vAlign w:val="center"/>
            <w:hideMark/>
          </w:tcPr>
          <w:p w14:paraId="4E398EF1"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70.1</w:t>
            </w:r>
          </w:p>
        </w:tc>
        <w:tc>
          <w:tcPr>
            <w:tcW w:w="479" w:type="pct"/>
            <w:tcBorders>
              <w:top w:val="nil"/>
              <w:left w:val="nil"/>
              <w:bottom w:val="single" w:sz="4" w:space="0" w:color="auto"/>
              <w:right w:val="single" w:sz="4" w:space="0" w:color="auto"/>
            </w:tcBorders>
            <w:noWrap/>
            <w:vAlign w:val="center"/>
            <w:hideMark/>
          </w:tcPr>
          <w:p w14:paraId="112DA37F"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72.9</w:t>
            </w:r>
          </w:p>
        </w:tc>
        <w:tc>
          <w:tcPr>
            <w:tcW w:w="641" w:type="pct"/>
            <w:tcBorders>
              <w:top w:val="nil"/>
              <w:left w:val="nil"/>
              <w:bottom w:val="single" w:sz="4" w:space="0" w:color="auto"/>
              <w:right w:val="single" w:sz="4" w:space="0" w:color="auto"/>
            </w:tcBorders>
            <w:noWrap/>
            <w:vAlign w:val="center"/>
            <w:hideMark/>
          </w:tcPr>
          <w:p w14:paraId="1EE600DA"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27.8</w:t>
            </w:r>
          </w:p>
        </w:tc>
      </w:tr>
      <w:tr w:rsidR="00864159" w:rsidRPr="00C86335" w14:paraId="3CD5E7FC"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48E38A5F" w14:textId="77777777" w:rsidR="00864159" w:rsidRPr="00EC4844" w:rsidRDefault="00864159" w:rsidP="00EC4844">
            <w:pPr>
              <w:spacing w:line="240" w:lineRule="auto"/>
              <w:rPr>
                <w:rFonts w:ascii="Arial" w:hAnsi="Arial" w:cs="Arial"/>
                <w:b/>
                <w:bCs/>
                <w:sz w:val="20"/>
              </w:rPr>
            </w:pPr>
            <w:r w:rsidRPr="00EC4844">
              <w:rPr>
                <w:rFonts w:ascii="Arial" w:hAnsi="Arial" w:cs="Arial"/>
                <w:b/>
                <w:bCs/>
                <w:sz w:val="20"/>
              </w:rPr>
              <w:t>White</w:t>
            </w:r>
          </w:p>
        </w:tc>
        <w:tc>
          <w:tcPr>
            <w:tcW w:w="640" w:type="pct"/>
            <w:tcBorders>
              <w:top w:val="nil"/>
              <w:left w:val="nil"/>
              <w:bottom w:val="single" w:sz="4" w:space="0" w:color="auto"/>
              <w:right w:val="single" w:sz="4" w:space="0" w:color="auto"/>
            </w:tcBorders>
            <w:noWrap/>
            <w:vAlign w:val="center"/>
            <w:hideMark/>
          </w:tcPr>
          <w:p w14:paraId="5C402744"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58.9</w:t>
            </w:r>
          </w:p>
        </w:tc>
        <w:tc>
          <w:tcPr>
            <w:tcW w:w="560" w:type="pct"/>
            <w:tcBorders>
              <w:top w:val="nil"/>
              <w:left w:val="nil"/>
              <w:bottom w:val="single" w:sz="4" w:space="0" w:color="auto"/>
              <w:right w:val="single" w:sz="4" w:space="0" w:color="auto"/>
            </w:tcBorders>
            <w:noWrap/>
            <w:vAlign w:val="center"/>
            <w:hideMark/>
          </w:tcPr>
          <w:p w14:paraId="242F43DB"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2.325</w:t>
            </w:r>
          </w:p>
        </w:tc>
        <w:tc>
          <w:tcPr>
            <w:tcW w:w="522" w:type="pct"/>
            <w:tcBorders>
              <w:top w:val="nil"/>
              <w:left w:val="nil"/>
              <w:bottom w:val="single" w:sz="4" w:space="0" w:color="auto"/>
              <w:right w:val="single" w:sz="4" w:space="0" w:color="auto"/>
            </w:tcBorders>
            <w:noWrap/>
            <w:vAlign w:val="center"/>
            <w:hideMark/>
          </w:tcPr>
          <w:p w14:paraId="0A2F704D"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75.2</w:t>
            </w:r>
          </w:p>
        </w:tc>
        <w:tc>
          <w:tcPr>
            <w:tcW w:w="522" w:type="pct"/>
            <w:tcBorders>
              <w:top w:val="nil"/>
              <w:left w:val="nil"/>
              <w:bottom w:val="single" w:sz="4" w:space="0" w:color="auto"/>
              <w:right w:val="single" w:sz="4" w:space="0" w:color="auto"/>
            </w:tcBorders>
            <w:noWrap/>
            <w:vAlign w:val="center"/>
            <w:hideMark/>
          </w:tcPr>
          <w:p w14:paraId="58F3E3C8"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77.5</w:t>
            </w:r>
          </w:p>
        </w:tc>
        <w:tc>
          <w:tcPr>
            <w:tcW w:w="479" w:type="pct"/>
            <w:tcBorders>
              <w:top w:val="nil"/>
              <w:left w:val="nil"/>
              <w:bottom w:val="single" w:sz="4" w:space="0" w:color="auto"/>
              <w:right w:val="single" w:sz="4" w:space="0" w:color="auto"/>
            </w:tcBorders>
            <w:noWrap/>
            <w:vAlign w:val="center"/>
            <w:hideMark/>
          </w:tcPr>
          <w:p w14:paraId="1F765722"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79.8</w:t>
            </w:r>
          </w:p>
        </w:tc>
        <w:tc>
          <w:tcPr>
            <w:tcW w:w="479" w:type="pct"/>
            <w:tcBorders>
              <w:top w:val="nil"/>
              <w:left w:val="nil"/>
              <w:bottom w:val="single" w:sz="4" w:space="0" w:color="auto"/>
              <w:right w:val="single" w:sz="4" w:space="0" w:color="auto"/>
            </w:tcBorders>
            <w:noWrap/>
            <w:vAlign w:val="center"/>
            <w:hideMark/>
          </w:tcPr>
          <w:p w14:paraId="19F98746"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82.2</w:t>
            </w:r>
          </w:p>
        </w:tc>
        <w:tc>
          <w:tcPr>
            <w:tcW w:w="641" w:type="pct"/>
            <w:tcBorders>
              <w:top w:val="nil"/>
              <w:left w:val="nil"/>
              <w:bottom w:val="single" w:sz="4" w:space="0" w:color="auto"/>
              <w:right w:val="single" w:sz="4" w:space="0" w:color="auto"/>
            </w:tcBorders>
            <w:noWrap/>
            <w:vAlign w:val="center"/>
            <w:hideMark/>
          </w:tcPr>
          <w:p w14:paraId="14C74CB1"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23.3</w:t>
            </w:r>
          </w:p>
        </w:tc>
      </w:tr>
      <w:tr w:rsidR="00864159" w:rsidRPr="00C86335" w14:paraId="72ED7E4A" w14:textId="77777777" w:rsidTr="001F4941">
        <w:trPr>
          <w:trHeight w:val="290"/>
        </w:trPr>
        <w:tc>
          <w:tcPr>
            <w:tcW w:w="1158" w:type="pct"/>
            <w:tcBorders>
              <w:top w:val="nil"/>
              <w:left w:val="single" w:sz="4" w:space="0" w:color="auto"/>
              <w:bottom w:val="single" w:sz="4" w:space="0" w:color="auto"/>
              <w:right w:val="single" w:sz="4" w:space="0" w:color="auto"/>
            </w:tcBorders>
            <w:noWrap/>
            <w:vAlign w:val="bottom"/>
            <w:hideMark/>
          </w:tcPr>
          <w:p w14:paraId="75318589" w14:textId="77777777" w:rsidR="00864159" w:rsidRPr="00EC4844" w:rsidRDefault="00864159" w:rsidP="00EC4844">
            <w:pPr>
              <w:spacing w:line="240" w:lineRule="auto"/>
              <w:rPr>
                <w:rFonts w:ascii="Arial" w:hAnsi="Arial" w:cs="Arial"/>
                <w:b/>
                <w:bCs/>
                <w:sz w:val="20"/>
              </w:rPr>
            </w:pPr>
            <w:r w:rsidRPr="00EC4844">
              <w:rPr>
                <w:rFonts w:ascii="Arial" w:hAnsi="Arial" w:cs="Arial"/>
                <w:b/>
                <w:bCs/>
                <w:sz w:val="20"/>
              </w:rPr>
              <w:t>Economically Disadvantaged Students</w:t>
            </w:r>
          </w:p>
        </w:tc>
        <w:tc>
          <w:tcPr>
            <w:tcW w:w="640" w:type="pct"/>
            <w:tcBorders>
              <w:top w:val="nil"/>
              <w:left w:val="nil"/>
              <w:bottom w:val="single" w:sz="4" w:space="0" w:color="auto"/>
              <w:right w:val="single" w:sz="4" w:space="0" w:color="auto"/>
            </w:tcBorders>
            <w:noWrap/>
            <w:vAlign w:val="center"/>
            <w:hideMark/>
          </w:tcPr>
          <w:p w14:paraId="07DCD48E"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32.1</w:t>
            </w:r>
          </w:p>
        </w:tc>
        <w:tc>
          <w:tcPr>
            <w:tcW w:w="560" w:type="pct"/>
            <w:tcBorders>
              <w:top w:val="nil"/>
              <w:left w:val="nil"/>
              <w:bottom w:val="single" w:sz="4" w:space="0" w:color="auto"/>
              <w:right w:val="single" w:sz="4" w:space="0" w:color="auto"/>
            </w:tcBorders>
            <w:noWrap/>
            <w:vAlign w:val="center"/>
            <w:hideMark/>
          </w:tcPr>
          <w:p w14:paraId="3DD301C2"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3.200</w:t>
            </w:r>
          </w:p>
        </w:tc>
        <w:tc>
          <w:tcPr>
            <w:tcW w:w="522" w:type="pct"/>
            <w:tcBorders>
              <w:top w:val="nil"/>
              <w:left w:val="nil"/>
              <w:bottom w:val="single" w:sz="4" w:space="0" w:color="auto"/>
              <w:right w:val="single" w:sz="4" w:space="0" w:color="auto"/>
            </w:tcBorders>
            <w:noWrap/>
            <w:vAlign w:val="center"/>
            <w:hideMark/>
          </w:tcPr>
          <w:p w14:paraId="022F209B"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54.5</w:t>
            </w:r>
          </w:p>
        </w:tc>
        <w:tc>
          <w:tcPr>
            <w:tcW w:w="522" w:type="pct"/>
            <w:tcBorders>
              <w:top w:val="nil"/>
              <w:left w:val="nil"/>
              <w:bottom w:val="single" w:sz="4" w:space="0" w:color="auto"/>
              <w:right w:val="single" w:sz="4" w:space="0" w:color="auto"/>
            </w:tcBorders>
            <w:noWrap/>
            <w:vAlign w:val="center"/>
            <w:hideMark/>
          </w:tcPr>
          <w:p w14:paraId="65029C9E"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57.7</w:t>
            </w:r>
          </w:p>
        </w:tc>
        <w:tc>
          <w:tcPr>
            <w:tcW w:w="479" w:type="pct"/>
            <w:tcBorders>
              <w:top w:val="nil"/>
              <w:left w:val="nil"/>
              <w:bottom w:val="single" w:sz="4" w:space="0" w:color="auto"/>
              <w:right w:val="single" w:sz="4" w:space="0" w:color="auto"/>
            </w:tcBorders>
            <w:noWrap/>
            <w:vAlign w:val="center"/>
            <w:hideMark/>
          </w:tcPr>
          <w:p w14:paraId="303F5017"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60.9</w:t>
            </w:r>
          </w:p>
        </w:tc>
        <w:tc>
          <w:tcPr>
            <w:tcW w:w="479" w:type="pct"/>
            <w:tcBorders>
              <w:top w:val="nil"/>
              <w:left w:val="nil"/>
              <w:bottom w:val="single" w:sz="4" w:space="0" w:color="auto"/>
              <w:right w:val="single" w:sz="4" w:space="0" w:color="auto"/>
            </w:tcBorders>
            <w:noWrap/>
            <w:vAlign w:val="center"/>
            <w:hideMark/>
          </w:tcPr>
          <w:p w14:paraId="07F0420C"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64.1</w:t>
            </w:r>
          </w:p>
        </w:tc>
        <w:tc>
          <w:tcPr>
            <w:tcW w:w="641" w:type="pct"/>
            <w:tcBorders>
              <w:top w:val="nil"/>
              <w:left w:val="nil"/>
              <w:bottom w:val="single" w:sz="4" w:space="0" w:color="auto"/>
              <w:right w:val="single" w:sz="4" w:space="0" w:color="auto"/>
            </w:tcBorders>
            <w:noWrap/>
            <w:vAlign w:val="center"/>
            <w:hideMark/>
          </w:tcPr>
          <w:p w14:paraId="272288F9"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32.0</w:t>
            </w:r>
          </w:p>
        </w:tc>
      </w:tr>
      <w:tr w:rsidR="00864159" w:rsidRPr="00C86335" w14:paraId="4B9D9804" w14:textId="77777777" w:rsidTr="001F4941">
        <w:trPr>
          <w:trHeight w:val="60"/>
        </w:trPr>
        <w:tc>
          <w:tcPr>
            <w:tcW w:w="1158" w:type="pct"/>
            <w:tcBorders>
              <w:top w:val="nil"/>
              <w:left w:val="single" w:sz="4" w:space="0" w:color="auto"/>
              <w:bottom w:val="single" w:sz="4" w:space="0" w:color="auto"/>
              <w:right w:val="single" w:sz="4" w:space="0" w:color="auto"/>
            </w:tcBorders>
            <w:noWrap/>
            <w:vAlign w:val="bottom"/>
            <w:hideMark/>
          </w:tcPr>
          <w:p w14:paraId="1C12C1D0" w14:textId="77777777" w:rsidR="00864159" w:rsidRPr="00EC4844" w:rsidRDefault="00864159" w:rsidP="00EC4844">
            <w:pPr>
              <w:spacing w:line="240" w:lineRule="auto"/>
              <w:rPr>
                <w:rFonts w:ascii="Arial" w:hAnsi="Arial" w:cs="Arial"/>
                <w:b/>
                <w:bCs/>
                <w:sz w:val="20"/>
              </w:rPr>
            </w:pPr>
            <w:r w:rsidRPr="00EC4844">
              <w:rPr>
                <w:rFonts w:ascii="Arial" w:hAnsi="Arial" w:cs="Arial"/>
                <w:b/>
                <w:bCs/>
                <w:sz w:val="20"/>
              </w:rPr>
              <w:t>English Learners</w:t>
            </w:r>
          </w:p>
        </w:tc>
        <w:tc>
          <w:tcPr>
            <w:tcW w:w="640" w:type="pct"/>
            <w:tcBorders>
              <w:top w:val="nil"/>
              <w:left w:val="nil"/>
              <w:bottom w:val="single" w:sz="4" w:space="0" w:color="auto"/>
              <w:right w:val="single" w:sz="4" w:space="0" w:color="auto"/>
            </w:tcBorders>
            <w:noWrap/>
            <w:vAlign w:val="center"/>
            <w:hideMark/>
          </w:tcPr>
          <w:p w14:paraId="16A215D1"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21.4</w:t>
            </w:r>
          </w:p>
        </w:tc>
        <w:tc>
          <w:tcPr>
            <w:tcW w:w="560" w:type="pct"/>
            <w:tcBorders>
              <w:top w:val="nil"/>
              <w:left w:val="nil"/>
              <w:bottom w:val="single" w:sz="4" w:space="0" w:color="auto"/>
              <w:right w:val="single" w:sz="4" w:space="0" w:color="auto"/>
            </w:tcBorders>
            <w:noWrap/>
            <w:vAlign w:val="center"/>
            <w:hideMark/>
          </w:tcPr>
          <w:p w14:paraId="632BB0D1"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3.549</w:t>
            </w:r>
          </w:p>
        </w:tc>
        <w:tc>
          <w:tcPr>
            <w:tcW w:w="522" w:type="pct"/>
            <w:tcBorders>
              <w:top w:val="nil"/>
              <w:left w:val="nil"/>
              <w:bottom w:val="single" w:sz="4" w:space="0" w:color="auto"/>
              <w:right w:val="single" w:sz="4" w:space="0" w:color="auto"/>
            </w:tcBorders>
            <w:noWrap/>
            <w:vAlign w:val="center"/>
            <w:hideMark/>
          </w:tcPr>
          <w:p w14:paraId="28A70609"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46.2</w:t>
            </w:r>
          </w:p>
        </w:tc>
        <w:tc>
          <w:tcPr>
            <w:tcW w:w="522" w:type="pct"/>
            <w:tcBorders>
              <w:top w:val="nil"/>
              <w:left w:val="nil"/>
              <w:bottom w:val="single" w:sz="4" w:space="0" w:color="auto"/>
              <w:right w:val="single" w:sz="4" w:space="0" w:color="auto"/>
            </w:tcBorders>
            <w:noWrap/>
            <w:vAlign w:val="center"/>
            <w:hideMark/>
          </w:tcPr>
          <w:p w14:paraId="2A9F43F7"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49.8</w:t>
            </w:r>
          </w:p>
        </w:tc>
        <w:tc>
          <w:tcPr>
            <w:tcW w:w="479" w:type="pct"/>
            <w:tcBorders>
              <w:top w:val="nil"/>
              <w:left w:val="nil"/>
              <w:bottom w:val="single" w:sz="4" w:space="0" w:color="auto"/>
              <w:right w:val="single" w:sz="4" w:space="0" w:color="auto"/>
            </w:tcBorders>
            <w:noWrap/>
            <w:vAlign w:val="center"/>
            <w:hideMark/>
          </w:tcPr>
          <w:p w14:paraId="3AFF1327"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53.3</w:t>
            </w:r>
          </w:p>
        </w:tc>
        <w:tc>
          <w:tcPr>
            <w:tcW w:w="479" w:type="pct"/>
            <w:tcBorders>
              <w:top w:val="nil"/>
              <w:left w:val="nil"/>
              <w:bottom w:val="single" w:sz="4" w:space="0" w:color="auto"/>
              <w:right w:val="single" w:sz="4" w:space="0" w:color="auto"/>
            </w:tcBorders>
            <w:noWrap/>
            <w:vAlign w:val="center"/>
            <w:hideMark/>
          </w:tcPr>
          <w:p w14:paraId="668E9063"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56.9</w:t>
            </w:r>
          </w:p>
        </w:tc>
        <w:tc>
          <w:tcPr>
            <w:tcW w:w="641" w:type="pct"/>
            <w:tcBorders>
              <w:top w:val="nil"/>
              <w:left w:val="nil"/>
              <w:bottom w:val="single" w:sz="4" w:space="0" w:color="auto"/>
              <w:right w:val="single" w:sz="4" w:space="0" w:color="auto"/>
            </w:tcBorders>
            <w:noWrap/>
            <w:vAlign w:val="center"/>
            <w:hideMark/>
          </w:tcPr>
          <w:p w14:paraId="06462246"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35.5</w:t>
            </w:r>
          </w:p>
        </w:tc>
      </w:tr>
      <w:tr w:rsidR="00864159" w:rsidRPr="00C86335" w14:paraId="772B0453" w14:textId="77777777" w:rsidTr="001F4941">
        <w:trPr>
          <w:trHeight w:val="62"/>
        </w:trPr>
        <w:tc>
          <w:tcPr>
            <w:tcW w:w="1158" w:type="pct"/>
            <w:tcBorders>
              <w:top w:val="nil"/>
              <w:left w:val="single" w:sz="4" w:space="0" w:color="auto"/>
              <w:bottom w:val="single" w:sz="4" w:space="0" w:color="auto"/>
              <w:right w:val="single" w:sz="4" w:space="0" w:color="auto"/>
            </w:tcBorders>
            <w:noWrap/>
            <w:vAlign w:val="bottom"/>
            <w:hideMark/>
          </w:tcPr>
          <w:p w14:paraId="77DDC151" w14:textId="77777777" w:rsidR="00864159" w:rsidRPr="00EC4844" w:rsidRDefault="00864159" w:rsidP="00EC4844">
            <w:pPr>
              <w:spacing w:line="240" w:lineRule="auto"/>
              <w:rPr>
                <w:rFonts w:ascii="Arial" w:hAnsi="Arial" w:cs="Arial"/>
                <w:b/>
                <w:bCs/>
                <w:sz w:val="20"/>
              </w:rPr>
            </w:pPr>
            <w:r w:rsidRPr="00EC4844">
              <w:rPr>
                <w:rFonts w:ascii="Arial" w:hAnsi="Arial" w:cs="Arial"/>
                <w:b/>
                <w:bCs/>
                <w:sz w:val="20"/>
              </w:rPr>
              <w:t>Students with Disabilities</w:t>
            </w:r>
          </w:p>
        </w:tc>
        <w:tc>
          <w:tcPr>
            <w:tcW w:w="640" w:type="pct"/>
            <w:tcBorders>
              <w:top w:val="nil"/>
              <w:left w:val="nil"/>
              <w:bottom w:val="single" w:sz="4" w:space="0" w:color="auto"/>
              <w:right w:val="single" w:sz="4" w:space="0" w:color="auto"/>
            </w:tcBorders>
            <w:noWrap/>
            <w:vAlign w:val="center"/>
            <w:hideMark/>
          </w:tcPr>
          <w:p w14:paraId="114E47E6"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14.1</w:t>
            </w:r>
          </w:p>
        </w:tc>
        <w:tc>
          <w:tcPr>
            <w:tcW w:w="560" w:type="pct"/>
            <w:tcBorders>
              <w:top w:val="nil"/>
              <w:left w:val="nil"/>
              <w:bottom w:val="single" w:sz="4" w:space="0" w:color="auto"/>
              <w:right w:val="single" w:sz="4" w:space="0" w:color="auto"/>
            </w:tcBorders>
            <w:noWrap/>
            <w:vAlign w:val="center"/>
            <w:hideMark/>
          </w:tcPr>
          <w:p w14:paraId="0329059F"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3.788</w:t>
            </w:r>
          </w:p>
        </w:tc>
        <w:tc>
          <w:tcPr>
            <w:tcW w:w="522" w:type="pct"/>
            <w:tcBorders>
              <w:top w:val="nil"/>
              <w:left w:val="nil"/>
              <w:bottom w:val="single" w:sz="4" w:space="0" w:color="auto"/>
              <w:right w:val="single" w:sz="4" w:space="0" w:color="auto"/>
            </w:tcBorders>
            <w:noWrap/>
            <w:vAlign w:val="center"/>
            <w:hideMark/>
          </w:tcPr>
          <w:p w14:paraId="2803C90A"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40.6</w:t>
            </w:r>
          </w:p>
        </w:tc>
        <w:tc>
          <w:tcPr>
            <w:tcW w:w="522" w:type="pct"/>
            <w:tcBorders>
              <w:top w:val="nil"/>
              <w:left w:val="nil"/>
              <w:bottom w:val="single" w:sz="4" w:space="0" w:color="auto"/>
              <w:right w:val="single" w:sz="4" w:space="0" w:color="auto"/>
            </w:tcBorders>
            <w:noWrap/>
            <w:vAlign w:val="center"/>
            <w:hideMark/>
          </w:tcPr>
          <w:p w14:paraId="34443C88"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44.4</w:t>
            </w:r>
          </w:p>
        </w:tc>
        <w:tc>
          <w:tcPr>
            <w:tcW w:w="479" w:type="pct"/>
            <w:tcBorders>
              <w:top w:val="nil"/>
              <w:left w:val="nil"/>
              <w:bottom w:val="single" w:sz="4" w:space="0" w:color="auto"/>
              <w:right w:val="single" w:sz="4" w:space="0" w:color="auto"/>
            </w:tcBorders>
            <w:noWrap/>
            <w:vAlign w:val="center"/>
            <w:hideMark/>
          </w:tcPr>
          <w:p w14:paraId="38D2F437"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48.2</w:t>
            </w:r>
          </w:p>
        </w:tc>
        <w:tc>
          <w:tcPr>
            <w:tcW w:w="479" w:type="pct"/>
            <w:tcBorders>
              <w:top w:val="nil"/>
              <w:left w:val="nil"/>
              <w:bottom w:val="single" w:sz="4" w:space="0" w:color="auto"/>
              <w:right w:val="single" w:sz="4" w:space="0" w:color="auto"/>
            </w:tcBorders>
            <w:noWrap/>
            <w:vAlign w:val="center"/>
            <w:hideMark/>
          </w:tcPr>
          <w:p w14:paraId="0FEFAE69" w14:textId="77777777" w:rsidR="00864159" w:rsidRPr="00EC4844" w:rsidRDefault="00864159" w:rsidP="00A25B20">
            <w:pPr>
              <w:spacing w:line="240" w:lineRule="auto"/>
              <w:jc w:val="center"/>
              <w:rPr>
                <w:rFonts w:ascii="Arial" w:hAnsi="Arial" w:cs="Arial"/>
                <w:sz w:val="20"/>
              </w:rPr>
            </w:pPr>
            <w:r w:rsidRPr="00EC4844">
              <w:rPr>
                <w:rFonts w:ascii="Arial" w:hAnsi="Arial" w:cs="Arial"/>
                <w:sz w:val="20"/>
              </w:rPr>
              <w:t>52.0</w:t>
            </w:r>
          </w:p>
        </w:tc>
        <w:tc>
          <w:tcPr>
            <w:tcW w:w="641" w:type="pct"/>
            <w:tcBorders>
              <w:top w:val="nil"/>
              <w:left w:val="nil"/>
              <w:bottom w:val="single" w:sz="4" w:space="0" w:color="auto"/>
              <w:right w:val="single" w:sz="4" w:space="0" w:color="auto"/>
            </w:tcBorders>
            <w:noWrap/>
            <w:vAlign w:val="center"/>
            <w:hideMark/>
          </w:tcPr>
          <w:p w14:paraId="7902B01B" w14:textId="77777777" w:rsidR="00864159" w:rsidRPr="00EC4844" w:rsidRDefault="00864159" w:rsidP="00A25B20">
            <w:pPr>
              <w:spacing w:line="240" w:lineRule="auto"/>
              <w:jc w:val="center"/>
              <w:rPr>
                <w:rFonts w:ascii="Arial" w:hAnsi="Arial" w:cs="Arial"/>
                <w:b/>
                <w:bCs/>
                <w:sz w:val="20"/>
              </w:rPr>
            </w:pPr>
            <w:r w:rsidRPr="00EC4844">
              <w:rPr>
                <w:rFonts w:ascii="Arial" w:hAnsi="Arial" w:cs="Arial"/>
                <w:b/>
                <w:bCs/>
                <w:sz w:val="20"/>
              </w:rPr>
              <w:t>37.9</w:t>
            </w:r>
          </w:p>
        </w:tc>
      </w:tr>
    </w:tbl>
    <w:p w14:paraId="06E0CA2B" w14:textId="1675EF89" w:rsidR="00A14D07" w:rsidRDefault="00A14D07" w:rsidP="00A14D07">
      <w:pPr>
        <w:spacing w:after="200" w:line="240" w:lineRule="auto"/>
        <w:rPr>
          <w:rFonts w:ascii="Arial" w:hAnsi="Arial" w:cs="Arial"/>
          <w:iCs/>
          <w:color w:val="000000" w:themeColor="text1"/>
          <w:sz w:val="20"/>
          <w:szCs w:val="18"/>
        </w:rPr>
      </w:pPr>
    </w:p>
    <w:p w14:paraId="1399C13E" w14:textId="0D908A20" w:rsidR="001C3342" w:rsidRPr="00EF6288" w:rsidRDefault="001C3342" w:rsidP="00EC4844">
      <w:pPr>
        <w:spacing w:line="240" w:lineRule="auto"/>
        <w:rPr>
          <w:rFonts w:ascii="Arial" w:hAnsi="Arial" w:cs="Arial"/>
          <w:b/>
          <w:iCs/>
          <w:caps/>
          <w:color w:val="auto"/>
          <w:kern w:val="16"/>
          <w:sz w:val="28"/>
          <w:szCs w:val="28"/>
        </w:rPr>
      </w:pPr>
      <w:r w:rsidRPr="00163351">
        <w:rPr>
          <w:rFonts w:ascii="Arial" w:hAnsi="Arial" w:cs="Arial"/>
          <w:color w:val="auto"/>
          <w:sz w:val="20"/>
        </w:rPr>
        <w:t>TABLE 10.6.</w:t>
      </w:r>
      <w:r>
        <w:rPr>
          <w:rFonts w:ascii="Arial" w:hAnsi="Arial" w:cs="Arial"/>
          <w:color w:val="auto"/>
          <w:sz w:val="20"/>
        </w:rPr>
        <w:t>2.</w:t>
      </w:r>
      <w:r w:rsidRPr="00163351">
        <w:rPr>
          <w:rFonts w:ascii="Arial" w:hAnsi="Arial" w:cs="Arial"/>
          <w:color w:val="auto"/>
          <w:sz w:val="20"/>
        </w:rPr>
        <w:t xml:space="preserve"> State </w:t>
      </w:r>
      <w:r>
        <w:rPr>
          <w:rFonts w:ascii="Arial" w:hAnsi="Arial" w:cs="Arial"/>
          <w:color w:val="auto"/>
          <w:sz w:val="20"/>
        </w:rPr>
        <w:t>l</w:t>
      </w:r>
      <w:r w:rsidRPr="00163351">
        <w:rPr>
          <w:rFonts w:ascii="Arial" w:hAnsi="Arial" w:cs="Arial"/>
          <w:color w:val="auto"/>
          <w:sz w:val="20"/>
        </w:rPr>
        <w:t xml:space="preserve">evel </w:t>
      </w:r>
      <w:r>
        <w:rPr>
          <w:rFonts w:ascii="Arial" w:hAnsi="Arial" w:cs="Arial"/>
          <w:color w:val="auto"/>
          <w:sz w:val="20"/>
        </w:rPr>
        <w:t>high school reading, yearly measure of interim progress proficiency goals</w:t>
      </w:r>
    </w:p>
    <w:tbl>
      <w:tblPr>
        <w:tblW w:w="4353" w:type="pct"/>
        <w:tblLayout w:type="fixed"/>
        <w:tblLook w:val="04A0" w:firstRow="1" w:lastRow="0" w:firstColumn="1" w:lastColumn="0" w:noHBand="0" w:noVBand="1"/>
      </w:tblPr>
      <w:tblGrid>
        <w:gridCol w:w="2604"/>
        <w:gridCol w:w="1441"/>
        <w:gridCol w:w="1204"/>
        <w:gridCol w:w="1159"/>
        <w:gridCol w:w="1161"/>
        <w:gridCol w:w="1161"/>
        <w:gridCol w:w="1058"/>
        <w:gridCol w:w="1486"/>
      </w:tblGrid>
      <w:tr w:rsidR="00E62611" w:rsidRPr="0084140A" w14:paraId="391E04BD" w14:textId="77777777" w:rsidTr="00F73E36">
        <w:trPr>
          <w:trHeight w:val="817"/>
        </w:trPr>
        <w:tc>
          <w:tcPr>
            <w:tcW w:w="115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0CAAEC9" w14:textId="729D75A5" w:rsidR="00E62611" w:rsidRPr="0084140A" w:rsidRDefault="00E62611" w:rsidP="00EF1BDC">
            <w:pPr>
              <w:spacing w:line="240" w:lineRule="auto"/>
              <w:rPr>
                <w:rFonts w:ascii="Calibri" w:hAnsi="Calibri" w:cs="Calibri"/>
                <w:b/>
                <w:bCs/>
                <w:sz w:val="44"/>
                <w:szCs w:val="44"/>
              </w:rPr>
            </w:pPr>
            <w:r w:rsidRPr="00C86335">
              <w:rPr>
                <w:rFonts w:ascii="Arial" w:hAnsi="Arial" w:cs="Arial"/>
                <w:b/>
                <w:bCs/>
                <w:sz w:val="20"/>
              </w:rPr>
              <w:t xml:space="preserve">State Level </w:t>
            </w:r>
            <w:r w:rsidR="004A2310">
              <w:rPr>
                <w:rFonts w:ascii="Arial" w:hAnsi="Arial" w:cs="Arial"/>
                <w:b/>
                <w:bCs/>
                <w:sz w:val="20"/>
              </w:rPr>
              <w:t>Reading</w:t>
            </w:r>
            <w:r w:rsidR="009642A7" w:rsidRPr="00BF1F0E">
              <w:rPr>
                <w:rFonts w:ascii="Arial" w:hAnsi="Arial" w:cs="Arial"/>
                <w:b/>
                <w:bCs/>
                <w:sz w:val="20"/>
              </w:rPr>
              <w:t xml:space="preserve"> </w:t>
            </w:r>
            <w:r w:rsidR="004A2310">
              <w:rPr>
                <w:rFonts w:ascii="Arial" w:hAnsi="Arial" w:cs="Arial"/>
                <w:b/>
                <w:bCs/>
                <w:sz w:val="20"/>
              </w:rPr>
              <w:t>High School</w:t>
            </w:r>
            <w:r w:rsidR="009642A7" w:rsidRPr="00BF1F0E">
              <w:rPr>
                <w:rFonts w:ascii="Arial" w:hAnsi="Arial" w:cs="Arial"/>
                <w:b/>
                <w:bCs/>
                <w:sz w:val="20"/>
              </w:rPr>
              <w:t xml:space="preserve"> </w:t>
            </w:r>
          </w:p>
        </w:tc>
        <w:tc>
          <w:tcPr>
            <w:tcW w:w="63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A02ABE" w14:textId="479FB7BC" w:rsidR="00E62611" w:rsidRPr="0084140A" w:rsidRDefault="00E62611" w:rsidP="00EC4844">
            <w:pPr>
              <w:spacing w:line="240" w:lineRule="auto"/>
              <w:jc w:val="center"/>
              <w:rPr>
                <w:rFonts w:ascii="Calibri" w:hAnsi="Calibri" w:cs="Calibri"/>
                <w:b/>
                <w:bCs/>
                <w:sz w:val="22"/>
                <w:szCs w:val="22"/>
              </w:rPr>
            </w:pPr>
            <w:r w:rsidRPr="00C86335">
              <w:rPr>
                <w:rFonts w:ascii="Arial" w:hAnsi="Arial" w:cs="Arial"/>
                <w:b/>
                <w:bCs/>
                <w:sz w:val="20"/>
              </w:rPr>
              <w:t>2015–2016 Baseline Performance</w:t>
            </w:r>
          </w:p>
        </w:tc>
        <w:tc>
          <w:tcPr>
            <w:tcW w:w="53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D9466B5" w14:textId="7119F022" w:rsidR="00E62611" w:rsidRPr="0084140A" w:rsidRDefault="00E62611" w:rsidP="009642A7">
            <w:pPr>
              <w:spacing w:line="240" w:lineRule="auto"/>
              <w:contextualSpacing/>
              <w:jc w:val="center"/>
              <w:rPr>
                <w:rFonts w:ascii="Calibri" w:hAnsi="Calibri" w:cs="Calibri"/>
                <w:b/>
                <w:bCs/>
                <w:sz w:val="22"/>
                <w:szCs w:val="22"/>
              </w:rPr>
            </w:pPr>
            <w:r w:rsidRPr="00C86335">
              <w:rPr>
                <w:rFonts w:ascii="Arial" w:hAnsi="Arial" w:cs="Arial"/>
                <w:b/>
                <w:bCs/>
                <w:sz w:val="20"/>
              </w:rPr>
              <w:t>Percent Increase</w:t>
            </w:r>
            <w:r w:rsidR="009642A7" w:rsidRPr="00BF1F0E">
              <w:rPr>
                <w:rFonts w:ascii="Arial" w:hAnsi="Arial" w:cs="Arial"/>
                <w:b/>
                <w:bCs/>
                <w:sz w:val="20"/>
              </w:rPr>
              <w:t xml:space="preserve"> </w:t>
            </w:r>
            <w:r w:rsidRPr="00C86335">
              <w:rPr>
                <w:rFonts w:ascii="Arial" w:hAnsi="Arial" w:cs="Arial"/>
                <w:b/>
                <w:bCs/>
                <w:sz w:val="20"/>
              </w:rPr>
              <w:t>Per Year</w:t>
            </w:r>
          </w:p>
        </w:tc>
        <w:tc>
          <w:tcPr>
            <w:tcW w:w="514"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37D384B2" w14:textId="7023D810" w:rsidR="00E62611" w:rsidRPr="0084140A" w:rsidRDefault="00E62611" w:rsidP="00EF1BDC">
            <w:pPr>
              <w:spacing w:line="240" w:lineRule="auto"/>
              <w:jc w:val="center"/>
              <w:rPr>
                <w:rFonts w:ascii="Calibri" w:hAnsi="Calibri" w:cs="Calibri"/>
                <w:b/>
                <w:bCs/>
                <w:sz w:val="22"/>
                <w:szCs w:val="22"/>
              </w:rPr>
            </w:pPr>
            <w:r w:rsidRPr="0084140A">
              <w:rPr>
                <w:rFonts w:ascii="Calibri" w:hAnsi="Calibri" w:cs="Calibri"/>
                <w:b/>
                <w:bCs/>
                <w:sz w:val="22"/>
                <w:szCs w:val="22"/>
              </w:rPr>
              <w:t>2025–26</w:t>
            </w:r>
            <w:r w:rsidRPr="0084140A">
              <w:rPr>
                <w:rFonts w:ascii="Calibri" w:hAnsi="Calibri" w:cs="Calibri"/>
                <w:b/>
                <w:bCs/>
                <w:sz w:val="22"/>
                <w:szCs w:val="22"/>
              </w:rPr>
              <w:br/>
            </w:r>
          </w:p>
        </w:tc>
        <w:tc>
          <w:tcPr>
            <w:tcW w:w="515"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48968392" w14:textId="20E95C6F" w:rsidR="00E62611" w:rsidRPr="0084140A" w:rsidRDefault="00E62611" w:rsidP="00EF1BDC">
            <w:pPr>
              <w:spacing w:line="240" w:lineRule="auto"/>
              <w:jc w:val="center"/>
              <w:rPr>
                <w:rFonts w:ascii="Calibri" w:hAnsi="Calibri" w:cs="Calibri"/>
                <w:b/>
                <w:bCs/>
                <w:sz w:val="22"/>
                <w:szCs w:val="22"/>
              </w:rPr>
            </w:pPr>
            <w:r w:rsidRPr="0084140A">
              <w:rPr>
                <w:rFonts w:ascii="Calibri" w:hAnsi="Calibri" w:cs="Calibri"/>
                <w:b/>
                <w:bCs/>
                <w:sz w:val="22"/>
                <w:szCs w:val="22"/>
              </w:rPr>
              <w:t>2026–27</w:t>
            </w:r>
            <w:r w:rsidRPr="0084140A">
              <w:rPr>
                <w:rFonts w:ascii="Calibri" w:hAnsi="Calibri" w:cs="Calibri"/>
                <w:b/>
                <w:bCs/>
                <w:sz w:val="22"/>
                <w:szCs w:val="22"/>
              </w:rPr>
              <w:br/>
            </w:r>
          </w:p>
        </w:tc>
        <w:tc>
          <w:tcPr>
            <w:tcW w:w="515"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14248E3" w14:textId="607F426A" w:rsidR="00E62611" w:rsidRPr="0084140A" w:rsidRDefault="00E62611" w:rsidP="00EF1BDC">
            <w:pPr>
              <w:spacing w:line="240" w:lineRule="auto"/>
              <w:jc w:val="center"/>
              <w:rPr>
                <w:rFonts w:ascii="Calibri" w:hAnsi="Calibri" w:cs="Calibri"/>
                <w:b/>
                <w:bCs/>
                <w:sz w:val="22"/>
                <w:szCs w:val="22"/>
              </w:rPr>
            </w:pPr>
            <w:r w:rsidRPr="0084140A">
              <w:rPr>
                <w:rFonts w:ascii="Calibri" w:hAnsi="Calibri" w:cs="Calibri"/>
                <w:b/>
                <w:bCs/>
                <w:sz w:val="22"/>
                <w:szCs w:val="22"/>
              </w:rPr>
              <w:t>2027–28</w:t>
            </w:r>
            <w:r w:rsidRPr="0084140A">
              <w:rPr>
                <w:rFonts w:ascii="Calibri" w:hAnsi="Calibri" w:cs="Calibri"/>
                <w:b/>
                <w:bCs/>
                <w:sz w:val="22"/>
                <w:szCs w:val="22"/>
              </w:rPr>
              <w:br/>
            </w:r>
          </w:p>
        </w:tc>
        <w:tc>
          <w:tcPr>
            <w:tcW w:w="469" w:type="pc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14:paraId="76F305ED" w14:textId="7FBC5AAF" w:rsidR="00E62611" w:rsidRPr="0084140A" w:rsidRDefault="00E62611" w:rsidP="009642A7">
            <w:pPr>
              <w:spacing w:line="240" w:lineRule="auto"/>
              <w:contextualSpacing/>
              <w:jc w:val="center"/>
              <w:rPr>
                <w:rFonts w:ascii="Calibri" w:hAnsi="Calibri" w:cs="Calibri"/>
                <w:b/>
                <w:bCs/>
                <w:sz w:val="22"/>
                <w:szCs w:val="22"/>
              </w:rPr>
            </w:pPr>
            <w:r w:rsidRPr="00C86335">
              <w:rPr>
                <w:rFonts w:ascii="Arial" w:hAnsi="Arial" w:cs="Arial"/>
                <w:b/>
                <w:bCs/>
                <w:sz w:val="20"/>
              </w:rPr>
              <w:t>2028–29</w:t>
            </w:r>
            <w:r w:rsidR="009642A7" w:rsidRPr="00BF1F0E">
              <w:rPr>
                <w:rFonts w:ascii="Arial" w:hAnsi="Arial" w:cs="Arial"/>
                <w:b/>
                <w:bCs/>
                <w:sz w:val="20"/>
              </w:rPr>
              <w:t xml:space="preserve"> </w:t>
            </w:r>
            <w:r w:rsidRPr="00C86335">
              <w:rPr>
                <w:rFonts w:ascii="Arial" w:hAnsi="Arial" w:cs="Arial"/>
                <w:b/>
                <w:bCs/>
                <w:sz w:val="20"/>
              </w:rPr>
              <w:t>12-Year Goal</w:t>
            </w:r>
          </w:p>
        </w:tc>
        <w:tc>
          <w:tcPr>
            <w:tcW w:w="659" w:type="pc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14:paraId="643750A7" w14:textId="136E0230" w:rsidR="00E62611" w:rsidRPr="0084140A" w:rsidRDefault="00E62611" w:rsidP="00EC4844">
            <w:pPr>
              <w:spacing w:line="240" w:lineRule="auto"/>
              <w:jc w:val="center"/>
              <w:rPr>
                <w:rFonts w:ascii="Calibri" w:hAnsi="Calibri" w:cs="Calibri"/>
                <w:b/>
                <w:bCs/>
                <w:sz w:val="22"/>
                <w:szCs w:val="22"/>
              </w:rPr>
            </w:pPr>
            <w:r w:rsidRPr="00C86335">
              <w:rPr>
                <w:rFonts w:ascii="Arial" w:hAnsi="Arial" w:cs="Arial"/>
                <w:b/>
                <w:bCs/>
                <w:sz w:val="20"/>
              </w:rPr>
              <w:t>12-Year Percent</w:t>
            </w:r>
            <w:r w:rsidR="009642A7" w:rsidRPr="00BF1F0E">
              <w:rPr>
                <w:rFonts w:ascii="Arial" w:hAnsi="Arial" w:cs="Arial"/>
                <w:b/>
                <w:bCs/>
                <w:sz w:val="20"/>
              </w:rPr>
              <w:t xml:space="preserve"> </w:t>
            </w:r>
            <w:r>
              <w:rPr>
                <w:rFonts w:ascii="Arial" w:hAnsi="Arial" w:cs="Arial"/>
                <w:b/>
                <w:bCs/>
                <w:sz w:val="20"/>
              </w:rPr>
              <w:t>Increase</w:t>
            </w:r>
          </w:p>
        </w:tc>
      </w:tr>
      <w:tr w:rsidR="00E62611" w:rsidRPr="0084140A" w14:paraId="15F851B4"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4FA899FB" w14:textId="77777777" w:rsidR="00E62611" w:rsidRPr="00EC4844" w:rsidRDefault="00E62611" w:rsidP="00EC4844">
            <w:pPr>
              <w:spacing w:line="240" w:lineRule="auto"/>
              <w:rPr>
                <w:rFonts w:ascii="Arial" w:hAnsi="Arial" w:cs="Arial"/>
                <w:b/>
                <w:bCs/>
                <w:sz w:val="20"/>
              </w:rPr>
            </w:pPr>
            <w:r w:rsidRPr="00EC4844">
              <w:rPr>
                <w:rFonts w:ascii="Arial" w:hAnsi="Arial" w:cs="Arial"/>
                <w:b/>
                <w:bCs/>
                <w:sz w:val="20"/>
              </w:rPr>
              <w:t>All Students</w:t>
            </w:r>
          </w:p>
        </w:tc>
        <w:tc>
          <w:tcPr>
            <w:tcW w:w="639" w:type="pct"/>
            <w:tcBorders>
              <w:top w:val="nil"/>
              <w:left w:val="nil"/>
              <w:bottom w:val="single" w:sz="4" w:space="0" w:color="auto"/>
              <w:right w:val="single" w:sz="4" w:space="0" w:color="auto"/>
            </w:tcBorders>
            <w:noWrap/>
            <w:vAlign w:val="center"/>
            <w:hideMark/>
          </w:tcPr>
          <w:p w14:paraId="12280B6D"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51.0</w:t>
            </w:r>
          </w:p>
        </w:tc>
        <w:tc>
          <w:tcPr>
            <w:tcW w:w="534" w:type="pct"/>
            <w:tcBorders>
              <w:top w:val="nil"/>
              <w:left w:val="nil"/>
              <w:bottom w:val="single" w:sz="4" w:space="0" w:color="auto"/>
              <w:right w:val="single" w:sz="4" w:space="0" w:color="auto"/>
            </w:tcBorders>
            <w:noWrap/>
            <w:vAlign w:val="center"/>
            <w:hideMark/>
          </w:tcPr>
          <w:p w14:paraId="254B14E3"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2.031</w:t>
            </w:r>
          </w:p>
        </w:tc>
        <w:tc>
          <w:tcPr>
            <w:tcW w:w="514" w:type="pct"/>
            <w:tcBorders>
              <w:top w:val="nil"/>
              <w:left w:val="nil"/>
              <w:bottom w:val="single" w:sz="4" w:space="0" w:color="auto"/>
              <w:right w:val="single" w:sz="4" w:space="0" w:color="auto"/>
            </w:tcBorders>
            <w:noWrap/>
            <w:vAlign w:val="center"/>
            <w:hideMark/>
          </w:tcPr>
          <w:p w14:paraId="13B0D1FD"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65.2</w:t>
            </w:r>
          </w:p>
        </w:tc>
        <w:tc>
          <w:tcPr>
            <w:tcW w:w="515" w:type="pct"/>
            <w:tcBorders>
              <w:top w:val="nil"/>
              <w:left w:val="nil"/>
              <w:bottom w:val="single" w:sz="4" w:space="0" w:color="auto"/>
              <w:right w:val="single" w:sz="4" w:space="0" w:color="auto"/>
            </w:tcBorders>
            <w:noWrap/>
            <w:vAlign w:val="center"/>
            <w:hideMark/>
          </w:tcPr>
          <w:p w14:paraId="01749D7F"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67.2</w:t>
            </w:r>
          </w:p>
        </w:tc>
        <w:tc>
          <w:tcPr>
            <w:tcW w:w="515" w:type="pct"/>
            <w:tcBorders>
              <w:top w:val="nil"/>
              <w:left w:val="nil"/>
              <w:bottom w:val="single" w:sz="4" w:space="0" w:color="auto"/>
              <w:right w:val="single" w:sz="4" w:space="0" w:color="auto"/>
            </w:tcBorders>
            <w:noWrap/>
            <w:vAlign w:val="center"/>
            <w:hideMark/>
          </w:tcPr>
          <w:p w14:paraId="71CAC8A8"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69.3</w:t>
            </w:r>
          </w:p>
        </w:tc>
        <w:tc>
          <w:tcPr>
            <w:tcW w:w="469" w:type="pct"/>
            <w:tcBorders>
              <w:top w:val="nil"/>
              <w:left w:val="nil"/>
              <w:bottom w:val="single" w:sz="4" w:space="0" w:color="auto"/>
              <w:right w:val="single" w:sz="4" w:space="0" w:color="auto"/>
            </w:tcBorders>
            <w:noWrap/>
            <w:vAlign w:val="center"/>
            <w:hideMark/>
          </w:tcPr>
          <w:p w14:paraId="0B80C5BA"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71.3</w:t>
            </w:r>
          </w:p>
        </w:tc>
        <w:tc>
          <w:tcPr>
            <w:tcW w:w="659" w:type="pct"/>
            <w:tcBorders>
              <w:top w:val="nil"/>
              <w:left w:val="nil"/>
              <w:bottom w:val="single" w:sz="4" w:space="0" w:color="auto"/>
              <w:right w:val="single" w:sz="4" w:space="0" w:color="auto"/>
            </w:tcBorders>
            <w:noWrap/>
            <w:vAlign w:val="center"/>
            <w:hideMark/>
          </w:tcPr>
          <w:p w14:paraId="662E36C7"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20.3</w:t>
            </w:r>
          </w:p>
        </w:tc>
      </w:tr>
      <w:tr w:rsidR="00E62611" w:rsidRPr="0084140A" w14:paraId="3FD136FB"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5D8F6F02" w14:textId="77777777" w:rsidR="00E62611" w:rsidRPr="006F2B82" w:rsidRDefault="00E62611" w:rsidP="006F2B82">
            <w:pPr>
              <w:spacing w:line="240" w:lineRule="auto"/>
              <w:rPr>
                <w:rFonts w:ascii="Arial" w:hAnsi="Arial" w:cs="Arial"/>
                <w:b/>
                <w:bCs/>
                <w:sz w:val="20"/>
              </w:rPr>
            </w:pPr>
            <w:r w:rsidRPr="006F2B82">
              <w:rPr>
                <w:rFonts w:ascii="Arial" w:hAnsi="Arial" w:cs="Arial"/>
                <w:b/>
                <w:bCs/>
                <w:sz w:val="20"/>
              </w:rPr>
              <w:t>American Indian</w:t>
            </w:r>
          </w:p>
        </w:tc>
        <w:tc>
          <w:tcPr>
            <w:tcW w:w="639" w:type="pct"/>
            <w:tcBorders>
              <w:top w:val="nil"/>
              <w:left w:val="nil"/>
              <w:bottom w:val="single" w:sz="4" w:space="0" w:color="auto"/>
              <w:right w:val="single" w:sz="4" w:space="0" w:color="auto"/>
            </w:tcBorders>
            <w:noWrap/>
            <w:vAlign w:val="center"/>
            <w:hideMark/>
          </w:tcPr>
          <w:p w14:paraId="62A2767E"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33.9</w:t>
            </w:r>
          </w:p>
        </w:tc>
        <w:tc>
          <w:tcPr>
            <w:tcW w:w="534" w:type="pct"/>
            <w:tcBorders>
              <w:top w:val="nil"/>
              <w:left w:val="nil"/>
              <w:bottom w:val="nil"/>
              <w:right w:val="single" w:sz="4" w:space="0" w:color="auto"/>
            </w:tcBorders>
            <w:noWrap/>
            <w:vAlign w:val="center"/>
            <w:hideMark/>
          </w:tcPr>
          <w:p w14:paraId="0DA8A6A7"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2.569</w:t>
            </w:r>
          </w:p>
        </w:tc>
        <w:tc>
          <w:tcPr>
            <w:tcW w:w="514" w:type="pct"/>
            <w:tcBorders>
              <w:top w:val="single" w:sz="4" w:space="0" w:color="auto"/>
              <w:left w:val="single" w:sz="4" w:space="0" w:color="auto"/>
              <w:bottom w:val="single" w:sz="4" w:space="0" w:color="auto"/>
              <w:right w:val="single" w:sz="4" w:space="0" w:color="auto"/>
            </w:tcBorders>
            <w:noWrap/>
            <w:vAlign w:val="center"/>
            <w:hideMark/>
          </w:tcPr>
          <w:p w14:paraId="188A8923"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51.9</w:t>
            </w:r>
          </w:p>
        </w:tc>
        <w:tc>
          <w:tcPr>
            <w:tcW w:w="515" w:type="pct"/>
            <w:tcBorders>
              <w:top w:val="nil"/>
              <w:left w:val="nil"/>
              <w:bottom w:val="single" w:sz="4" w:space="0" w:color="auto"/>
              <w:right w:val="single" w:sz="4" w:space="0" w:color="auto"/>
            </w:tcBorders>
            <w:noWrap/>
            <w:vAlign w:val="center"/>
            <w:hideMark/>
          </w:tcPr>
          <w:p w14:paraId="15BBB22C"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54.5</w:t>
            </w:r>
          </w:p>
        </w:tc>
        <w:tc>
          <w:tcPr>
            <w:tcW w:w="515" w:type="pct"/>
            <w:tcBorders>
              <w:top w:val="nil"/>
              <w:left w:val="nil"/>
              <w:bottom w:val="single" w:sz="4" w:space="0" w:color="auto"/>
              <w:right w:val="single" w:sz="4" w:space="0" w:color="auto"/>
            </w:tcBorders>
            <w:noWrap/>
            <w:vAlign w:val="center"/>
            <w:hideMark/>
          </w:tcPr>
          <w:p w14:paraId="5CAF0D23"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57.0</w:t>
            </w:r>
          </w:p>
        </w:tc>
        <w:tc>
          <w:tcPr>
            <w:tcW w:w="469" w:type="pct"/>
            <w:tcBorders>
              <w:top w:val="nil"/>
              <w:left w:val="nil"/>
              <w:bottom w:val="single" w:sz="4" w:space="0" w:color="auto"/>
              <w:right w:val="single" w:sz="4" w:space="0" w:color="auto"/>
            </w:tcBorders>
            <w:noWrap/>
            <w:vAlign w:val="center"/>
            <w:hideMark/>
          </w:tcPr>
          <w:p w14:paraId="4297D8AC"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59.6</w:t>
            </w:r>
          </w:p>
        </w:tc>
        <w:tc>
          <w:tcPr>
            <w:tcW w:w="659" w:type="pct"/>
            <w:tcBorders>
              <w:top w:val="nil"/>
              <w:left w:val="nil"/>
              <w:bottom w:val="single" w:sz="4" w:space="0" w:color="auto"/>
              <w:right w:val="single" w:sz="4" w:space="0" w:color="auto"/>
            </w:tcBorders>
            <w:noWrap/>
            <w:vAlign w:val="center"/>
            <w:hideMark/>
          </w:tcPr>
          <w:p w14:paraId="566019F9"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25.7</w:t>
            </w:r>
          </w:p>
        </w:tc>
      </w:tr>
      <w:tr w:rsidR="00E62611" w:rsidRPr="0084140A" w14:paraId="0890224E"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583706A3" w14:textId="77777777" w:rsidR="00E62611" w:rsidRPr="006F2B82" w:rsidRDefault="00E62611" w:rsidP="006F2B82">
            <w:pPr>
              <w:spacing w:line="240" w:lineRule="auto"/>
              <w:rPr>
                <w:rFonts w:ascii="Arial" w:hAnsi="Arial" w:cs="Arial"/>
                <w:b/>
                <w:bCs/>
                <w:sz w:val="20"/>
              </w:rPr>
            </w:pPr>
            <w:r w:rsidRPr="006F2B82">
              <w:rPr>
                <w:rFonts w:ascii="Arial" w:hAnsi="Arial" w:cs="Arial"/>
                <w:b/>
                <w:bCs/>
                <w:sz w:val="20"/>
              </w:rPr>
              <w:t>Asian</w:t>
            </w:r>
          </w:p>
        </w:tc>
        <w:tc>
          <w:tcPr>
            <w:tcW w:w="639" w:type="pct"/>
            <w:tcBorders>
              <w:top w:val="nil"/>
              <w:left w:val="nil"/>
              <w:bottom w:val="single" w:sz="4" w:space="0" w:color="auto"/>
              <w:right w:val="single" w:sz="4" w:space="0" w:color="auto"/>
            </w:tcBorders>
            <w:noWrap/>
            <w:vAlign w:val="center"/>
            <w:hideMark/>
          </w:tcPr>
          <w:p w14:paraId="520671AE"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68.6</w:t>
            </w:r>
          </w:p>
        </w:tc>
        <w:tc>
          <w:tcPr>
            <w:tcW w:w="534" w:type="pct"/>
            <w:tcBorders>
              <w:top w:val="single" w:sz="4" w:space="0" w:color="auto"/>
              <w:left w:val="nil"/>
              <w:bottom w:val="single" w:sz="4" w:space="0" w:color="auto"/>
              <w:right w:val="single" w:sz="4" w:space="0" w:color="auto"/>
            </w:tcBorders>
            <w:noWrap/>
            <w:vAlign w:val="center"/>
            <w:hideMark/>
          </w:tcPr>
          <w:p w14:paraId="5C441193"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1.468</w:t>
            </w:r>
          </w:p>
        </w:tc>
        <w:tc>
          <w:tcPr>
            <w:tcW w:w="514" w:type="pct"/>
            <w:tcBorders>
              <w:top w:val="nil"/>
              <w:left w:val="nil"/>
              <w:bottom w:val="single" w:sz="4" w:space="0" w:color="auto"/>
              <w:right w:val="single" w:sz="4" w:space="0" w:color="auto"/>
            </w:tcBorders>
            <w:noWrap/>
            <w:vAlign w:val="center"/>
            <w:hideMark/>
          </w:tcPr>
          <w:p w14:paraId="4A9C19E0"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78.9</w:t>
            </w:r>
          </w:p>
        </w:tc>
        <w:tc>
          <w:tcPr>
            <w:tcW w:w="515" w:type="pct"/>
            <w:tcBorders>
              <w:top w:val="nil"/>
              <w:left w:val="nil"/>
              <w:bottom w:val="single" w:sz="4" w:space="0" w:color="auto"/>
              <w:right w:val="single" w:sz="4" w:space="0" w:color="auto"/>
            </w:tcBorders>
            <w:noWrap/>
            <w:vAlign w:val="center"/>
            <w:hideMark/>
          </w:tcPr>
          <w:p w14:paraId="619982DF"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80.3</w:t>
            </w:r>
          </w:p>
        </w:tc>
        <w:tc>
          <w:tcPr>
            <w:tcW w:w="515" w:type="pct"/>
            <w:tcBorders>
              <w:top w:val="nil"/>
              <w:left w:val="nil"/>
              <w:bottom w:val="single" w:sz="4" w:space="0" w:color="auto"/>
              <w:right w:val="single" w:sz="4" w:space="0" w:color="auto"/>
            </w:tcBorders>
            <w:noWrap/>
            <w:vAlign w:val="center"/>
            <w:hideMark/>
          </w:tcPr>
          <w:p w14:paraId="593E9B19"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81.8</w:t>
            </w:r>
          </w:p>
        </w:tc>
        <w:tc>
          <w:tcPr>
            <w:tcW w:w="469" w:type="pct"/>
            <w:tcBorders>
              <w:top w:val="nil"/>
              <w:left w:val="nil"/>
              <w:bottom w:val="single" w:sz="4" w:space="0" w:color="auto"/>
              <w:right w:val="single" w:sz="4" w:space="0" w:color="auto"/>
            </w:tcBorders>
            <w:noWrap/>
            <w:vAlign w:val="center"/>
            <w:hideMark/>
          </w:tcPr>
          <w:p w14:paraId="51D0F21C"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83.3</w:t>
            </w:r>
          </w:p>
        </w:tc>
        <w:tc>
          <w:tcPr>
            <w:tcW w:w="659" w:type="pct"/>
            <w:tcBorders>
              <w:top w:val="nil"/>
              <w:left w:val="nil"/>
              <w:bottom w:val="single" w:sz="4" w:space="0" w:color="auto"/>
              <w:right w:val="single" w:sz="4" w:space="0" w:color="auto"/>
            </w:tcBorders>
            <w:noWrap/>
            <w:vAlign w:val="center"/>
            <w:hideMark/>
          </w:tcPr>
          <w:p w14:paraId="57E508D1"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14.7</w:t>
            </w:r>
          </w:p>
        </w:tc>
      </w:tr>
      <w:tr w:rsidR="00E62611" w:rsidRPr="0084140A" w14:paraId="77CB97D9"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1C80BECA" w14:textId="77777777" w:rsidR="00E62611" w:rsidRPr="006F2B82" w:rsidRDefault="00E62611" w:rsidP="006F2B82">
            <w:pPr>
              <w:spacing w:line="240" w:lineRule="auto"/>
              <w:rPr>
                <w:rFonts w:ascii="Arial" w:hAnsi="Arial" w:cs="Arial"/>
                <w:b/>
                <w:bCs/>
                <w:sz w:val="20"/>
              </w:rPr>
            </w:pPr>
            <w:r w:rsidRPr="006F2B82">
              <w:rPr>
                <w:rFonts w:ascii="Arial" w:hAnsi="Arial" w:cs="Arial"/>
                <w:b/>
                <w:bCs/>
                <w:sz w:val="20"/>
              </w:rPr>
              <w:t>Black</w:t>
            </w:r>
          </w:p>
        </w:tc>
        <w:tc>
          <w:tcPr>
            <w:tcW w:w="639" w:type="pct"/>
            <w:tcBorders>
              <w:top w:val="nil"/>
              <w:left w:val="nil"/>
              <w:bottom w:val="single" w:sz="4" w:space="0" w:color="auto"/>
              <w:right w:val="single" w:sz="4" w:space="0" w:color="auto"/>
            </w:tcBorders>
            <w:noWrap/>
            <w:vAlign w:val="center"/>
            <w:hideMark/>
          </w:tcPr>
          <w:p w14:paraId="1224048E"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32.3</w:t>
            </w:r>
          </w:p>
        </w:tc>
        <w:tc>
          <w:tcPr>
            <w:tcW w:w="534" w:type="pct"/>
            <w:tcBorders>
              <w:top w:val="nil"/>
              <w:left w:val="nil"/>
              <w:bottom w:val="single" w:sz="4" w:space="0" w:color="auto"/>
              <w:right w:val="single" w:sz="4" w:space="0" w:color="auto"/>
            </w:tcBorders>
            <w:noWrap/>
            <w:vAlign w:val="center"/>
            <w:hideMark/>
          </w:tcPr>
          <w:p w14:paraId="0ACF85C5"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2.620</w:t>
            </w:r>
          </w:p>
        </w:tc>
        <w:tc>
          <w:tcPr>
            <w:tcW w:w="514" w:type="pct"/>
            <w:tcBorders>
              <w:top w:val="nil"/>
              <w:left w:val="nil"/>
              <w:bottom w:val="single" w:sz="4" w:space="0" w:color="auto"/>
              <w:right w:val="single" w:sz="4" w:space="0" w:color="auto"/>
            </w:tcBorders>
            <w:noWrap/>
            <w:vAlign w:val="center"/>
            <w:hideMark/>
          </w:tcPr>
          <w:p w14:paraId="3230138A"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50.6</w:t>
            </w:r>
          </w:p>
        </w:tc>
        <w:tc>
          <w:tcPr>
            <w:tcW w:w="515" w:type="pct"/>
            <w:tcBorders>
              <w:top w:val="nil"/>
              <w:left w:val="nil"/>
              <w:bottom w:val="single" w:sz="4" w:space="0" w:color="auto"/>
              <w:right w:val="single" w:sz="4" w:space="0" w:color="auto"/>
            </w:tcBorders>
            <w:noWrap/>
            <w:vAlign w:val="center"/>
            <w:hideMark/>
          </w:tcPr>
          <w:p w14:paraId="796A6142"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53.3</w:t>
            </w:r>
          </w:p>
        </w:tc>
        <w:tc>
          <w:tcPr>
            <w:tcW w:w="515" w:type="pct"/>
            <w:tcBorders>
              <w:top w:val="nil"/>
              <w:left w:val="nil"/>
              <w:bottom w:val="single" w:sz="4" w:space="0" w:color="auto"/>
              <w:right w:val="single" w:sz="4" w:space="0" w:color="auto"/>
            </w:tcBorders>
            <w:noWrap/>
            <w:vAlign w:val="center"/>
            <w:hideMark/>
          </w:tcPr>
          <w:p w14:paraId="01220FCD"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55.9</w:t>
            </w:r>
          </w:p>
        </w:tc>
        <w:tc>
          <w:tcPr>
            <w:tcW w:w="469" w:type="pct"/>
            <w:tcBorders>
              <w:top w:val="nil"/>
              <w:left w:val="nil"/>
              <w:bottom w:val="single" w:sz="4" w:space="0" w:color="auto"/>
              <w:right w:val="single" w:sz="4" w:space="0" w:color="auto"/>
            </w:tcBorders>
            <w:noWrap/>
            <w:vAlign w:val="center"/>
            <w:hideMark/>
          </w:tcPr>
          <w:p w14:paraId="12C4D177"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58.5</w:t>
            </w:r>
          </w:p>
        </w:tc>
        <w:tc>
          <w:tcPr>
            <w:tcW w:w="659" w:type="pct"/>
            <w:tcBorders>
              <w:top w:val="nil"/>
              <w:left w:val="nil"/>
              <w:bottom w:val="single" w:sz="4" w:space="0" w:color="auto"/>
              <w:right w:val="single" w:sz="4" w:space="0" w:color="auto"/>
            </w:tcBorders>
            <w:noWrap/>
            <w:vAlign w:val="center"/>
            <w:hideMark/>
          </w:tcPr>
          <w:p w14:paraId="23A4793B"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26.2</w:t>
            </w:r>
          </w:p>
        </w:tc>
      </w:tr>
      <w:tr w:rsidR="00E62611" w:rsidRPr="0084140A" w14:paraId="44140C4E"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588D45FF" w14:textId="77777777" w:rsidR="00E62611" w:rsidRPr="006F2B82" w:rsidRDefault="00E62611" w:rsidP="006F2B82">
            <w:pPr>
              <w:spacing w:line="240" w:lineRule="auto"/>
              <w:rPr>
                <w:rFonts w:ascii="Arial" w:hAnsi="Arial" w:cs="Arial"/>
                <w:b/>
                <w:bCs/>
                <w:sz w:val="20"/>
              </w:rPr>
            </w:pPr>
            <w:r w:rsidRPr="006F2B82">
              <w:rPr>
                <w:rFonts w:ascii="Arial" w:hAnsi="Arial" w:cs="Arial"/>
                <w:b/>
                <w:bCs/>
                <w:sz w:val="20"/>
              </w:rPr>
              <w:t>Hispanic</w:t>
            </w:r>
          </w:p>
        </w:tc>
        <w:tc>
          <w:tcPr>
            <w:tcW w:w="639" w:type="pct"/>
            <w:tcBorders>
              <w:top w:val="nil"/>
              <w:left w:val="nil"/>
              <w:bottom w:val="single" w:sz="4" w:space="0" w:color="auto"/>
              <w:right w:val="single" w:sz="4" w:space="0" w:color="auto"/>
            </w:tcBorders>
            <w:noWrap/>
            <w:vAlign w:val="center"/>
            <w:hideMark/>
          </w:tcPr>
          <w:p w14:paraId="3EC327EC"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37.9</w:t>
            </w:r>
          </w:p>
        </w:tc>
        <w:tc>
          <w:tcPr>
            <w:tcW w:w="534" w:type="pct"/>
            <w:tcBorders>
              <w:top w:val="nil"/>
              <w:left w:val="nil"/>
              <w:bottom w:val="single" w:sz="4" w:space="0" w:color="auto"/>
              <w:right w:val="single" w:sz="4" w:space="0" w:color="auto"/>
            </w:tcBorders>
            <w:noWrap/>
            <w:vAlign w:val="center"/>
            <w:hideMark/>
          </w:tcPr>
          <w:p w14:paraId="5FDF4BDE"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2.442</w:t>
            </w:r>
          </w:p>
        </w:tc>
        <w:tc>
          <w:tcPr>
            <w:tcW w:w="514" w:type="pct"/>
            <w:tcBorders>
              <w:top w:val="nil"/>
              <w:left w:val="nil"/>
              <w:bottom w:val="single" w:sz="4" w:space="0" w:color="auto"/>
              <w:right w:val="single" w:sz="4" w:space="0" w:color="auto"/>
            </w:tcBorders>
            <w:noWrap/>
            <w:vAlign w:val="center"/>
            <w:hideMark/>
          </w:tcPr>
          <w:p w14:paraId="6429D4AD"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55.0</w:t>
            </w:r>
          </w:p>
        </w:tc>
        <w:tc>
          <w:tcPr>
            <w:tcW w:w="515" w:type="pct"/>
            <w:tcBorders>
              <w:top w:val="nil"/>
              <w:left w:val="nil"/>
              <w:bottom w:val="single" w:sz="4" w:space="0" w:color="auto"/>
              <w:right w:val="single" w:sz="4" w:space="0" w:color="auto"/>
            </w:tcBorders>
            <w:noWrap/>
            <w:vAlign w:val="center"/>
            <w:hideMark/>
          </w:tcPr>
          <w:p w14:paraId="33D0EC68"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57.4</w:t>
            </w:r>
          </w:p>
        </w:tc>
        <w:tc>
          <w:tcPr>
            <w:tcW w:w="515" w:type="pct"/>
            <w:tcBorders>
              <w:top w:val="nil"/>
              <w:left w:val="nil"/>
              <w:bottom w:val="single" w:sz="4" w:space="0" w:color="auto"/>
              <w:right w:val="single" w:sz="4" w:space="0" w:color="auto"/>
            </w:tcBorders>
            <w:noWrap/>
            <w:vAlign w:val="center"/>
            <w:hideMark/>
          </w:tcPr>
          <w:p w14:paraId="710A1969"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59.9</w:t>
            </w:r>
          </w:p>
        </w:tc>
        <w:tc>
          <w:tcPr>
            <w:tcW w:w="469" w:type="pct"/>
            <w:tcBorders>
              <w:top w:val="nil"/>
              <w:left w:val="nil"/>
              <w:bottom w:val="single" w:sz="4" w:space="0" w:color="auto"/>
              <w:right w:val="single" w:sz="4" w:space="0" w:color="auto"/>
            </w:tcBorders>
            <w:noWrap/>
            <w:vAlign w:val="center"/>
            <w:hideMark/>
          </w:tcPr>
          <w:p w14:paraId="2B7DC3DD"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62.3</w:t>
            </w:r>
          </w:p>
        </w:tc>
        <w:tc>
          <w:tcPr>
            <w:tcW w:w="659" w:type="pct"/>
            <w:tcBorders>
              <w:top w:val="nil"/>
              <w:left w:val="nil"/>
              <w:bottom w:val="single" w:sz="4" w:space="0" w:color="auto"/>
              <w:right w:val="single" w:sz="4" w:space="0" w:color="auto"/>
            </w:tcBorders>
            <w:noWrap/>
            <w:vAlign w:val="center"/>
            <w:hideMark/>
          </w:tcPr>
          <w:p w14:paraId="12CFAC5C"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24.4</w:t>
            </w:r>
          </w:p>
        </w:tc>
      </w:tr>
      <w:tr w:rsidR="00E62611" w:rsidRPr="0084140A" w14:paraId="4D4D0346"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5028DFBB" w14:textId="77777777" w:rsidR="00E62611" w:rsidRPr="006F2B82" w:rsidRDefault="00E62611" w:rsidP="006F2B82">
            <w:pPr>
              <w:spacing w:line="240" w:lineRule="auto"/>
              <w:rPr>
                <w:rFonts w:ascii="Arial" w:hAnsi="Arial" w:cs="Arial"/>
                <w:b/>
                <w:bCs/>
                <w:sz w:val="20"/>
              </w:rPr>
            </w:pPr>
            <w:r w:rsidRPr="006F2B82">
              <w:rPr>
                <w:rFonts w:ascii="Arial" w:hAnsi="Arial" w:cs="Arial"/>
                <w:b/>
                <w:bCs/>
                <w:sz w:val="20"/>
              </w:rPr>
              <w:t>Two or more races</w:t>
            </w:r>
          </w:p>
        </w:tc>
        <w:tc>
          <w:tcPr>
            <w:tcW w:w="639" w:type="pct"/>
            <w:tcBorders>
              <w:top w:val="nil"/>
              <w:left w:val="nil"/>
              <w:bottom w:val="single" w:sz="4" w:space="0" w:color="auto"/>
              <w:right w:val="single" w:sz="4" w:space="0" w:color="auto"/>
            </w:tcBorders>
            <w:noWrap/>
            <w:vAlign w:val="center"/>
            <w:hideMark/>
          </w:tcPr>
          <w:p w14:paraId="4B1BE924"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51.3</w:t>
            </w:r>
          </w:p>
        </w:tc>
        <w:tc>
          <w:tcPr>
            <w:tcW w:w="534" w:type="pct"/>
            <w:tcBorders>
              <w:top w:val="nil"/>
              <w:left w:val="nil"/>
              <w:bottom w:val="single" w:sz="4" w:space="0" w:color="auto"/>
              <w:right w:val="single" w:sz="4" w:space="0" w:color="auto"/>
            </w:tcBorders>
            <w:noWrap/>
            <w:vAlign w:val="center"/>
            <w:hideMark/>
          </w:tcPr>
          <w:p w14:paraId="08CBEC9D"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2.017</w:t>
            </w:r>
          </w:p>
        </w:tc>
        <w:tc>
          <w:tcPr>
            <w:tcW w:w="514" w:type="pct"/>
            <w:tcBorders>
              <w:top w:val="nil"/>
              <w:left w:val="nil"/>
              <w:bottom w:val="single" w:sz="4" w:space="0" w:color="auto"/>
              <w:right w:val="single" w:sz="4" w:space="0" w:color="auto"/>
            </w:tcBorders>
            <w:noWrap/>
            <w:vAlign w:val="center"/>
            <w:hideMark/>
          </w:tcPr>
          <w:p w14:paraId="56F1CD92"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65.4</w:t>
            </w:r>
          </w:p>
        </w:tc>
        <w:tc>
          <w:tcPr>
            <w:tcW w:w="515" w:type="pct"/>
            <w:tcBorders>
              <w:top w:val="nil"/>
              <w:left w:val="nil"/>
              <w:bottom w:val="single" w:sz="4" w:space="0" w:color="auto"/>
              <w:right w:val="single" w:sz="4" w:space="0" w:color="auto"/>
            </w:tcBorders>
            <w:noWrap/>
            <w:vAlign w:val="center"/>
            <w:hideMark/>
          </w:tcPr>
          <w:p w14:paraId="15682BF0"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67.4</w:t>
            </w:r>
          </w:p>
        </w:tc>
        <w:tc>
          <w:tcPr>
            <w:tcW w:w="515" w:type="pct"/>
            <w:tcBorders>
              <w:top w:val="nil"/>
              <w:left w:val="nil"/>
              <w:bottom w:val="single" w:sz="4" w:space="0" w:color="auto"/>
              <w:right w:val="single" w:sz="4" w:space="0" w:color="auto"/>
            </w:tcBorders>
            <w:noWrap/>
            <w:vAlign w:val="center"/>
            <w:hideMark/>
          </w:tcPr>
          <w:p w14:paraId="586A5E1E"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69.5</w:t>
            </w:r>
          </w:p>
        </w:tc>
        <w:tc>
          <w:tcPr>
            <w:tcW w:w="469" w:type="pct"/>
            <w:tcBorders>
              <w:top w:val="nil"/>
              <w:left w:val="nil"/>
              <w:bottom w:val="single" w:sz="4" w:space="0" w:color="auto"/>
              <w:right w:val="single" w:sz="4" w:space="0" w:color="auto"/>
            </w:tcBorders>
            <w:noWrap/>
            <w:vAlign w:val="center"/>
            <w:hideMark/>
          </w:tcPr>
          <w:p w14:paraId="03A98D21"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71.5</w:t>
            </w:r>
          </w:p>
        </w:tc>
        <w:tc>
          <w:tcPr>
            <w:tcW w:w="659" w:type="pct"/>
            <w:tcBorders>
              <w:top w:val="nil"/>
              <w:left w:val="nil"/>
              <w:bottom w:val="single" w:sz="4" w:space="0" w:color="auto"/>
              <w:right w:val="single" w:sz="4" w:space="0" w:color="auto"/>
            </w:tcBorders>
            <w:noWrap/>
            <w:vAlign w:val="center"/>
            <w:hideMark/>
          </w:tcPr>
          <w:p w14:paraId="1A97D181"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20.2</w:t>
            </w:r>
          </w:p>
        </w:tc>
      </w:tr>
      <w:tr w:rsidR="00E62611" w:rsidRPr="0084140A" w14:paraId="6BBDB244"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1E83843A" w14:textId="77777777" w:rsidR="00E62611" w:rsidRPr="006F2B82" w:rsidRDefault="00E62611" w:rsidP="006F2B82">
            <w:pPr>
              <w:spacing w:line="240" w:lineRule="auto"/>
              <w:rPr>
                <w:rFonts w:ascii="Arial" w:hAnsi="Arial" w:cs="Arial"/>
                <w:b/>
                <w:bCs/>
                <w:sz w:val="20"/>
              </w:rPr>
            </w:pPr>
            <w:r w:rsidRPr="006F2B82">
              <w:rPr>
                <w:rFonts w:ascii="Arial" w:hAnsi="Arial" w:cs="Arial"/>
                <w:b/>
                <w:bCs/>
                <w:sz w:val="20"/>
              </w:rPr>
              <w:t>White</w:t>
            </w:r>
          </w:p>
        </w:tc>
        <w:tc>
          <w:tcPr>
            <w:tcW w:w="639" w:type="pct"/>
            <w:tcBorders>
              <w:top w:val="nil"/>
              <w:left w:val="nil"/>
              <w:bottom w:val="single" w:sz="4" w:space="0" w:color="auto"/>
              <w:right w:val="single" w:sz="4" w:space="0" w:color="auto"/>
            </w:tcBorders>
            <w:noWrap/>
            <w:vAlign w:val="center"/>
            <w:hideMark/>
          </w:tcPr>
          <w:p w14:paraId="367458D9"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63.3</w:t>
            </w:r>
          </w:p>
        </w:tc>
        <w:tc>
          <w:tcPr>
            <w:tcW w:w="534" w:type="pct"/>
            <w:tcBorders>
              <w:top w:val="nil"/>
              <w:left w:val="nil"/>
              <w:bottom w:val="single" w:sz="4" w:space="0" w:color="auto"/>
              <w:right w:val="single" w:sz="4" w:space="0" w:color="auto"/>
            </w:tcBorders>
            <w:noWrap/>
            <w:vAlign w:val="center"/>
            <w:hideMark/>
          </w:tcPr>
          <w:p w14:paraId="28814404"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1.636</w:t>
            </w:r>
          </w:p>
        </w:tc>
        <w:tc>
          <w:tcPr>
            <w:tcW w:w="514" w:type="pct"/>
            <w:tcBorders>
              <w:top w:val="nil"/>
              <w:left w:val="nil"/>
              <w:bottom w:val="single" w:sz="4" w:space="0" w:color="auto"/>
              <w:right w:val="single" w:sz="4" w:space="0" w:color="auto"/>
            </w:tcBorders>
            <w:noWrap/>
            <w:vAlign w:val="center"/>
            <w:hideMark/>
          </w:tcPr>
          <w:p w14:paraId="3F98F7EE"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74.8</w:t>
            </w:r>
          </w:p>
        </w:tc>
        <w:tc>
          <w:tcPr>
            <w:tcW w:w="515" w:type="pct"/>
            <w:tcBorders>
              <w:top w:val="nil"/>
              <w:left w:val="nil"/>
              <w:bottom w:val="single" w:sz="4" w:space="0" w:color="auto"/>
              <w:right w:val="single" w:sz="4" w:space="0" w:color="auto"/>
            </w:tcBorders>
            <w:noWrap/>
            <w:vAlign w:val="center"/>
            <w:hideMark/>
          </w:tcPr>
          <w:p w14:paraId="6A6C3B2D"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76.4</w:t>
            </w:r>
          </w:p>
        </w:tc>
        <w:tc>
          <w:tcPr>
            <w:tcW w:w="515" w:type="pct"/>
            <w:tcBorders>
              <w:top w:val="nil"/>
              <w:left w:val="nil"/>
              <w:bottom w:val="single" w:sz="4" w:space="0" w:color="auto"/>
              <w:right w:val="single" w:sz="4" w:space="0" w:color="auto"/>
            </w:tcBorders>
            <w:noWrap/>
            <w:vAlign w:val="center"/>
            <w:hideMark/>
          </w:tcPr>
          <w:p w14:paraId="552725C2"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78.0</w:t>
            </w:r>
          </w:p>
        </w:tc>
        <w:tc>
          <w:tcPr>
            <w:tcW w:w="469" w:type="pct"/>
            <w:tcBorders>
              <w:top w:val="nil"/>
              <w:left w:val="nil"/>
              <w:bottom w:val="single" w:sz="4" w:space="0" w:color="auto"/>
              <w:right w:val="single" w:sz="4" w:space="0" w:color="auto"/>
            </w:tcBorders>
            <w:noWrap/>
            <w:vAlign w:val="center"/>
            <w:hideMark/>
          </w:tcPr>
          <w:p w14:paraId="59E05958"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79.7</w:t>
            </w:r>
          </w:p>
        </w:tc>
        <w:tc>
          <w:tcPr>
            <w:tcW w:w="659" w:type="pct"/>
            <w:tcBorders>
              <w:top w:val="nil"/>
              <w:left w:val="nil"/>
              <w:bottom w:val="single" w:sz="4" w:space="0" w:color="auto"/>
              <w:right w:val="single" w:sz="4" w:space="0" w:color="auto"/>
            </w:tcBorders>
            <w:noWrap/>
            <w:vAlign w:val="center"/>
            <w:hideMark/>
          </w:tcPr>
          <w:p w14:paraId="0ED064F5"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16.4</w:t>
            </w:r>
          </w:p>
        </w:tc>
      </w:tr>
      <w:tr w:rsidR="00E62611" w:rsidRPr="0084140A" w14:paraId="2FA6BB08"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676CBB6F" w14:textId="77D0F203" w:rsidR="00E62611" w:rsidRPr="006F2B82" w:rsidRDefault="00E62611" w:rsidP="006F2B82">
            <w:pPr>
              <w:spacing w:line="240" w:lineRule="auto"/>
              <w:rPr>
                <w:rFonts w:ascii="Arial" w:hAnsi="Arial" w:cs="Arial"/>
                <w:b/>
                <w:bCs/>
                <w:sz w:val="20"/>
              </w:rPr>
            </w:pPr>
            <w:r w:rsidRPr="006F2B82">
              <w:rPr>
                <w:rFonts w:ascii="Arial" w:hAnsi="Arial" w:cs="Arial"/>
                <w:b/>
                <w:bCs/>
                <w:sz w:val="20"/>
              </w:rPr>
              <w:t xml:space="preserve">Economically Disadvantaged </w:t>
            </w:r>
            <w:r w:rsidR="00F57337">
              <w:rPr>
                <w:rFonts w:ascii="Arial" w:hAnsi="Arial" w:cs="Arial"/>
                <w:b/>
                <w:bCs/>
                <w:sz w:val="20"/>
              </w:rPr>
              <w:t>S</w:t>
            </w:r>
            <w:r w:rsidRPr="006F2B82">
              <w:rPr>
                <w:rFonts w:ascii="Arial" w:hAnsi="Arial" w:cs="Arial"/>
                <w:b/>
                <w:bCs/>
                <w:sz w:val="20"/>
              </w:rPr>
              <w:t>tudents</w:t>
            </w:r>
          </w:p>
        </w:tc>
        <w:tc>
          <w:tcPr>
            <w:tcW w:w="639" w:type="pct"/>
            <w:tcBorders>
              <w:top w:val="nil"/>
              <w:left w:val="nil"/>
              <w:bottom w:val="single" w:sz="4" w:space="0" w:color="auto"/>
              <w:right w:val="single" w:sz="4" w:space="0" w:color="auto"/>
            </w:tcBorders>
            <w:noWrap/>
            <w:vAlign w:val="center"/>
            <w:hideMark/>
          </w:tcPr>
          <w:p w14:paraId="515F7E58"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34.5</w:t>
            </w:r>
          </w:p>
        </w:tc>
        <w:tc>
          <w:tcPr>
            <w:tcW w:w="534" w:type="pct"/>
            <w:tcBorders>
              <w:top w:val="nil"/>
              <w:left w:val="nil"/>
              <w:bottom w:val="single" w:sz="4" w:space="0" w:color="auto"/>
              <w:right w:val="single" w:sz="4" w:space="0" w:color="auto"/>
            </w:tcBorders>
            <w:noWrap/>
            <w:vAlign w:val="center"/>
            <w:hideMark/>
          </w:tcPr>
          <w:p w14:paraId="577EDAD2"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2.550</w:t>
            </w:r>
          </w:p>
        </w:tc>
        <w:tc>
          <w:tcPr>
            <w:tcW w:w="514" w:type="pct"/>
            <w:tcBorders>
              <w:top w:val="nil"/>
              <w:left w:val="nil"/>
              <w:bottom w:val="single" w:sz="4" w:space="0" w:color="auto"/>
              <w:right w:val="single" w:sz="4" w:space="0" w:color="auto"/>
            </w:tcBorders>
            <w:noWrap/>
            <w:vAlign w:val="center"/>
            <w:hideMark/>
          </w:tcPr>
          <w:p w14:paraId="3709CD60"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52.4</w:t>
            </w:r>
          </w:p>
        </w:tc>
        <w:tc>
          <w:tcPr>
            <w:tcW w:w="515" w:type="pct"/>
            <w:tcBorders>
              <w:top w:val="nil"/>
              <w:left w:val="nil"/>
              <w:bottom w:val="single" w:sz="4" w:space="0" w:color="auto"/>
              <w:right w:val="single" w:sz="4" w:space="0" w:color="auto"/>
            </w:tcBorders>
            <w:noWrap/>
            <w:vAlign w:val="center"/>
            <w:hideMark/>
          </w:tcPr>
          <w:p w14:paraId="0E18A575"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54.9</w:t>
            </w:r>
          </w:p>
        </w:tc>
        <w:tc>
          <w:tcPr>
            <w:tcW w:w="515" w:type="pct"/>
            <w:tcBorders>
              <w:top w:val="nil"/>
              <w:left w:val="nil"/>
              <w:bottom w:val="single" w:sz="4" w:space="0" w:color="auto"/>
              <w:right w:val="single" w:sz="4" w:space="0" w:color="auto"/>
            </w:tcBorders>
            <w:noWrap/>
            <w:vAlign w:val="center"/>
            <w:hideMark/>
          </w:tcPr>
          <w:p w14:paraId="62903B37"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57.5</w:t>
            </w:r>
          </w:p>
        </w:tc>
        <w:tc>
          <w:tcPr>
            <w:tcW w:w="469" w:type="pct"/>
            <w:tcBorders>
              <w:top w:val="nil"/>
              <w:left w:val="nil"/>
              <w:bottom w:val="single" w:sz="4" w:space="0" w:color="auto"/>
              <w:right w:val="single" w:sz="4" w:space="0" w:color="auto"/>
            </w:tcBorders>
            <w:noWrap/>
            <w:vAlign w:val="center"/>
            <w:hideMark/>
          </w:tcPr>
          <w:p w14:paraId="523C9248"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60.0</w:t>
            </w:r>
          </w:p>
        </w:tc>
        <w:tc>
          <w:tcPr>
            <w:tcW w:w="659" w:type="pct"/>
            <w:tcBorders>
              <w:top w:val="nil"/>
              <w:left w:val="nil"/>
              <w:bottom w:val="single" w:sz="4" w:space="0" w:color="auto"/>
              <w:right w:val="single" w:sz="4" w:space="0" w:color="auto"/>
            </w:tcBorders>
            <w:noWrap/>
            <w:vAlign w:val="center"/>
            <w:hideMark/>
          </w:tcPr>
          <w:p w14:paraId="78C4C42C"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25.5</w:t>
            </w:r>
          </w:p>
        </w:tc>
      </w:tr>
      <w:tr w:rsidR="00E62611" w:rsidRPr="0084140A" w14:paraId="68286302" w14:textId="77777777" w:rsidTr="00EC4844">
        <w:trPr>
          <w:trHeight w:val="60"/>
        </w:trPr>
        <w:tc>
          <w:tcPr>
            <w:tcW w:w="1155" w:type="pct"/>
            <w:tcBorders>
              <w:top w:val="nil"/>
              <w:left w:val="single" w:sz="4" w:space="0" w:color="auto"/>
              <w:bottom w:val="single" w:sz="4" w:space="0" w:color="auto"/>
              <w:right w:val="single" w:sz="4" w:space="0" w:color="auto"/>
            </w:tcBorders>
            <w:noWrap/>
            <w:vAlign w:val="bottom"/>
            <w:hideMark/>
          </w:tcPr>
          <w:p w14:paraId="2A61DCE0" w14:textId="77777777" w:rsidR="00E62611" w:rsidRPr="006F2B82" w:rsidRDefault="00E62611" w:rsidP="006F2B82">
            <w:pPr>
              <w:spacing w:line="240" w:lineRule="auto"/>
              <w:rPr>
                <w:rFonts w:ascii="Arial" w:hAnsi="Arial" w:cs="Arial"/>
                <w:b/>
                <w:bCs/>
                <w:sz w:val="20"/>
              </w:rPr>
            </w:pPr>
            <w:r w:rsidRPr="006F2B82">
              <w:rPr>
                <w:rFonts w:ascii="Arial" w:hAnsi="Arial" w:cs="Arial"/>
                <w:b/>
                <w:bCs/>
                <w:sz w:val="20"/>
              </w:rPr>
              <w:t>English Learners</w:t>
            </w:r>
          </w:p>
        </w:tc>
        <w:tc>
          <w:tcPr>
            <w:tcW w:w="639" w:type="pct"/>
            <w:tcBorders>
              <w:top w:val="nil"/>
              <w:left w:val="nil"/>
              <w:bottom w:val="single" w:sz="4" w:space="0" w:color="auto"/>
              <w:right w:val="single" w:sz="4" w:space="0" w:color="auto"/>
            </w:tcBorders>
            <w:noWrap/>
            <w:vAlign w:val="center"/>
            <w:hideMark/>
          </w:tcPr>
          <w:p w14:paraId="07635558"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3.6</w:t>
            </w:r>
          </w:p>
        </w:tc>
        <w:tc>
          <w:tcPr>
            <w:tcW w:w="534" w:type="pct"/>
            <w:tcBorders>
              <w:top w:val="nil"/>
              <w:left w:val="nil"/>
              <w:bottom w:val="single" w:sz="4" w:space="0" w:color="auto"/>
              <w:right w:val="single" w:sz="4" w:space="0" w:color="auto"/>
            </w:tcBorders>
            <w:noWrap/>
            <w:vAlign w:val="center"/>
            <w:hideMark/>
          </w:tcPr>
          <w:p w14:paraId="08CDCDE4"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3.531</w:t>
            </w:r>
          </w:p>
        </w:tc>
        <w:tc>
          <w:tcPr>
            <w:tcW w:w="514" w:type="pct"/>
            <w:tcBorders>
              <w:top w:val="nil"/>
              <w:left w:val="nil"/>
              <w:bottom w:val="single" w:sz="4" w:space="0" w:color="auto"/>
              <w:right w:val="single" w:sz="4" w:space="0" w:color="auto"/>
            </w:tcBorders>
            <w:noWrap/>
            <w:vAlign w:val="center"/>
            <w:hideMark/>
          </w:tcPr>
          <w:p w14:paraId="75CF9450"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28.3</w:t>
            </w:r>
          </w:p>
        </w:tc>
        <w:tc>
          <w:tcPr>
            <w:tcW w:w="515" w:type="pct"/>
            <w:tcBorders>
              <w:top w:val="nil"/>
              <w:left w:val="nil"/>
              <w:bottom w:val="single" w:sz="4" w:space="0" w:color="auto"/>
              <w:right w:val="single" w:sz="4" w:space="0" w:color="auto"/>
            </w:tcBorders>
            <w:noWrap/>
            <w:vAlign w:val="center"/>
            <w:hideMark/>
          </w:tcPr>
          <w:p w14:paraId="3779C23D"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31.8</w:t>
            </w:r>
          </w:p>
        </w:tc>
        <w:tc>
          <w:tcPr>
            <w:tcW w:w="515" w:type="pct"/>
            <w:tcBorders>
              <w:top w:val="nil"/>
              <w:left w:val="nil"/>
              <w:bottom w:val="single" w:sz="4" w:space="0" w:color="auto"/>
              <w:right w:val="single" w:sz="4" w:space="0" w:color="auto"/>
            </w:tcBorders>
            <w:noWrap/>
            <w:vAlign w:val="center"/>
            <w:hideMark/>
          </w:tcPr>
          <w:p w14:paraId="551D7DB1"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35.4</w:t>
            </w:r>
          </w:p>
        </w:tc>
        <w:tc>
          <w:tcPr>
            <w:tcW w:w="469" w:type="pct"/>
            <w:tcBorders>
              <w:top w:val="nil"/>
              <w:left w:val="nil"/>
              <w:bottom w:val="single" w:sz="4" w:space="0" w:color="auto"/>
              <w:right w:val="single" w:sz="4" w:space="0" w:color="auto"/>
            </w:tcBorders>
            <w:noWrap/>
            <w:vAlign w:val="center"/>
            <w:hideMark/>
          </w:tcPr>
          <w:p w14:paraId="676BDFD7"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38.9</w:t>
            </w:r>
          </w:p>
        </w:tc>
        <w:tc>
          <w:tcPr>
            <w:tcW w:w="659" w:type="pct"/>
            <w:tcBorders>
              <w:top w:val="nil"/>
              <w:left w:val="nil"/>
              <w:bottom w:val="single" w:sz="4" w:space="0" w:color="auto"/>
              <w:right w:val="single" w:sz="4" w:space="0" w:color="auto"/>
            </w:tcBorders>
            <w:noWrap/>
            <w:vAlign w:val="center"/>
            <w:hideMark/>
          </w:tcPr>
          <w:p w14:paraId="30773491"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35.3</w:t>
            </w:r>
          </w:p>
        </w:tc>
      </w:tr>
      <w:tr w:rsidR="00E62611" w:rsidRPr="0084140A" w14:paraId="2E5E180B" w14:textId="77777777" w:rsidTr="00EC4844">
        <w:trPr>
          <w:trHeight w:val="295"/>
        </w:trPr>
        <w:tc>
          <w:tcPr>
            <w:tcW w:w="1155" w:type="pct"/>
            <w:tcBorders>
              <w:top w:val="nil"/>
              <w:left w:val="single" w:sz="4" w:space="0" w:color="auto"/>
              <w:bottom w:val="single" w:sz="4" w:space="0" w:color="auto"/>
              <w:right w:val="single" w:sz="4" w:space="0" w:color="auto"/>
            </w:tcBorders>
            <w:noWrap/>
            <w:vAlign w:val="bottom"/>
            <w:hideMark/>
          </w:tcPr>
          <w:p w14:paraId="706B36BD" w14:textId="6E470565" w:rsidR="00E62611" w:rsidRPr="006F2B82" w:rsidRDefault="00E62611" w:rsidP="006F2B82">
            <w:pPr>
              <w:spacing w:line="240" w:lineRule="auto"/>
              <w:rPr>
                <w:rFonts w:ascii="Arial" w:hAnsi="Arial" w:cs="Arial"/>
                <w:b/>
                <w:bCs/>
                <w:sz w:val="20"/>
              </w:rPr>
            </w:pPr>
            <w:r w:rsidRPr="006F2B82">
              <w:rPr>
                <w:rFonts w:ascii="Arial" w:hAnsi="Arial" w:cs="Arial"/>
                <w:b/>
                <w:bCs/>
                <w:sz w:val="20"/>
              </w:rPr>
              <w:t>Students with Disabilities</w:t>
            </w:r>
          </w:p>
        </w:tc>
        <w:tc>
          <w:tcPr>
            <w:tcW w:w="639" w:type="pct"/>
            <w:tcBorders>
              <w:top w:val="nil"/>
              <w:left w:val="nil"/>
              <w:bottom w:val="single" w:sz="4" w:space="0" w:color="auto"/>
              <w:right w:val="single" w:sz="4" w:space="0" w:color="auto"/>
            </w:tcBorders>
            <w:noWrap/>
            <w:vAlign w:val="center"/>
            <w:hideMark/>
          </w:tcPr>
          <w:p w14:paraId="5C1FE9E5"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13.0</w:t>
            </w:r>
          </w:p>
        </w:tc>
        <w:tc>
          <w:tcPr>
            <w:tcW w:w="534" w:type="pct"/>
            <w:tcBorders>
              <w:top w:val="nil"/>
              <w:left w:val="nil"/>
              <w:bottom w:val="single" w:sz="4" w:space="0" w:color="auto"/>
              <w:right w:val="single" w:sz="4" w:space="0" w:color="auto"/>
            </w:tcBorders>
            <w:noWrap/>
            <w:vAlign w:val="center"/>
            <w:hideMark/>
          </w:tcPr>
          <w:p w14:paraId="4F5CCC22"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3.232</w:t>
            </w:r>
          </w:p>
        </w:tc>
        <w:tc>
          <w:tcPr>
            <w:tcW w:w="514" w:type="pct"/>
            <w:tcBorders>
              <w:top w:val="nil"/>
              <w:left w:val="nil"/>
              <w:bottom w:val="single" w:sz="4" w:space="0" w:color="auto"/>
              <w:right w:val="single" w:sz="4" w:space="0" w:color="auto"/>
            </w:tcBorders>
            <w:noWrap/>
            <w:vAlign w:val="center"/>
            <w:hideMark/>
          </w:tcPr>
          <w:p w14:paraId="7FA71FDB"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35.6</w:t>
            </w:r>
          </w:p>
        </w:tc>
        <w:tc>
          <w:tcPr>
            <w:tcW w:w="515" w:type="pct"/>
            <w:tcBorders>
              <w:top w:val="nil"/>
              <w:left w:val="nil"/>
              <w:bottom w:val="single" w:sz="4" w:space="0" w:color="auto"/>
              <w:right w:val="single" w:sz="4" w:space="0" w:color="auto"/>
            </w:tcBorders>
            <w:noWrap/>
            <w:vAlign w:val="center"/>
            <w:hideMark/>
          </w:tcPr>
          <w:p w14:paraId="497E21F3"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38.9</w:t>
            </w:r>
          </w:p>
        </w:tc>
        <w:tc>
          <w:tcPr>
            <w:tcW w:w="515" w:type="pct"/>
            <w:tcBorders>
              <w:top w:val="nil"/>
              <w:left w:val="nil"/>
              <w:bottom w:val="single" w:sz="4" w:space="0" w:color="auto"/>
              <w:right w:val="single" w:sz="4" w:space="0" w:color="auto"/>
            </w:tcBorders>
            <w:noWrap/>
            <w:vAlign w:val="center"/>
            <w:hideMark/>
          </w:tcPr>
          <w:p w14:paraId="06E937D4"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42.1</w:t>
            </w:r>
          </w:p>
        </w:tc>
        <w:tc>
          <w:tcPr>
            <w:tcW w:w="469" w:type="pct"/>
            <w:tcBorders>
              <w:top w:val="nil"/>
              <w:left w:val="nil"/>
              <w:bottom w:val="single" w:sz="4" w:space="0" w:color="auto"/>
              <w:right w:val="single" w:sz="4" w:space="0" w:color="auto"/>
            </w:tcBorders>
            <w:noWrap/>
            <w:vAlign w:val="center"/>
            <w:hideMark/>
          </w:tcPr>
          <w:p w14:paraId="3C0F7D9B" w14:textId="77777777" w:rsidR="00E62611" w:rsidRPr="0084140A" w:rsidRDefault="00E62611" w:rsidP="0084140A">
            <w:pPr>
              <w:spacing w:line="240" w:lineRule="auto"/>
              <w:jc w:val="center"/>
              <w:rPr>
                <w:rFonts w:ascii="Calibri" w:hAnsi="Calibri" w:cs="Calibri"/>
                <w:sz w:val="22"/>
                <w:szCs w:val="22"/>
              </w:rPr>
            </w:pPr>
            <w:r w:rsidRPr="0084140A">
              <w:rPr>
                <w:rFonts w:ascii="Calibri" w:hAnsi="Calibri" w:cs="Calibri"/>
                <w:sz w:val="22"/>
                <w:szCs w:val="22"/>
              </w:rPr>
              <w:t>45.3</w:t>
            </w:r>
          </w:p>
        </w:tc>
        <w:tc>
          <w:tcPr>
            <w:tcW w:w="659" w:type="pct"/>
            <w:tcBorders>
              <w:top w:val="nil"/>
              <w:left w:val="nil"/>
              <w:bottom w:val="single" w:sz="4" w:space="0" w:color="auto"/>
              <w:right w:val="single" w:sz="4" w:space="0" w:color="auto"/>
            </w:tcBorders>
            <w:noWrap/>
            <w:vAlign w:val="center"/>
            <w:hideMark/>
          </w:tcPr>
          <w:p w14:paraId="395288FD" w14:textId="77777777" w:rsidR="00E62611" w:rsidRPr="0084140A" w:rsidRDefault="00E62611" w:rsidP="0084140A">
            <w:pPr>
              <w:spacing w:line="240" w:lineRule="auto"/>
              <w:jc w:val="center"/>
              <w:rPr>
                <w:rFonts w:ascii="Calibri" w:hAnsi="Calibri" w:cs="Calibri"/>
                <w:b/>
                <w:bCs/>
                <w:sz w:val="22"/>
                <w:szCs w:val="22"/>
              </w:rPr>
            </w:pPr>
            <w:r w:rsidRPr="0084140A">
              <w:rPr>
                <w:rFonts w:ascii="Calibri" w:hAnsi="Calibri" w:cs="Calibri"/>
                <w:b/>
                <w:bCs/>
                <w:sz w:val="22"/>
                <w:szCs w:val="22"/>
              </w:rPr>
              <w:t>32.3</w:t>
            </w:r>
          </w:p>
        </w:tc>
      </w:tr>
    </w:tbl>
    <w:p w14:paraId="206D9A14" w14:textId="77777777" w:rsidR="009642A7" w:rsidRPr="00BF1F0E" w:rsidRDefault="009642A7">
      <w:pPr>
        <w:spacing w:line="240" w:lineRule="auto"/>
        <w:rPr>
          <w:rFonts w:ascii="Arial" w:hAnsi="Arial" w:cs="Arial"/>
          <w:color w:val="auto"/>
          <w:sz w:val="20"/>
        </w:rPr>
      </w:pPr>
      <w:r w:rsidRPr="00BF1F0E">
        <w:rPr>
          <w:rFonts w:ascii="Arial" w:hAnsi="Arial" w:cs="Arial"/>
          <w:color w:val="auto"/>
          <w:sz w:val="20"/>
        </w:rPr>
        <w:br w:type="page"/>
      </w:r>
    </w:p>
    <w:p w14:paraId="2012D17D" w14:textId="4F37881D" w:rsidR="00EF7527" w:rsidRPr="00EF6288" w:rsidRDefault="00EF7527" w:rsidP="00EF7527">
      <w:pPr>
        <w:spacing w:line="240" w:lineRule="auto"/>
        <w:rPr>
          <w:rFonts w:ascii="Arial" w:hAnsi="Arial" w:cs="Arial"/>
          <w:b/>
          <w:iCs/>
          <w:caps/>
          <w:color w:val="auto"/>
          <w:kern w:val="16"/>
          <w:sz w:val="28"/>
          <w:szCs w:val="28"/>
        </w:rPr>
      </w:pPr>
      <w:r w:rsidRPr="00163351">
        <w:rPr>
          <w:rFonts w:ascii="Arial" w:hAnsi="Arial" w:cs="Arial"/>
          <w:color w:val="auto"/>
          <w:sz w:val="20"/>
        </w:rPr>
        <w:lastRenderedPageBreak/>
        <w:t>TABLE 10.6.</w:t>
      </w:r>
      <w:r>
        <w:rPr>
          <w:rFonts w:ascii="Arial" w:hAnsi="Arial" w:cs="Arial"/>
          <w:color w:val="auto"/>
          <w:sz w:val="20"/>
        </w:rPr>
        <w:t>3.</w:t>
      </w:r>
      <w:r w:rsidRPr="00163351">
        <w:rPr>
          <w:rFonts w:ascii="Arial" w:hAnsi="Arial" w:cs="Arial"/>
          <w:color w:val="auto"/>
          <w:sz w:val="20"/>
        </w:rPr>
        <w:t xml:space="preserve"> State </w:t>
      </w:r>
      <w:r>
        <w:rPr>
          <w:rFonts w:ascii="Arial" w:hAnsi="Arial" w:cs="Arial"/>
          <w:color w:val="auto"/>
          <w:sz w:val="20"/>
        </w:rPr>
        <w:t>l</w:t>
      </w:r>
      <w:r w:rsidRPr="00163351">
        <w:rPr>
          <w:rFonts w:ascii="Arial" w:hAnsi="Arial" w:cs="Arial"/>
          <w:color w:val="auto"/>
          <w:sz w:val="20"/>
        </w:rPr>
        <w:t xml:space="preserve">evel </w:t>
      </w:r>
      <w:r>
        <w:rPr>
          <w:rFonts w:ascii="Arial" w:hAnsi="Arial" w:cs="Arial"/>
          <w:color w:val="auto"/>
          <w:sz w:val="20"/>
        </w:rPr>
        <w:t xml:space="preserve">high school </w:t>
      </w:r>
      <w:r w:rsidR="00F44728">
        <w:rPr>
          <w:rFonts w:ascii="Arial" w:hAnsi="Arial" w:cs="Arial"/>
          <w:color w:val="auto"/>
          <w:sz w:val="20"/>
        </w:rPr>
        <w:t>mathematics</w:t>
      </w:r>
      <w:r>
        <w:rPr>
          <w:rFonts w:ascii="Arial" w:hAnsi="Arial" w:cs="Arial"/>
          <w:color w:val="auto"/>
          <w:sz w:val="20"/>
        </w:rPr>
        <w:t>, yearly measure of interim progress proficiency goals</w:t>
      </w:r>
    </w:p>
    <w:tbl>
      <w:tblPr>
        <w:tblW w:w="4394" w:type="pct"/>
        <w:tblLayout w:type="fixed"/>
        <w:tblLook w:val="04A0" w:firstRow="1" w:lastRow="0" w:firstColumn="1" w:lastColumn="0" w:noHBand="0" w:noVBand="1"/>
      </w:tblPr>
      <w:tblGrid>
        <w:gridCol w:w="2737"/>
        <w:gridCol w:w="1515"/>
        <w:gridCol w:w="1136"/>
        <w:gridCol w:w="1234"/>
        <w:gridCol w:w="1234"/>
        <w:gridCol w:w="1234"/>
        <w:gridCol w:w="1163"/>
        <w:gridCol w:w="1127"/>
      </w:tblGrid>
      <w:tr w:rsidR="00F44728" w:rsidRPr="00F44728" w14:paraId="430B8511" w14:textId="77777777" w:rsidTr="00DA7833">
        <w:trPr>
          <w:trHeight w:val="60"/>
        </w:trPr>
        <w:tc>
          <w:tcPr>
            <w:tcW w:w="1203"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61E5ECA" w14:textId="2066C29A" w:rsidR="00F44728" w:rsidRPr="00F44728" w:rsidRDefault="00F44728" w:rsidP="00F44728">
            <w:pPr>
              <w:spacing w:line="240" w:lineRule="auto"/>
              <w:rPr>
                <w:rFonts w:ascii="Calibri" w:hAnsi="Calibri" w:cs="Calibri"/>
                <w:b/>
                <w:bCs/>
                <w:sz w:val="44"/>
                <w:szCs w:val="44"/>
              </w:rPr>
            </w:pPr>
            <w:r w:rsidRPr="00C86335">
              <w:rPr>
                <w:rFonts w:ascii="Arial" w:hAnsi="Arial" w:cs="Arial"/>
                <w:b/>
                <w:bCs/>
                <w:sz w:val="20"/>
              </w:rPr>
              <w:t xml:space="preserve">State Level </w:t>
            </w:r>
            <w:r w:rsidR="00555A41">
              <w:rPr>
                <w:rFonts w:ascii="Arial" w:hAnsi="Arial" w:cs="Arial"/>
                <w:b/>
                <w:bCs/>
                <w:sz w:val="20"/>
              </w:rPr>
              <w:t>Mathematics</w:t>
            </w:r>
            <w:r w:rsidR="004C67A0" w:rsidRPr="00BF1F0E">
              <w:rPr>
                <w:rFonts w:ascii="Arial" w:hAnsi="Arial" w:cs="Arial"/>
                <w:b/>
                <w:bCs/>
                <w:sz w:val="20"/>
              </w:rPr>
              <w:t xml:space="preserve"> </w:t>
            </w:r>
            <w:r>
              <w:rPr>
                <w:rFonts w:ascii="Arial" w:hAnsi="Arial" w:cs="Arial"/>
                <w:b/>
                <w:bCs/>
                <w:sz w:val="20"/>
              </w:rPr>
              <w:t>High School</w:t>
            </w:r>
            <w:r w:rsidR="004C67A0" w:rsidRPr="00BF1F0E">
              <w:rPr>
                <w:rFonts w:ascii="Arial" w:hAnsi="Arial" w:cs="Arial"/>
                <w:b/>
                <w:bCs/>
                <w:sz w:val="20"/>
              </w:rPr>
              <w:t xml:space="preserve"> </w:t>
            </w:r>
          </w:p>
        </w:tc>
        <w:tc>
          <w:tcPr>
            <w:tcW w:w="66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27278D" w14:textId="566AA87F" w:rsidR="00F44728" w:rsidRPr="00F44728" w:rsidRDefault="00F44728" w:rsidP="006F2B82">
            <w:pPr>
              <w:spacing w:line="240" w:lineRule="auto"/>
              <w:jc w:val="center"/>
              <w:rPr>
                <w:rFonts w:ascii="Calibri" w:hAnsi="Calibri" w:cs="Calibri"/>
                <w:b/>
                <w:bCs/>
                <w:sz w:val="22"/>
                <w:szCs w:val="22"/>
              </w:rPr>
            </w:pPr>
            <w:r w:rsidRPr="00C86335">
              <w:rPr>
                <w:rFonts w:ascii="Arial" w:hAnsi="Arial" w:cs="Arial"/>
                <w:b/>
                <w:bCs/>
                <w:sz w:val="20"/>
              </w:rPr>
              <w:t>2015–2016 Baseline Performance</w:t>
            </w:r>
          </w:p>
        </w:tc>
        <w:tc>
          <w:tcPr>
            <w:tcW w:w="49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7252098" w14:textId="5BAA3257" w:rsidR="00F44728" w:rsidRPr="00F44728" w:rsidRDefault="00F44728" w:rsidP="004C67A0">
            <w:pPr>
              <w:spacing w:line="240" w:lineRule="auto"/>
              <w:contextualSpacing/>
              <w:jc w:val="center"/>
              <w:rPr>
                <w:rFonts w:ascii="Calibri" w:hAnsi="Calibri" w:cs="Calibri"/>
                <w:b/>
                <w:bCs/>
                <w:sz w:val="22"/>
                <w:szCs w:val="22"/>
              </w:rPr>
            </w:pPr>
            <w:r w:rsidRPr="00C86335">
              <w:rPr>
                <w:rFonts w:ascii="Arial" w:hAnsi="Arial" w:cs="Arial"/>
                <w:b/>
                <w:bCs/>
                <w:sz w:val="20"/>
              </w:rPr>
              <w:t>Percent Increase</w:t>
            </w:r>
            <w:r w:rsidR="004C67A0" w:rsidRPr="00BF1F0E">
              <w:rPr>
                <w:rFonts w:ascii="Arial" w:hAnsi="Arial" w:cs="Arial"/>
                <w:b/>
                <w:bCs/>
                <w:sz w:val="20"/>
              </w:rPr>
              <w:t xml:space="preserve"> </w:t>
            </w:r>
            <w:r w:rsidRPr="00C86335">
              <w:rPr>
                <w:rFonts w:ascii="Arial" w:hAnsi="Arial" w:cs="Arial"/>
                <w:b/>
                <w:bCs/>
                <w:sz w:val="20"/>
              </w:rPr>
              <w:t>Per Year</w:t>
            </w:r>
            <w:r w:rsidR="004C67A0" w:rsidRPr="00BF1F0E">
              <w:rPr>
                <w:rFonts w:ascii="Arial" w:hAnsi="Arial" w:cs="Arial"/>
                <w:b/>
                <w:bCs/>
                <w:sz w:val="20"/>
              </w:rPr>
              <w:t xml:space="preserve"> </w:t>
            </w:r>
          </w:p>
        </w:tc>
        <w:tc>
          <w:tcPr>
            <w:tcW w:w="542"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C1FCA86" w14:textId="1B8AD221"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2025–26</w:t>
            </w:r>
            <w:r w:rsidRPr="00F44728">
              <w:rPr>
                <w:rFonts w:ascii="Calibri" w:hAnsi="Calibri" w:cs="Calibri"/>
                <w:b/>
                <w:bCs/>
                <w:sz w:val="22"/>
                <w:szCs w:val="22"/>
              </w:rPr>
              <w:br/>
            </w:r>
          </w:p>
        </w:tc>
        <w:tc>
          <w:tcPr>
            <w:tcW w:w="542"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3AA93BC4" w14:textId="53101224"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2026–27</w:t>
            </w:r>
            <w:r w:rsidRPr="00F44728">
              <w:rPr>
                <w:rFonts w:ascii="Calibri" w:hAnsi="Calibri" w:cs="Calibri"/>
                <w:b/>
                <w:bCs/>
                <w:sz w:val="22"/>
                <w:szCs w:val="22"/>
              </w:rPr>
              <w:br/>
            </w:r>
          </w:p>
        </w:tc>
        <w:tc>
          <w:tcPr>
            <w:tcW w:w="542"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96693D1" w14:textId="318FF3FF"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2027–28</w:t>
            </w:r>
            <w:r w:rsidRPr="00F44728">
              <w:rPr>
                <w:rFonts w:ascii="Calibri" w:hAnsi="Calibri" w:cs="Calibri"/>
                <w:b/>
                <w:bCs/>
                <w:sz w:val="22"/>
                <w:szCs w:val="22"/>
              </w:rPr>
              <w:br/>
            </w:r>
          </w:p>
        </w:tc>
        <w:tc>
          <w:tcPr>
            <w:tcW w:w="511" w:type="pc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14:paraId="3F416296" w14:textId="54CEA93B" w:rsidR="00F44728" w:rsidRPr="00F44728" w:rsidRDefault="00F44728" w:rsidP="004C67A0">
            <w:pPr>
              <w:spacing w:line="240" w:lineRule="auto"/>
              <w:contextualSpacing/>
              <w:jc w:val="center"/>
              <w:rPr>
                <w:rFonts w:ascii="Calibri" w:hAnsi="Calibri" w:cs="Calibri"/>
                <w:b/>
                <w:bCs/>
                <w:sz w:val="22"/>
                <w:szCs w:val="22"/>
              </w:rPr>
            </w:pPr>
            <w:r w:rsidRPr="00C86335">
              <w:rPr>
                <w:rFonts w:ascii="Arial" w:hAnsi="Arial" w:cs="Arial"/>
                <w:b/>
                <w:bCs/>
                <w:sz w:val="20"/>
              </w:rPr>
              <w:t>2028–29</w:t>
            </w:r>
            <w:r w:rsidR="004C67A0" w:rsidRPr="00BF1F0E">
              <w:rPr>
                <w:rFonts w:ascii="Arial" w:hAnsi="Arial" w:cs="Arial"/>
                <w:b/>
                <w:bCs/>
                <w:sz w:val="20"/>
              </w:rPr>
              <w:t xml:space="preserve"> </w:t>
            </w:r>
            <w:r w:rsidRPr="00C86335">
              <w:rPr>
                <w:rFonts w:ascii="Arial" w:hAnsi="Arial" w:cs="Arial"/>
                <w:b/>
                <w:bCs/>
                <w:sz w:val="20"/>
              </w:rPr>
              <w:t>12-Year Goal</w:t>
            </w:r>
          </w:p>
        </w:tc>
        <w:tc>
          <w:tcPr>
            <w:tcW w:w="497" w:type="pc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14:paraId="4A6FEE08" w14:textId="4346F360" w:rsidR="00F44728" w:rsidRPr="00F44728" w:rsidRDefault="00F44728" w:rsidP="006F2B82">
            <w:pPr>
              <w:spacing w:line="240" w:lineRule="auto"/>
              <w:jc w:val="center"/>
              <w:rPr>
                <w:rFonts w:ascii="Calibri" w:hAnsi="Calibri" w:cs="Calibri"/>
                <w:b/>
                <w:bCs/>
                <w:sz w:val="22"/>
                <w:szCs w:val="22"/>
              </w:rPr>
            </w:pPr>
            <w:r w:rsidRPr="00C86335">
              <w:rPr>
                <w:rFonts w:ascii="Arial" w:hAnsi="Arial" w:cs="Arial"/>
                <w:b/>
                <w:bCs/>
                <w:sz w:val="20"/>
              </w:rPr>
              <w:t>12-Year Percent</w:t>
            </w:r>
            <w:r w:rsidR="004C67A0" w:rsidRPr="00BF1F0E">
              <w:rPr>
                <w:rFonts w:ascii="Arial" w:hAnsi="Arial" w:cs="Arial"/>
                <w:b/>
                <w:bCs/>
                <w:sz w:val="20"/>
              </w:rPr>
              <w:t xml:space="preserve"> </w:t>
            </w:r>
            <w:r>
              <w:rPr>
                <w:rFonts w:ascii="Arial" w:hAnsi="Arial" w:cs="Arial"/>
                <w:b/>
                <w:bCs/>
                <w:sz w:val="20"/>
              </w:rPr>
              <w:t>Increase</w:t>
            </w:r>
          </w:p>
        </w:tc>
      </w:tr>
      <w:tr w:rsidR="00F44728" w:rsidRPr="00F44728" w14:paraId="5127616B"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2BFCC70D"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All Students</w:t>
            </w:r>
          </w:p>
        </w:tc>
        <w:tc>
          <w:tcPr>
            <w:tcW w:w="666" w:type="pct"/>
            <w:tcBorders>
              <w:top w:val="nil"/>
              <w:left w:val="nil"/>
              <w:bottom w:val="single" w:sz="4" w:space="0" w:color="auto"/>
              <w:right w:val="single" w:sz="4" w:space="0" w:color="auto"/>
            </w:tcBorders>
            <w:noWrap/>
            <w:vAlign w:val="center"/>
            <w:hideMark/>
          </w:tcPr>
          <w:p w14:paraId="1B6D0A74"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43.5</w:t>
            </w:r>
          </w:p>
        </w:tc>
        <w:tc>
          <w:tcPr>
            <w:tcW w:w="499" w:type="pct"/>
            <w:tcBorders>
              <w:top w:val="nil"/>
              <w:left w:val="nil"/>
              <w:bottom w:val="single" w:sz="4" w:space="0" w:color="auto"/>
              <w:right w:val="single" w:sz="4" w:space="0" w:color="auto"/>
            </w:tcBorders>
            <w:noWrap/>
            <w:vAlign w:val="center"/>
            <w:hideMark/>
          </w:tcPr>
          <w:p w14:paraId="4136B79E"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2.981</w:t>
            </w:r>
          </w:p>
        </w:tc>
        <w:tc>
          <w:tcPr>
            <w:tcW w:w="542" w:type="pct"/>
            <w:tcBorders>
              <w:top w:val="nil"/>
              <w:left w:val="nil"/>
              <w:bottom w:val="single" w:sz="4" w:space="0" w:color="auto"/>
              <w:right w:val="single" w:sz="4" w:space="0" w:color="auto"/>
            </w:tcBorders>
            <w:noWrap/>
            <w:vAlign w:val="center"/>
            <w:hideMark/>
          </w:tcPr>
          <w:p w14:paraId="4986DD2E"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64.4</w:t>
            </w:r>
          </w:p>
        </w:tc>
        <w:tc>
          <w:tcPr>
            <w:tcW w:w="542" w:type="pct"/>
            <w:tcBorders>
              <w:top w:val="nil"/>
              <w:left w:val="nil"/>
              <w:bottom w:val="single" w:sz="4" w:space="0" w:color="auto"/>
              <w:right w:val="single" w:sz="4" w:space="0" w:color="auto"/>
            </w:tcBorders>
            <w:noWrap/>
            <w:vAlign w:val="center"/>
            <w:hideMark/>
          </w:tcPr>
          <w:p w14:paraId="55E018EF"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67.3</w:t>
            </w:r>
          </w:p>
        </w:tc>
        <w:tc>
          <w:tcPr>
            <w:tcW w:w="542" w:type="pct"/>
            <w:tcBorders>
              <w:top w:val="nil"/>
              <w:left w:val="nil"/>
              <w:bottom w:val="single" w:sz="4" w:space="0" w:color="auto"/>
              <w:right w:val="single" w:sz="4" w:space="0" w:color="auto"/>
            </w:tcBorders>
            <w:noWrap/>
            <w:vAlign w:val="center"/>
            <w:hideMark/>
          </w:tcPr>
          <w:p w14:paraId="11295FE5"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70.3</w:t>
            </w:r>
          </w:p>
        </w:tc>
        <w:tc>
          <w:tcPr>
            <w:tcW w:w="511" w:type="pct"/>
            <w:tcBorders>
              <w:top w:val="nil"/>
              <w:left w:val="nil"/>
              <w:bottom w:val="single" w:sz="4" w:space="0" w:color="auto"/>
              <w:right w:val="single" w:sz="4" w:space="0" w:color="auto"/>
            </w:tcBorders>
            <w:noWrap/>
            <w:vAlign w:val="center"/>
            <w:hideMark/>
          </w:tcPr>
          <w:p w14:paraId="7B508A36"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73.3</w:t>
            </w:r>
          </w:p>
        </w:tc>
        <w:tc>
          <w:tcPr>
            <w:tcW w:w="497" w:type="pct"/>
            <w:tcBorders>
              <w:top w:val="nil"/>
              <w:left w:val="nil"/>
              <w:bottom w:val="single" w:sz="4" w:space="0" w:color="auto"/>
              <w:right w:val="single" w:sz="4" w:space="0" w:color="auto"/>
            </w:tcBorders>
            <w:noWrap/>
            <w:vAlign w:val="center"/>
            <w:hideMark/>
          </w:tcPr>
          <w:p w14:paraId="5BD33865"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29.8</w:t>
            </w:r>
          </w:p>
        </w:tc>
      </w:tr>
      <w:tr w:rsidR="00F44728" w:rsidRPr="00F44728" w14:paraId="3DADAD75"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6FE2CDCA"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American Indian</w:t>
            </w:r>
          </w:p>
        </w:tc>
        <w:tc>
          <w:tcPr>
            <w:tcW w:w="666" w:type="pct"/>
            <w:tcBorders>
              <w:top w:val="nil"/>
              <w:left w:val="nil"/>
              <w:bottom w:val="single" w:sz="4" w:space="0" w:color="auto"/>
              <w:right w:val="single" w:sz="4" w:space="0" w:color="auto"/>
            </w:tcBorders>
            <w:noWrap/>
            <w:vAlign w:val="center"/>
            <w:hideMark/>
          </w:tcPr>
          <w:p w14:paraId="6AFDC3D4"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28.4</w:t>
            </w:r>
          </w:p>
        </w:tc>
        <w:tc>
          <w:tcPr>
            <w:tcW w:w="499" w:type="pct"/>
            <w:tcBorders>
              <w:top w:val="nil"/>
              <w:left w:val="nil"/>
              <w:bottom w:val="single" w:sz="4" w:space="0" w:color="auto"/>
              <w:right w:val="single" w:sz="4" w:space="0" w:color="auto"/>
            </w:tcBorders>
            <w:noWrap/>
            <w:vAlign w:val="center"/>
            <w:hideMark/>
          </w:tcPr>
          <w:p w14:paraId="244E9793"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3.433</w:t>
            </w:r>
          </w:p>
        </w:tc>
        <w:tc>
          <w:tcPr>
            <w:tcW w:w="542" w:type="pct"/>
            <w:tcBorders>
              <w:top w:val="nil"/>
              <w:left w:val="nil"/>
              <w:bottom w:val="single" w:sz="4" w:space="0" w:color="auto"/>
              <w:right w:val="single" w:sz="4" w:space="0" w:color="auto"/>
            </w:tcBorders>
            <w:noWrap/>
            <w:vAlign w:val="center"/>
            <w:hideMark/>
          </w:tcPr>
          <w:p w14:paraId="640CEB14"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52.4</w:t>
            </w:r>
          </w:p>
        </w:tc>
        <w:tc>
          <w:tcPr>
            <w:tcW w:w="542" w:type="pct"/>
            <w:tcBorders>
              <w:top w:val="nil"/>
              <w:left w:val="nil"/>
              <w:bottom w:val="single" w:sz="4" w:space="0" w:color="auto"/>
              <w:right w:val="single" w:sz="4" w:space="0" w:color="auto"/>
            </w:tcBorders>
            <w:noWrap/>
            <w:vAlign w:val="center"/>
            <w:hideMark/>
          </w:tcPr>
          <w:p w14:paraId="5EA349B6"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55.9</w:t>
            </w:r>
          </w:p>
        </w:tc>
        <w:tc>
          <w:tcPr>
            <w:tcW w:w="542" w:type="pct"/>
            <w:tcBorders>
              <w:top w:val="nil"/>
              <w:left w:val="nil"/>
              <w:bottom w:val="single" w:sz="4" w:space="0" w:color="auto"/>
              <w:right w:val="single" w:sz="4" w:space="0" w:color="auto"/>
            </w:tcBorders>
            <w:noWrap/>
            <w:vAlign w:val="center"/>
            <w:hideMark/>
          </w:tcPr>
          <w:p w14:paraId="394FB717"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59.3</w:t>
            </w:r>
          </w:p>
        </w:tc>
        <w:tc>
          <w:tcPr>
            <w:tcW w:w="511" w:type="pct"/>
            <w:tcBorders>
              <w:top w:val="nil"/>
              <w:left w:val="nil"/>
              <w:bottom w:val="single" w:sz="4" w:space="0" w:color="auto"/>
              <w:right w:val="single" w:sz="4" w:space="0" w:color="auto"/>
            </w:tcBorders>
            <w:noWrap/>
            <w:vAlign w:val="center"/>
            <w:hideMark/>
          </w:tcPr>
          <w:p w14:paraId="422FBD61"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62.7</w:t>
            </w:r>
          </w:p>
        </w:tc>
        <w:tc>
          <w:tcPr>
            <w:tcW w:w="497" w:type="pct"/>
            <w:tcBorders>
              <w:top w:val="nil"/>
              <w:left w:val="nil"/>
              <w:bottom w:val="single" w:sz="4" w:space="0" w:color="auto"/>
              <w:right w:val="single" w:sz="4" w:space="0" w:color="auto"/>
            </w:tcBorders>
            <w:noWrap/>
            <w:vAlign w:val="center"/>
            <w:hideMark/>
          </w:tcPr>
          <w:p w14:paraId="3C810BC7"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34.3</w:t>
            </w:r>
          </w:p>
        </w:tc>
      </w:tr>
      <w:tr w:rsidR="00F44728" w:rsidRPr="00F44728" w14:paraId="6C0F0904"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4AE42504"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Asian</w:t>
            </w:r>
          </w:p>
        </w:tc>
        <w:tc>
          <w:tcPr>
            <w:tcW w:w="666" w:type="pct"/>
            <w:tcBorders>
              <w:top w:val="nil"/>
              <w:left w:val="nil"/>
              <w:bottom w:val="single" w:sz="4" w:space="0" w:color="auto"/>
              <w:right w:val="single" w:sz="4" w:space="0" w:color="auto"/>
            </w:tcBorders>
            <w:noWrap/>
            <w:vAlign w:val="center"/>
            <w:hideMark/>
          </w:tcPr>
          <w:p w14:paraId="2D6CD72E"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71.0</w:t>
            </w:r>
          </w:p>
        </w:tc>
        <w:tc>
          <w:tcPr>
            <w:tcW w:w="499" w:type="pct"/>
            <w:tcBorders>
              <w:top w:val="nil"/>
              <w:left w:val="nil"/>
              <w:bottom w:val="single" w:sz="4" w:space="0" w:color="auto"/>
              <w:right w:val="single" w:sz="4" w:space="0" w:color="auto"/>
            </w:tcBorders>
            <w:noWrap/>
            <w:vAlign w:val="center"/>
            <w:hideMark/>
          </w:tcPr>
          <w:p w14:paraId="4387D98D"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2.970</w:t>
            </w:r>
          </w:p>
        </w:tc>
        <w:tc>
          <w:tcPr>
            <w:tcW w:w="542" w:type="pct"/>
            <w:tcBorders>
              <w:top w:val="nil"/>
              <w:left w:val="nil"/>
              <w:bottom w:val="single" w:sz="4" w:space="0" w:color="auto"/>
              <w:right w:val="single" w:sz="4" w:space="0" w:color="auto"/>
            </w:tcBorders>
            <w:noWrap/>
            <w:vAlign w:val="center"/>
            <w:hideMark/>
          </w:tcPr>
          <w:p w14:paraId="386E4686"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91.8</w:t>
            </w:r>
          </w:p>
        </w:tc>
        <w:tc>
          <w:tcPr>
            <w:tcW w:w="542" w:type="pct"/>
            <w:tcBorders>
              <w:top w:val="nil"/>
              <w:left w:val="nil"/>
              <w:bottom w:val="single" w:sz="4" w:space="0" w:color="auto"/>
              <w:right w:val="single" w:sz="4" w:space="0" w:color="auto"/>
            </w:tcBorders>
            <w:noWrap/>
            <w:vAlign w:val="center"/>
            <w:hideMark/>
          </w:tcPr>
          <w:p w14:paraId="79945CAA"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94.8</w:t>
            </w:r>
          </w:p>
        </w:tc>
        <w:tc>
          <w:tcPr>
            <w:tcW w:w="542" w:type="pct"/>
            <w:tcBorders>
              <w:top w:val="nil"/>
              <w:left w:val="nil"/>
              <w:bottom w:val="single" w:sz="4" w:space="0" w:color="auto"/>
              <w:right w:val="single" w:sz="4" w:space="0" w:color="auto"/>
            </w:tcBorders>
            <w:noWrap/>
            <w:vAlign w:val="center"/>
            <w:hideMark/>
          </w:tcPr>
          <w:p w14:paraId="4BB3EBBB"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97.7</w:t>
            </w:r>
          </w:p>
        </w:tc>
        <w:tc>
          <w:tcPr>
            <w:tcW w:w="511" w:type="pct"/>
            <w:tcBorders>
              <w:top w:val="nil"/>
              <w:left w:val="nil"/>
              <w:bottom w:val="single" w:sz="4" w:space="0" w:color="auto"/>
              <w:right w:val="single" w:sz="4" w:space="0" w:color="auto"/>
            </w:tcBorders>
            <w:noWrap/>
            <w:vAlign w:val="center"/>
            <w:hideMark/>
          </w:tcPr>
          <w:p w14:paraId="50673615"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100.0</w:t>
            </w:r>
          </w:p>
        </w:tc>
        <w:tc>
          <w:tcPr>
            <w:tcW w:w="497" w:type="pct"/>
            <w:tcBorders>
              <w:top w:val="nil"/>
              <w:left w:val="nil"/>
              <w:bottom w:val="single" w:sz="4" w:space="0" w:color="auto"/>
              <w:right w:val="single" w:sz="4" w:space="0" w:color="auto"/>
            </w:tcBorders>
            <w:noWrap/>
            <w:vAlign w:val="center"/>
            <w:hideMark/>
          </w:tcPr>
          <w:p w14:paraId="2292929B"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29.0</w:t>
            </w:r>
          </w:p>
        </w:tc>
      </w:tr>
      <w:tr w:rsidR="00F44728" w:rsidRPr="00F44728" w14:paraId="70451FB0"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17D9CDF3"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Black</w:t>
            </w:r>
          </w:p>
        </w:tc>
        <w:tc>
          <w:tcPr>
            <w:tcW w:w="666" w:type="pct"/>
            <w:tcBorders>
              <w:top w:val="nil"/>
              <w:left w:val="nil"/>
              <w:bottom w:val="single" w:sz="4" w:space="0" w:color="auto"/>
              <w:right w:val="single" w:sz="4" w:space="0" w:color="auto"/>
            </w:tcBorders>
            <w:noWrap/>
            <w:vAlign w:val="center"/>
            <w:hideMark/>
          </w:tcPr>
          <w:p w14:paraId="19BEA18C"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23.7</w:t>
            </w:r>
          </w:p>
        </w:tc>
        <w:tc>
          <w:tcPr>
            <w:tcW w:w="499" w:type="pct"/>
            <w:tcBorders>
              <w:top w:val="nil"/>
              <w:left w:val="nil"/>
              <w:bottom w:val="single" w:sz="4" w:space="0" w:color="auto"/>
              <w:right w:val="single" w:sz="4" w:space="0" w:color="auto"/>
            </w:tcBorders>
            <w:noWrap/>
            <w:vAlign w:val="center"/>
            <w:hideMark/>
          </w:tcPr>
          <w:p w14:paraId="4148292A"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3.569</w:t>
            </w:r>
          </w:p>
        </w:tc>
        <w:tc>
          <w:tcPr>
            <w:tcW w:w="542" w:type="pct"/>
            <w:tcBorders>
              <w:top w:val="nil"/>
              <w:left w:val="nil"/>
              <w:bottom w:val="single" w:sz="4" w:space="0" w:color="auto"/>
              <w:right w:val="single" w:sz="4" w:space="0" w:color="auto"/>
            </w:tcBorders>
            <w:noWrap/>
            <w:vAlign w:val="center"/>
            <w:hideMark/>
          </w:tcPr>
          <w:p w14:paraId="5B6263E1"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48.7</w:t>
            </w:r>
          </w:p>
        </w:tc>
        <w:tc>
          <w:tcPr>
            <w:tcW w:w="542" w:type="pct"/>
            <w:tcBorders>
              <w:top w:val="nil"/>
              <w:left w:val="nil"/>
              <w:bottom w:val="single" w:sz="4" w:space="0" w:color="auto"/>
              <w:right w:val="single" w:sz="4" w:space="0" w:color="auto"/>
            </w:tcBorders>
            <w:noWrap/>
            <w:vAlign w:val="center"/>
            <w:hideMark/>
          </w:tcPr>
          <w:p w14:paraId="689E9DEE"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52.3</w:t>
            </w:r>
          </w:p>
        </w:tc>
        <w:tc>
          <w:tcPr>
            <w:tcW w:w="542" w:type="pct"/>
            <w:tcBorders>
              <w:top w:val="nil"/>
              <w:left w:val="nil"/>
              <w:bottom w:val="single" w:sz="4" w:space="0" w:color="auto"/>
              <w:right w:val="single" w:sz="4" w:space="0" w:color="auto"/>
            </w:tcBorders>
            <w:noWrap/>
            <w:vAlign w:val="center"/>
            <w:hideMark/>
          </w:tcPr>
          <w:p w14:paraId="281DA295"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55.8</w:t>
            </w:r>
          </w:p>
        </w:tc>
        <w:tc>
          <w:tcPr>
            <w:tcW w:w="511" w:type="pct"/>
            <w:tcBorders>
              <w:top w:val="nil"/>
              <w:left w:val="nil"/>
              <w:bottom w:val="single" w:sz="4" w:space="0" w:color="auto"/>
              <w:right w:val="single" w:sz="4" w:space="0" w:color="auto"/>
            </w:tcBorders>
            <w:noWrap/>
            <w:vAlign w:val="center"/>
            <w:hideMark/>
          </w:tcPr>
          <w:p w14:paraId="13F2EFEB"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59.4</w:t>
            </w:r>
          </w:p>
        </w:tc>
        <w:tc>
          <w:tcPr>
            <w:tcW w:w="497" w:type="pct"/>
            <w:tcBorders>
              <w:top w:val="nil"/>
              <w:left w:val="nil"/>
              <w:bottom w:val="single" w:sz="4" w:space="0" w:color="auto"/>
              <w:right w:val="single" w:sz="4" w:space="0" w:color="auto"/>
            </w:tcBorders>
            <w:noWrap/>
            <w:vAlign w:val="center"/>
            <w:hideMark/>
          </w:tcPr>
          <w:p w14:paraId="69EAD047"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35.7</w:t>
            </w:r>
          </w:p>
        </w:tc>
      </w:tr>
      <w:tr w:rsidR="00F44728" w:rsidRPr="00F44728" w14:paraId="412B7BD6"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26DD925C"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Hispanic</w:t>
            </w:r>
          </w:p>
        </w:tc>
        <w:tc>
          <w:tcPr>
            <w:tcW w:w="666" w:type="pct"/>
            <w:tcBorders>
              <w:top w:val="nil"/>
              <w:left w:val="nil"/>
              <w:bottom w:val="single" w:sz="4" w:space="0" w:color="auto"/>
              <w:right w:val="single" w:sz="4" w:space="0" w:color="auto"/>
            </w:tcBorders>
            <w:noWrap/>
            <w:vAlign w:val="center"/>
            <w:hideMark/>
          </w:tcPr>
          <w:p w14:paraId="1D448ACC"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32.7</w:t>
            </w:r>
          </w:p>
        </w:tc>
        <w:tc>
          <w:tcPr>
            <w:tcW w:w="499" w:type="pct"/>
            <w:tcBorders>
              <w:top w:val="nil"/>
              <w:left w:val="nil"/>
              <w:bottom w:val="single" w:sz="4" w:space="0" w:color="auto"/>
              <w:right w:val="single" w:sz="4" w:space="0" w:color="auto"/>
            </w:tcBorders>
            <w:noWrap/>
            <w:vAlign w:val="center"/>
            <w:hideMark/>
          </w:tcPr>
          <w:p w14:paraId="698D7080"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3.308</w:t>
            </w:r>
          </w:p>
        </w:tc>
        <w:tc>
          <w:tcPr>
            <w:tcW w:w="542" w:type="pct"/>
            <w:tcBorders>
              <w:top w:val="nil"/>
              <w:left w:val="nil"/>
              <w:bottom w:val="single" w:sz="4" w:space="0" w:color="auto"/>
              <w:right w:val="single" w:sz="4" w:space="0" w:color="auto"/>
            </w:tcBorders>
            <w:noWrap/>
            <w:vAlign w:val="center"/>
            <w:hideMark/>
          </w:tcPr>
          <w:p w14:paraId="62CBE55C"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55.9</w:t>
            </w:r>
          </w:p>
        </w:tc>
        <w:tc>
          <w:tcPr>
            <w:tcW w:w="542" w:type="pct"/>
            <w:tcBorders>
              <w:top w:val="nil"/>
              <w:left w:val="nil"/>
              <w:bottom w:val="single" w:sz="4" w:space="0" w:color="auto"/>
              <w:right w:val="single" w:sz="4" w:space="0" w:color="auto"/>
            </w:tcBorders>
            <w:noWrap/>
            <w:vAlign w:val="center"/>
            <w:hideMark/>
          </w:tcPr>
          <w:p w14:paraId="432AF2FB"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59.2</w:t>
            </w:r>
          </w:p>
        </w:tc>
        <w:tc>
          <w:tcPr>
            <w:tcW w:w="542" w:type="pct"/>
            <w:tcBorders>
              <w:top w:val="nil"/>
              <w:left w:val="nil"/>
              <w:bottom w:val="single" w:sz="4" w:space="0" w:color="auto"/>
              <w:right w:val="single" w:sz="4" w:space="0" w:color="auto"/>
            </w:tcBorders>
            <w:noWrap/>
            <w:vAlign w:val="center"/>
            <w:hideMark/>
          </w:tcPr>
          <w:p w14:paraId="61B86AFD"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62.5</w:t>
            </w:r>
          </w:p>
        </w:tc>
        <w:tc>
          <w:tcPr>
            <w:tcW w:w="511" w:type="pct"/>
            <w:tcBorders>
              <w:top w:val="nil"/>
              <w:left w:val="nil"/>
              <w:bottom w:val="single" w:sz="4" w:space="0" w:color="auto"/>
              <w:right w:val="single" w:sz="4" w:space="0" w:color="auto"/>
            </w:tcBorders>
            <w:noWrap/>
            <w:vAlign w:val="center"/>
            <w:hideMark/>
          </w:tcPr>
          <w:p w14:paraId="7AED43A6"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65.8</w:t>
            </w:r>
          </w:p>
        </w:tc>
        <w:tc>
          <w:tcPr>
            <w:tcW w:w="497" w:type="pct"/>
            <w:tcBorders>
              <w:top w:val="nil"/>
              <w:left w:val="nil"/>
              <w:bottom w:val="single" w:sz="4" w:space="0" w:color="auto"/>
              <w:right w:val="single" w:sz="4" w:space="0" w:color="auto"/>
            </w:tcBorders>
            <w:noWrap/>
            <w:vAlign w:val="center"/>
            <w:hideMark/>
          </w:tcPr>
          <w:p w14:paraId="7B492C0A"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33.1</w:t>
            </w:r>
          </w:p>
        </w:tc>
      </w:tr>
      <w:tr w:rsidR="00F44728" w:rsidRPr="00F44728" w14:paraId="5651B044"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3C3A927D"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Two or more races</w:t>
            </w:r>
          </w:p>
        </w:tc>
        <w:tc>
          <w:tcPr>
            <w:tcW w:w="666" w:type="pct"/>
            <w:tcBorders>
              <w:top w:val="nil"/>
              <w:left w:val="nil"/>
              <w:bottom w:val="single" w:sz="4" w:space="0" w:color="auto"/>
              <w:right w:val="single" w:sz="4" w:space="0" w:color="auto"/>
            </w:tcBorders>
            <w:noWrap/>
            <w:vAlign w:val="center"/>
            <w:hideMark/>
          </w:tcPr>
          <w:p w14:paraId="2E12A5C5"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41.5</w:t>
            </w:r>
          </w:p>
        </w:tc>
        <w:tc>
          <w:tcPr>
            <w:tcW w:w="499" w:type="pct"/>
            <w:tcBorders>
              <w:top w:val="nil"/>
              <w:left w:val="nil"/>
              <w:bottom w:val="single" w:sz="4" w:space="0" w:color="auto"/>
              <w:right w:val="single" w:sz="4" w:space="0" w:color="auto"/>
            </w:tcBorders>
            <w:noWrap/>
            <w:vAlign w:val="center"/>
            <w:hideMark/>
          </w:tcPr>
          <w:p w14:paraId="1C6E40AC"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3.052</w:t>
            </w:r>
          </w:p>
        </w:tc>
        <w:tc>
          <w:tcPr>
            <w:tcW w:w="542" w:type="pct"/>
            <w:tcBorders>
              <w:top w:val="nil"/>
              <w:left w:val="nil"/>
              <w:bottom w:val="single" w:sz="4" w:space="0" w:color="auto"/>
              <w:right w:val="single" w:sz="4" w:space="0" w:color="auto"/>
            </w:tcBorders>
            <w:noWrap/>
            <w:vAlign w:val="center"/>
            <w:hideMark/>
          </w:tcPr>
          <w:p w14:paraId="0FE39BA0"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62.9</w:t>
            </w:r>
          </w:p>
        </w:tc>
        <w:tc>
          <w:tcPr>
            <w:tcW w:w="542" w:type="pct"/>
            <w:tcBorders>
              <w:top w:val="nil"/>
              <w:left w:val="nil"/>
              <w:bottom w:val="single" w:sz="4" w:space="0" w:color="auto"/>
              <w:right w:val="single" w:sz="4" w:space="0" w:color="auto"/>
            </w:tcBorders>
            <w:noWrap/>
            <w:vAlign w:val="center"/>
            <w:hideMark/>
          </w:tcPr>
          <w:p w14:paraId="29D61148"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65.9</w:t>
            </w:r>
          </w:p>
        </w:tc>
        <w:tc>
          <w:tcPr>
            <w:tcW w:w="542" w:type="pct"/>
            <w:tcBorders>
              <w:top w:val="nil"/>
              <w:left w:val="nil"/>
              <w:bottom w:val="single" w:sz="4" w:space="0" w:color="auto"/>
              <w:right w:val="single" w:sz="4" w:space="0" w:color="auto"/>
            </w:tcBorders>
            <w:noWrap/>
            <w:vAlign w:val="center"/>
            <w:hideMark/>
          </w:tcPr>
          <w:p w14:paraId="1461CDED"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69.0</w:t>
            </w:r>
          </w:p>
        </w:tc>
        <w:tc>
          <w:tcPr>
            <w:tcW w:w="511" w:type="pct"/>
            <w:tcBorders>
              <w:top w:val="nil"/>
              <w:left w:val="nil"/>
              <w:bottom w:val="single" w:sz="4" w:space="0" w:color="auto"/>
              <w:right w:val="single" w:sz="4" w:space="0" w:color="auto"/>
            </w:tcBorders>
            <w:noWrap/>
            <w:vAlign w:val="center"/>
            <w:hideMark/>
          </w:tcPr>
          <w:p w14:paraId="0725BD9D"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72.0</w:t>
            </w:r>
          </w:p>
        </w:tc>
        <w:tc>
          <w:tcPr>
            <w:tcW w:w="497" w:type="pct"/>
            <w:tcBorders>
              <w:top w:val="nil"/>
              <w:left w:val="nil"/>
              <w:bottom w:val="single" w:sz="4" w:space="0" w:color="auto"/>
              <w:right w:val="single" w:sz="4" w:space="0" w:color="auto"/>
            </w:tcBorders>
            <w:noWrap/>
            <w:vAlign w:val="center"/>
            <w:hideMark/>
          </w:tcPr>
          <w:p w14:paraId="4DE7F292"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30.5</w:t>
            </w:r>
          </w:p>
        </w:tc>
      </w:tr>
      <w:tr w:rsidR="00F44728" w:rsidRPr="00F44728" w14:paraId="4044FF34"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16E409C1"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White</w:t>
            </w:r>
          </w:p>
        </w:tc>
        <w:tc>
          <w:tcPr>
            <w:tcW w:w="666" w:type="pct"/>
            <w:tcBorders>
              <w:top w:val="nil"/>
              <w:left w:val="nil"/>
              <w:bottom w:val="single" w:sz="4" w:space="0" w:color="auto"/>
              <w:right w:val="single" w:sz="4" w:space="0" w:color="auto"/>
            </w:tcBorders>
            <w:noWrap/>
            <w:vAlign w:val="center"/>
            <w:hideMark/>
          </w:tcPr>
          <w:p w14:paraId="4556FDEA"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55.5</w:t>
            </w:r>
          </w:p>
        </w:tc>
        <w:tc>
          <w:tcPr>
            <w:tcW w:w="499" w:type="pct"/>
            <w:tcBorders>
              <w:top w:val="nil"/>
              <w:left w:val="nil"/>
              <w:bottom w:val="single" w:sz="4" w:space="0" w:color="auto"/>
              <w:right w:val="single" w:sz="4" w:space="0" w:color="auto"/>
            </w:tcBorders>
            <w:noWrap/>
            <w:vAlign w:val="center"/>
            <w:hideMark/>
          </w:tcPr>
          <w:p w14:paraId="3557DAD1"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2.645</w:t>
            </w:r>
          </w:p>
        </w:tc>
        <w:tc>
          <w:tcPr>
            <w:tcW w:w="542" w:type="pct"/>
            <w:tcBorders>
              <w:top w:val="nil"/>
              <w:left w:val="nil"/>
              <w:bottom w:val="single" w:sz="4" w:space="0" w:color="auto"/>
              <w:right w:val="single" w:sz="4" w:space="0" w:color="auto"/>
            </w:tcBorders>
            <w:noWrap/>
            <w:vAlign w:val="center"/>
            <w:hideMark/>
          </w:tcPr>
          <w:p w14:paraId="34B8C5B8"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74.0</w:t>
            </w:r>
          </w:p>
        </w:tc>
        <w:tc>
          <w:tcPr>
            <w:tcW w:w="542" w:type="pct"/>
            <w:tcBorders>
              <w:top w:val="nil"/>
              <w:left w:val="nil"/>
              <w:bottom w:val="single" w:sz="4" w:space="0" w:color="auto"/>
              <w:right w:val="single" w:sz="4" w:space="0" w:color="auto"/>
            </w:tcBorders>
            <w:noWrap/>
            <w:vAlign w:val="center"/>
            <w:hideMark/>
          </w:tcPr>
          <w:p w14:paraId="2F85E94E"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76.7</w:t>
            </w:r>
          </w:p>
        </w:tc>
        <w:tc>
          <w:tcPr>
            <w:tcW w:w="542" w:type="pct"/>
            <w:tcBorders>
              <w:top w:val="nil"/>
              <w:left w:val="nil"/>
              <w:bottom w:val="single" w:sz="4" w:space="0" w:color="auto"/>
              <w:right w:val="single" w:sz="4" w:space="0" w:color="auto"/>
            </w:tcBorders>
            <w:noWrap/>
            <w:vAlign w:val="center"/>
            <w:hideMark/>
          </w:tcPr>
          <w:p w14:paraId="3F54176C"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79.3</w:t>
            </w:r>
          </w:p>
        </w:tc>
        <w:tc>
          <w:tcPr>
            <w:tcW w:w="511" w:type="pct"/>
            <w:tcBorders>
              <w:top w:val="nil"/>
              <w:left w:val="nil"/>
              <w:bottom w:val="single" w:sz="4" w:space="0" w:color="auto"/>
              <w:right w:val="single" w:sz="4" w:space="0" w:color="auto"/>
            </w:tcBorders>
            <w:noWrap/>
            <w:vAlign w:val="center"/>
            <w:hideMark/>
          </w:tcPr>
          <w:p w14:paraId="18136C05"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82.0</w:t>
            </w:r>
          </w:p>
        </w:tc>
        <w:tc>
          <w:tcPr>
            <w:tcW w:w="497" w:type="pct"/>
            <w:tcBorders>
              <w:top w:val="nil"/>
              <w:left w:val="nil"/>
              <w:bottom w:val="single" w:sz="4" w:space="0" w:color="auto"/>
              <w:right w:val="single" w:sz="4" w:space="0" w:color="auto"/>
            </w:tcBorders>
            <w:noWrap/>
            <w:vAlign w:val="center"/>
            <w:hideMark/>
          </w:tcPr>
          <w:p w14:paraId="3C23B0DE"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26.5</w:t>
            </w:r>
          </w:p>
        </w:tc>
      </w:tr>
      <w:tr w:rsidR="00F44728" w:rsidRPr="00F44728" w14:paraId="47DD373D" w14:textId="77777777" w:rsidTr="00DA7833">
        <w:trPr>
          <w:trHeight w:val="60"/>
        </w:trPr>
        <w:tc>
          <w:tcPr>
            <w:tcW w:w="1203" w:type="pct"/>
            <w:tcBorders>
              <w:top w:val="nil"/>
              <w:left w:val="single" w:sz="4" w:space="0" w:color="auto"/>
              <w:bottom w:val="single" w:sz="4" w:space="0" w:color="auto"/>
              <w:right w:val="single" w:sz="4" w:space="0" w:color="auto"/>
            </w:tcBorders>
            <w:noWrap/>
            <w:vAlign w:val="bottom"/>
            <w:hideMark/>
          </w:tcPr>
          <w:p w14:paraId="492A7BBB" w14:textId="77777777" w:rsidR="00F44728" w:rsidRDefault="00F44728" w:rsidP="00F44728">
            <w:pPr>
              <w:spacing w:line="240" w:lineRule="auto"/>
              <w:rPr>
                <w:rFonts w:ascii="Calibri" w:hAnsi="Calibri" w:cs="Calibri"/>
                <w:b/>
                <w:bCs/>
                <w:sz w:val="22"/>
                <w:szCs w:val="22"/>
              </w:rPr>
            </w:pPr>
            <w:r w:rsidRPr="00F44728">
              <w:rPr>
                <w:rFonts w:ascii="Calibri" w:hAnsi="Calibri" w:cs="Calibri"/>
                <w:b/>
                <w:bCs/>
                <w:sz w:val="22"/>
                <w:szCs w:val="22"/>
              </w:rPr>
              <w:t xml:space="preserve">Economically </w:t>
            </w:r>
          </w:p>
          <w:p w14:paraId="31FF3D77" w14:textId="49291C2B"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Disadvantaged Students</w:t>
            </w:r>
          </w:p>
        </w:tc>
        <w:tc>
          <w:tcPr>
            <w:tcW w:w="666" w:type="pct"/>
            <w:tcBorders>
              <w:top w:val="nil"/>
              <w:left w:val="nil"/>
              <w:bottom w:val="single" w:sz="4" w:space="0" w:color="auto"/>
              <w:right w:val="single" w:sz="4" w:space="0" w:color="auto"/>
            </w:tcBorders>
            <w:noWrap/>
            <w:vAlign w:val="center"/>
            <w:hideMark/>
          </w:tcPr>
          <w:p w14:paraId="27E5D453"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27.8</w:t>
            </w:r>
          </w:p>
        </w:tc>
        <w:tc>
          <w:tcPr>
            <w:tcW w:w="499" w:type="pct"/>
            <w:tcBorders>
              <w:top w:val="nil"/>
              <w:left w:val="nil"/>
              <w:bottom w:val="single" w:sz="4" w:space="0" w:color="auto"/>
              <w:right w:val="single" w:sz="4" w:space="0" w:color="auto"/>
            </w:tcBorders>
            <w:noWrap/>
            <w:vAlign w:val="center"/>
            <w:hideMark/>
          </w:tcPr>
          <w:p w14:paraId="370F42AE"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3.450</w:t>
            </w:r>
          </w:p>
        </w:tc>
        <w:tc>
          <w:tcPr>
            <w:tcW w:w="542" w:type="pct"/>
            <w:tcBorders>
              <w:top w:val="nil"/>
              <w:left w:val="nil"/>
              <w:bottom w:val="single" w:sz="4" w:space="0" w:color="auto"/>
              <w:right w:val="single" w:sz="4" w:space="0" w:color="auto"/>
            </w:tcBorders>
            <w:noWrap/>
            <w:vAlign w:val="center"/>
            <w:hideMark/>
          </w:tcPr>
          <w:p w14:paraId="2F10E0D2"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52.0</w:t>
            </w:r>
          </w:p>
        </w:tc>
        <w:tc>
          <w:tcPr>
            <w:tcW w:w="542" w:type="pct"/>
            <w:tcBorders>
              <w:top w:val="nil"/>
              <w:left w:val="nil"/>
              <w:bottom w:val="single" w:sz="4" w:space="0" w:color="auto"/>
              <w:right w:val="single" w:sz="4" w:space="0" w:color="auto"/>
            </w:tcBorders>
            <w:noWrap/>
            <w:vAlign w:val="center"/>
            <w:hideMark/>
          </w:tcPr>
          <w:p w14:paraId="358DADC9"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55.4</w:t>
            </w:r>
          </w:p>
        </w:tc>
        <w:tc>
          <w:tcPr>
            <w:tcW w:w="542" w:type="pct"/>
            <w:tcBorders>
              <w:top w:val="nil"/>
              <w:left w:val="nil"/>
              <w:bottom w:val="single" w:sz="4" w:space="0" w:color="auto"/>
              <w:right w:val="single" w:sz="4" w:space="0" w:color="auto"/>
            </w:tcBorders>
            <w:noWrap/>
            <w:vAlign w:val="center"/>
            <w:hideMark/>
          </w:tcPr>
          <w:p w14:paraId="1750B52A"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58.9</w:t>
            </w:r>
          </w:p>
        </w:tc>
        <w:tc>
          <w:tcPr>
            <w:tcW w:w="511" w:type="pct"/>
            <w:tcBorders>
              <w:top w:val="nil"/>
              <w:left w:val="nil"/>
              <w:bottom w:val="single" w:sz="4" w:space="0" w:color="auto"/>
              <w:right w:val="single" w:sz="4" w:space="0" w:color="auto"/>
            </w:tcBorders>
            <w:noWrap/>
            <w:vAlign w:val="center"/>
            <w:hideMark/>
          </w:tcPr>
          <w:p w14:paraId="0E42C821"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62.3</w:t>
            </w:r>
          </w:p>
        </w:tc>
        <w:tc>
          <w:tcPr>
            <w:tcW w:w="497" w:type="pct"/>
            <w:tcBorders>
              <w:top w:val="nil"/>
              <w:left w:val="nil"/>
              <w:bottom w:val="single" w:sz="4" w:space="0" w:color="auto"/>
              <w:right w:val="single" w:sz="4" w:space="0" w:color="auto"/>
            </w:tcBorders>
            <w:noWrap/>
            <w:vAlign w:val="center"/>
            <w:hideMark/>
          </w:tcPr>
          <w:p w14:paraId="3304527C"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34.5</w:t>
            </w:r>
          </w:p>
        </w:tc>
      </w:tr>
      <w:tr w:rsidR="00F44728" w:rsidRPr="00F44728" w14:paraId="09A6CA84" w14:textId="77777777" w:rsidTr="00DA7833">
        <w:trPr>
          <w:trHeight w:val="292"/>
        </w:trPr>
        <w:tc>
          <w:tcPr>
            <w:tcW w:w="1203" w:type="pct"/>
            <w:tcBorders>
              <w:top w:val="nil"/>
              <w:left w:val="single" w:sz="4" w:space="0" w:color="auto"/>
              <w:bottom w:val="single" w:sz="4" w:space="0" w:color="auto"/>
              <w:right w:val="single" w:sz="4" w:space="0" w:color="auto"/>
            </w:tcBorders>
            <w:noWrap/>
            <w:vAlign w:val="bottom"/>
            <w:hideMark/>
          </w:tcPr>
          <w:p w14:paraId="0C9CF0FC" w14:textId="77777777" w:rsidR="00F44728" w:rsidRPr="00F44728" w:rsidRDefault="00F44728" w:rsidP="006F2B82">
            <w:pPr>
              <w:spacing w:line="240" w:lineRule="auto"/>
              <w:rPr>
                <w:rFonts w:ascii="Calibri" w:hAnsi="Calibri" w:cs="Calibri"/>
                <w:b/>
                <w:bCs/>
                <w:sz w:val="22"/>
                <w:szCs w:val="22"/>
              </w:rPr>
            </w:pPr>
            <w:r w:rsidRPr="00F44728">
              <w:rPr>
                <w:rFonts w:ascii="Calibri" w:hAnsi="Calibri" w:cs="Calibri"/>
                <w:b/>
                <w:bCs/>
                <w:sz w:val="22"/>
                <w:szCs w:val="22"/>
              </w:rPr>
              <w:t>English Learners</w:t>
            </w:r>
          </w:p>
        </w:tc>
        <w:tc>
          <w:tcPr>
            <w:tcW w:w="666" w:type="pct"/>
            <w:tcBorders>
              <w:top w:val="nil"/>
              <w:left w:val="nil"/>
              <w:bottom w:val="single" w:sz="4" w:space="0" w:color="auto"/>
              <w:right w:val="single" w:sz="4" w:space="0" w:color="auto"/>
            </w:tcBorders>
            <w:noWrap/>
            <w:vAlign w:val="center"/>
            <w:hideMark/>
          </w:tcPr>
          <w:p w14:paraId="7BD5B482"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4.9</w:t>
            </w:r>
          </w:p>
        </w:tc>
        <w:tc>
          <w:tcPr>
            <w:tcW w:w="499" w:type="pct"/>
            <w:tcBorders>
              <w:top w:val="nil"/>
              <w:left w:val="nil"/>
              <w:bottom w:val="single" w:sz="4" w:space="0" w:color="auto"/>
              <w:right w:val="single" w:sz="4" w:space="0" w:color="auto"/>
            </w:tcBorders>
            <w:noWrap/>
            <w:vAlign w:val="center"/>
            <w:hideMark/>
          </w:tcPr>
          <w:p w14:paraId="507ACB92"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4.116</w:t>
            </w:r>
          </w:p>
        </w:tc>
        <w:tc>
          <w:tcPr>
            <w:tcW w:w="542" w:type="pct"/>
            <w:tcBorders>
              <w:top w:val="nil"/>
              <w:left w:val="nil"/>
              <w:bottom w:val="single" w:sz="4" w:space="0" w:color="auto"/>
              <w:right w:val="single" w:sz="4" w:space="0" w:color="auto"/>
            </w:tcBorders>
            <w:noWrap/>
            <w:vAlign w:val="center"/>
            <w:hideMark/>
          </w:tcPr>
          <w:p w14:paraId="75535E2A"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33.7</w:t>
            </w:r>
          </w:p>
        </w:tc>
        <w:tc>
          <w:tcPr>
            <w:tcW w:w="542" w:type="pct"/>
            <w:tcBorders>
              <w:top w:val="nil"/>
              <w:left w:val="nil"/>
              <w:bottom w:val="single" w:sz="4" w:space="0" w:color="auto"/>
              <w:right w:val="single" w:sz="4" w:space="0" w:color="auto"/>
            </w:tcBorders>
            <w:noWrap/>
            <w:vAlign w:val="center"/>
            <w:hideMark/>
          </w:tcPr>
          <w:p w14:paraId="1A505D75"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37.8</w:t>
            </w:r>
          </w:p>
        </w:tc>
        <w:tc>
          <w:tcPr>
            <w:tcW w:w="542" w:type="pct"/>
            <w:tcBorders>
              <w:top w:val="nil"/>
              <w:left w:val="nil"/>
              <w:bottom w:val="single" w:sz="4" w:space="0" w:color="auto"/>
              <w:right w:val="single" w:sz="4" w:space="0" w:color="auto"/>
            </w:tcBorders>
            <w:noWrap/>
            <w:vAlign w:val="center"/>
            <w:hideMark/>
          </w:tcPr>
          <w:p w14:paraId="181E1012"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41.9</w:t>
            </w:r>
          </w:p>
        </w:tc>
        <w:tc>
          <w:tcPr>
            <w:tcW w:w="511" w:type="pct"/>
            <w:tcBorders>
              <w:top w:val="nil"/>
              <w:left w:val="nil"/>
              <w:bottom w:val="single" w:sz="4" w:space="0" w:color="auto"/>
              <w:right w:val="single" w:sz="4" w:space="0" w:color="auto"/>
            </w:tcBorders>
            <w:noWrap/>
            <w:vAlign w:val="center"/>
            <w:hideMark/>
          </w:tcPr>
          <w:p w14:paraId="545B4FB7"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46.1</w:t>
            </w:r>
          </w:p>
        </w:tc>
        <w:tc>
          <w:tcPr>
            <w:tcW w:w="497" w:type="pct"/>
            <w:tcBorders>
              <w:top w:val="nil"/>
              <w:left w:val="nil"/>
              <w:bottom w:val="single" w:sz="4" w:space="0" w:color="auto"/>
              <w:right w:val="single" w:sz="4" w:space="0" w:color="auto"/>
            </w:tcBorders>
            <w:noWrap/>
            <w:vAlign w:val="center"/>
            <w:hideMark/>
          </w:tcPr>
          <w:p w14:paraId="4E0DFCC4"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41.2</w:t>
            </w:r>
          </w:p>
        </w:tc>
      </w:tr>
      <w:tr w:rsidR="00F44728" w:rsidRPr="00F44728" w14:paraId="61B0B007" w14:textId="77777777" w:rsidTr="00DA7833">
        <w:trPr>
          <w:trHeight w:val="98"/>
        </w:trPr>
        <w:tc>
          <w:tcPr>
            <w:tcW w:w="1203" w:type="pct"/>
            <w:tcBorders>
              <w:top w:val="nil"/>
              <w:left w:val="single" w:sz="4" w:space="0" w:color="auto"/>
              <w:bottom w:val="single" w:sz="4" w:space="0" w:color="auto"/>
              <w:right w:val="single" w:sz="4" w:space="0" w:color="auto"/>
            </w:tcBorders>
            <w:noWrap/>
            <w:vAlign w:val="bottom"/>
            <w:hideMark/>
          </w:tcPr>
          <w:p w14:paraId="7DC769A5" w14:textId="77777777" w:rsidR="00F44728" w:rsidRDefault="00F44728" w:rsidP="00F44728">
            <w:pPr>
              <w:spacing w:line="240" w:lineRule="auto"/>
              <w:rPr>
                <w:rFonts w:ascii="Calibri" w:hAnsi="Calibri" w:cs="Calibri"/>
                <w:b/>
                <w:bCs/>
                <w:sz w:val="22"/>
                <w:szCs w:val="22"/>
              </w:rPr>
            </w:pPr>
            <w:r w:rsidRPr="00F44728">
              <w:rPr>
                <w:rFonts w:ascii="Calibri" w:hAnsi="Calibri" w:cs="Calibri"/>
                <w:b/>
                <w:bCs/>
                <w:sz w:val="22"/>
                <w:szCs w:val="22"/>
              </w:rPr>
              <w:t xml:space="preserve">Students with </w:t>
            </w:r>
          </w:p>
          <w:p w14:paraId="5EB3DF3A" w14:textId="0E2A09D2" w:rsidR="00F44728" w:rsidRPr="00F44728" w:rsidRDefault="00F44728" w:rsidP="00627844">
            <w:pPr>
              <w:spacing w:line="240" w:lineRule="auto"/>
              <w:rPr>
                <w:rFonts w:ascii="Calibri" w:hAnsi="Calibri" w:cs="Calibri"/>
                <w:b/>
                <w:bCs/>
                <w:sz w:val="22"/>
                <w:szCs w:val="22"/>
              </w:rPr>
            </w:pPr>
            <w:r w:rsidRPr="00F44728">
              <w:rPr>
                <w:rFonts w:ascii="Calibri" w:hAnsi="Calibri" w:cs="Calibri"/>
                <w:b/>
                <w:bCs/>
                <w:sz w:val="22"/>
                <w:szCs w:val="22"/>
              </w:rPr>
              <w:t>Disabilities</w:t>
            </w:r>
          </w:p>
        </w:tc>
        <w:tc>
          <w:tcPr>
            <w:tcW w:w="666" w:type="pct"/>
            <w:tcBorders>
              <w:top w:val="nil"/>
              <w:left w:val="nil"/>
              <w:bottom w:val="single" w:sz="4" w:space="0" w:color="auto"/>
              <w:right w:val="single" w:sz="4" w:space="0" w:color="auto"/>
            </w:tcBorders>
            <w:noWrap/>
            <w:vAlign w:val="center"/>
            <w:hideMark/>
          </w:tcPr>
          <w:p w14:paraId="35879388"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10.6</w:t>
            </w:r>
          </w:p>
        </w:tc>
        <w:tc>
          <w:tcPr>
            <w:tcW w:w="499" w:type="pct"/>
            <w:tcBorders>
              <w:top w:val="nil"/>
              <w:left w:val="nil"/>
              <w:bottom w:val="single" w:sz="4" w:space="0" w:color="auto"/>
              <w:right w:val="single" w:sz="4" w:space="0" w:color="auto"/>
            </w:tcBorders>
            <w:noWrap/>
            <w:vAlign w:val="center"/>
            <w:hideMark/>
          </w:tcPr>
          <w:p w14:paraId="2D338B9E"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3.950</w:t>
            </w:r>
          </w:p>
        </w:tc>
        <w:tc>
          <w:tcPr>
            <w:tcW w:w="542" w:type="pct"/>
            <w:tcBorders>
              <w:top w:val="nil"/>
              <w:left w:val="nil"/>
              <w:bottom w:val="single" w:sz="4" w:space="0" w:color="auto"/>
              <w:right w:val="single" w:sz="4" w:space="0" w:color="auto"/>
            </w:tcBorders>
            <w:noWrap/>
            <w:vAlign w:val="center"/>
            <w:hideMark/>
          </w:tcPr>
          <w:p w14:paraId="389A27C1"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38.3</w:t>
            </w:r>
          </w:p>
        </w:tc>
        <w:tc>
          <w:tcPr>
            <w:tcW w:w="542" w:type="pct"/>
            <w:tcBorders>
              <w:top w:val="nil"/>
              <w:left w:val="nil"/>
              <w:bottom w:val="single" w:sz="4" w:space="0" w:color="auto"/>
              <w:right w:val="single" w:sz="4" w:space="0" w:color="auto"/>
            </w:tcBorders>
            <w:noWrap/>
            <w:vAlign w:val="center"/>
            <w:hideMark/>
          </w:tcPr>
          <w:p w14:paraId="0CF3F407"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42.2</w:t>
            </w:r>
          </w:p>
        </w:tc>
        <w:tc>
          <w:tcPr>
            <w:tcW w:w="542" w:type="pct"/>
            <w:tcBorders>
              <w:top w:val="nil"/>
              <w:left w:val="nil"/>
              <w:bottom w:val="single" w:sz="4" w:space="0" w:color="auto"/>
              <w:right w:val="single" w:sz="4" w:space="0" w:color="auto"/>
            </w:tcBorders>
            <w:noWrap/>
            <w:vAlign w:val="center"/>
            <w:hideMark/>
          </w:tcPr>
          <w:p w14:paraId="05E56D04"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46.2</w:t>
            </w:r>
          </w:p>
        </w:tc>
        <w:tc>
          <w:tcPr>
            <w:tcW w:w="511" w:type="pct"/>
            <w:tcBorders>
              <w:top w:val="nil"/>
              <w:left w:val="nil"/>
              <w:bottom w:val="single" w:sz="4" w:space="0" w:color="auto"/>
              <w:right w:val="single" w:sz="4" w:space="0" w:color="auto"/>
            </w:tcBorders>
            <w:noWrap/>
            <w:vAlign w:val="center"/>
            <w:hideMark/>
          </w:tcPr>
          <w:p w14:paraId="4D93D5F8" w14:textId="77777777" w:rsidR="00F44728" w:rsidRPr="00F44728" w:rsidRDefault="00F44728" w:rsidP="00F44728">
            <w:pPr>
              <w:spacing w:line="240" w:lineRule="auto"/>
              <w:jc w:val="center"/>
              <w:rPr>
                <w:rFonts w:ascii="Calibri" w:hAnsi="Calibri" w:cs="Calibri"/>
                <w:sz w:val="22"/>
                <w:szCs w:val="22"/>
              </w:rPr>
            </w:pPr>
            <w:r w:rsidRPr="00F44728">
              <w:rPr>
                <w:rFonts w:ascii="Calibri" w:hAnsi="Calibri" w:cs="Calibri"/>
                <w:sz w:val="22"/>
                <w:szCs w:val="22"/>
              </w:rPr>
              <w:t>50.1</w:t>
            </w:r>
          </w:p>
        </w:tc>
        <w:tc>
          <w:tcPr>
            <w:tcW w:w="497" w:type="pct"/>
            <w:tcBorders>
              <w:top w:val="nil"/>
              <w:left w:val="nil"/>
              <w:bottom w:val="single" w:sz="4" w:space="0" w:color="auto"/>
              <w:right w:val="single" w:sz="4" w:space="0" w:color="auto"/>
            </w:tcBorders>
            <w:noWrap/>
            <w:vAlign w:val="center"/>
            <w:hideMark/>
          </w:tcPr>
          <w:p w14:paraId="3B8468AE" w14:textId="77777777" w:rsidR="00F44728" w:rsidRPr="00F44728" w:rsidRDefault="00F44728" w:rsidP="00F44728">
            <w:pPr>
              <w:spacing w:line="240" w:lineRule="auto"/>
              <w:jc w:val="center"/>
              <w:rPr>
                <w:rFonts w:ascii="Calibri" w:hAnsi="Calibri" w:cs="Calibri"/>
                <w:b/>
                <w:bCs/>
                <w:sz w:val="22"/>
                <w:szCs w:val="22"/>
              </w:rPr>
            </w:pPr>
            <w:r w:rsidRPr="00F44728">
              <w:rPr>
                <w:rFonts w:ascii="Calibri" w:hAnsi="Calibri" w:cs="Calibri"/>
                <w:b/>
                <w:bCs/>
                <w:sz w:val="22"/>
                <w:szCs w:val="22"/>
              </w:rPr>
              <w:t>39.5</w:t>
            </w:r>
          </w:p>
        </w:tc>
      </w:tr>
    </w:tbl>
    <w:p w14:paraId="76379AD4" w14:textId="30E63094" w:rsidR="00141C49" w:rsidRPr="00EF6288" w:rsidRDefault="00A14D07" w:rsidP="00627844">
      <w:pPr>
        <w:keepNext/>
        <w:rPr>
          <w:rFonts w:ascii="Arial" w:hAnsi="Arial" w:cs="Arial"/>
          <w:b/>
          <w:iCs/>
          <w:caps/>
          <w:color w:val="auto"/>
          <w:kern w:val="16"/>
          <w:sz w:val="28"/>
          <w:szCs w:val="28"/>
        </w:rPr>
      </w:pPr>
      <w:r w:rsidRPr="00EF6288">
        <w:rPr>
          <w:rFonts w:ascii="Arial" w:hAnsi="Arial" w:cs="Arial"/>
        </w:rPr>
        <w:br w:type="textWrapping" w:clear="all"/>
      </w:r>
      <w:r w:rsidR="00141C49" w:rsidRPr="00163351">
        <w:rPr>
          <w:rFonts w:ascii="Arial" w:hAnsi="Arial" w:cs="Arial"/>
          <w:color w:val="auto"/>
          <w:sz w:val="20"/>
        </w:rPr>
        <w:t>TABLE 10.6.</w:t>
      </w:r>
      <w:r w:rsidR="00141C49">
        <w:rPr>
          <w:rFonts w:ascii="Arial" w:hAnsi="Arial" w:cs="Arial"/>
          <w:color w:val="auto"/>
          <w:sz w:val="20"/>
        </w:rPr>
        <w:t>3.</w:t>
      </w:r>
      <w:r w:rsidR="00141C49" w:rsidRPr="00163351">
        <w:rPr>
          <w:rFonts w:ascii="Arial" w:hAnsi="Arial" w:cs="Arial"/>
          <w:color w:val="auto"/>
          <w:sz w:val="20"/>
        </w:rPr>
        <w:t xml:space="preserve"> </w:t>
      </w:r>
      <w:r w:rsidR="00141C49">
        <w:rPr>
          <w:rFonts w:ascii="Arial" w:hAnsi="Arial" w:cs="Arial"/>
          <w:color w:val="auto"/>
          <w:sz w:val="20"/>
        </w:rPr>
        <w:t>Four-Year Cohort Graduation Rate, yearly measure of interim progress proficiency goals</w:t>
      </w:r>
    </w:p>
    <w:tbl>
      <w:tblPr>
        <w:tblW w:w="4398" w:type="pct"/>
        <w:tblLook w:val="04A0" w:firstRow="1" w:lastRow="0" w:firstColumn="1" w:lastColumn="0" w:noHBand="0" w:noVBand="1"/>
      </w:tblPr>
      <w:tblGrid>
        <w:gridCol w:w="2803"/>
        <w:gridCol w:w="1520"/>
        <w:gridCol w:w="1084"/>
        <w:gridCol w:w="1242"/>
        <w:gridCol w:w="1242"/>
        <w:gridCol w:w="1242"/>
        <w:gridCol w:w="1169"/>
        <w:gridCol w:w="1089"/>
      </w:tblGrid>
      <w:tr w:rsidR="00BE2894" w:rsidRPr="0088349B" w14:paraId="568FC970" w14:textId="77777777" w:rsidTr="00686000">
        <w:trPr>
          <w:trHeight w:val="58"/>
        </w:trPr>
        <w:tc>
          <w:tcPr>
            <w:tcW w:w="123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47BCED3" w14:textId="79789730" w:rsidR="00BE2894" w:rsidRPr="0088349B" w:rsidRDefault="00BE2894" w:rsidP="00BE2894">
            <w:pPr>
              <w:spacing w:line="240" w:lineRule="auto"/>
              <w:rPr>
                <w:rFonts w:ascii="Calibri" w:hAnsi="Calibri" w:cs="Calibri"/>
                <w:b/>
                <w:bCs/>
                <w:sz w:val="44"/>
                <w:szCs w:val="44"/>
              </w:rPr>
            </w:pPr>
            <w:r>
              <w:rPr>
                <w:rFonts w:ascii="Arial" w:hAnsi="Arial" w:cs="Arial"/>
                <w:b/>
                <w:bCs/>
                <w:sz w:val="20"/>
              </w:rPr>
              <w:t>Four-Year Cohort Graduation Rate</w:t>
            </w:r>
          </w:p>
        </w:tc>
        <w:tc>
          <w:tcPr>
            <w:tcW w:w="66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4CBA74A1" w14:textId="0EC9C7BC" w:rsidR="00BE2894" w:rsidRPr="0088349B" w:rsidRDefault="00BE2894" w:rsidP="00627844">
            <w:pPr>
              <w:spacing w:line="240" w:lineRule="auto"/>
              <w:jc w:val="center"/>
              <w:rPr>
                <w:rFonts w:ascii="Calibri" w:hAnsi="Calibri" w:cs="Calibri"/>
                <w:b/>
                <w:bCs/>
                <w:sz w:val="22"/>
                <w:szCs w:val="22"/>
              </w:rPr>
            </w:pPr>
            <w:r w:rsidRPr="00C86335">
              <w:rPr>
                <w:rFonts w:ascii="Arial" w:hAnsi="Arial" w:cs="Arial"/>
                <w:b/>
                <w:bCs/>
                <w:sz w:val="20"/>
              </w:rPr>
              <w:t>2015–2016 Baseline Performance</w:t>
            </w:r>
          </w:p>
        </w:tc>
        <w:tc>
          <w:tcPr>
            <w:tcW w:w="476"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2819279F" w14:textId="2BFB432B" w:rsidR="00BE2894" w:rsidRPr="0088349B" w:rsidRDefault="00BE2894" w:rsidP="002F4BB2">
            <w:pPr>
              <w:spacing w:line="240" w:lineRule="auto"/>
              <w:contextualSpacing/>
              <w:jc w:val="center"/>
              <w:rPr>
                <w:rFonts w:ascii="Calibri" w:hAnsi="Calibri" w:cs="Calibri"/>
                <w:b/>
                <w:bCs/>
                <w:sz w:val="22"/>
                <w:szCs w:val="22"/>
              </w:rPr>
            </w:pPr>
            <w:r w:rsidRPr="00C86335">
              <w:rPr>
                <w:rFonts w:ascii="Arial" w:hAnsi="Arial" w:cs="Arial"/>
                <w:b/>
                <w:bCs/>
                <w:sz w:val="20"/>
              </w:rPr>
              <w:t>Percent Increase</w:t>
            </w:r>
            <w:r w:rsidR="002F4BB2" w:rsidRPr="00BF1F0E">
              <w:rPr>
                <w:rFonts w:ascii="Arial" w:hAnsi="Arial" w:cs="Arial"/>
                <w:b/>
                <w:bCs/>
                <w:sz w:val="20"/>
              </w:rPr>
              <w:t xml:space="preserve"> </w:t>
            </w:r>
            <w:r w:rsidRPr="00C86335">
              <w:rPr>
                <w:rFonts w:ascii="Arial" w:hAnsi="Arial" w:cs="Arial"/>
                <w:b/>
                <w:bCs/>
                <w:sz w:val="20"/>
              </w:rPr>
              <w:t>Per Year</w:t>
            </w:r>
          </w:p>
        </w:tc>
        <w:tc>
          <w:tcPr>
            <w:tcW w:w="545" w:type="pct"/>
            <w:tcBorders>
              <w:top w:val="single" w:sz="4" w:space="0" w:color="auto"/>
              <w:left w:val="nil"/>
              <w:bottom w:val="single" w:sz="4" w:space="0" w:color="auto"/>
              <w:right w:val="single" w:sz="4" w:space="0" w:color="auto"/>
            </w:tcBorders>
            <w:shd w:val="clear" w:color="auto" w:fill="F7CAAC" w:themeFill="accent2" w:themeFillTint="66"/>
            <w:textDirection w:val="btLr"/>
            <w:vAlign w:val="center"/>
            <w:hideMark/>
          </w:tcPr>
          <w:p w14:paraId="09E80B14" w14:textId="223E257C" w:rsidR="00BE2894" w:rsidRPr="0088349B" w:rsidRDefault="00BE2894" w:rsidP="00363999">
            <w:pPr>
              <w:spacing w:line="240" w:lineRule="auto"/>
              <w:jc w:val="center"/>
              <w:rPr>
                <w:rFonts w:ascii="Calibri" w:hAnsi="Calibri" w:cs="Calibri"/>
                <w:b/>
                <w:bCs/>
                <w:sz w:val="22"/>
                <w:szCs w:val="22"/>
              </w:rPr>
            </w:pPr>
            <w:r w:rsidRPr="0088349B">
              <w:rPr>
                <w:rFonts w:ascii="Calibri" w:hAnsi="Calibri" w:cs="Calibri"/>
                <w:b/>
                <w:bCs/>
                <w:sz w:val="22"/>
                <w:szCs w:val="22"/>
              </w:rPr>
              <w:t>2025–26</w:t>
            </w:r>
            <w:r w:rsidRPr="0088349B">
              <w:rPr>
                <w:rFonts w:ascii="Calibri" w:hAnsi="Calibri" w:cs="Calibri"/>
                <w:b/>
                <w:bCs/>
                <w:sz w:val="22"/>
                <w:szCs w:val="22"/>
              </w:rPr>
              <w:br/>
            </w:r>
          </w:p>
        </w:tc>
        <w:tc>
          <w:tcPr>
            <w:tcW w:w="545" w:type="pct"/>
            <w:tcBorders>
              <w:top w:val="single" w:sz="4" w:space="0" w:color="auto"/>
              <w:left w:val="nil"/>
              <w:bottom w:val="single" w:sz="4" w:space="0" w:color="auto"/>
              <w:right w:val="single" w:sz="4" w:space="0" w:color="auto"/>
            </w:tcBorders>
            <w:shd w:val="clear" w:color="auto" w:fill="F7CAAC" w:themeFill="accent2" w:themeFillTint="66"/>
            <w:textDirection w:val="btLr"/>
            <w:vAlign w:val="center"/>
            <w:hideMark/>
          </w:tcPr>
          <w:p w14:paraId="25FDC24D" w14:textId="23ECEB67" w:rsidR="00BE2894" w:rsidRPr="0088349B" w:rsidRDefault="00BE2894" w:rsidP="00363999">
            <w:pPr>
              <w:spacing w:line="240" w:lineRule="auto"/>
              <w:jc w:val="center"/>
              <w:rPr>
                <w:rFonts w:ascii="Calibri" w:hAnsi="Calibri" w:cs="Calibri"/>
                <w:b/>
                <w:bCs/>
                <w:sz w:val="22"/>
                <w:szCs w:val="22"/>
              </w:rPr>
            </w:pPr>
            <w:r w:rsidRPr="0088349B">
              <w:rPr>
                <w:rFonts w:ascii="Calibri" w:hAnsi="Calibri" w:cs="Calibri"/>
                <w:b/>
                <w:bCs/>
                <w:sz w:val="22"/>
                <w:szCs w:val="22"/>
              </w:rPr>
              <w:t>2026–27</w:t>
            </w:r>
            <w:r w:rsidRPr="0088349B">
              <w:rPr>
                <w:rFonts w:ascii="Calibri" w:hAnsi="Calibri" w:cs="Calibri"/>
                <w:b/>
                <w:bCs/>
                <w:sz w:val="22"/>
                <w:szCs w:val="22"/>
              </w:rPr>
              <w:br/>
            </w:r>
          </w:p>
        </w:tc>
        <w:tc>
          <w:tcPr>
            <w:tcW w:w="545" w:type="pct"/>
            <w:tcBorders>
              <w:top w:val="single" w:sz="4" w:space="0" w:color="auto"/>
              <w:left w:val="nil"/>
              <w:bottom w:val="single" w:sz="4" w:space="0" w:color="auto"/>
              <w:right w:val="single" w:sz="4" w:space="0" w:color="auto"/>
            </w:tcBorders>
            <w:shd w:val="clear" w:color="auto" w:fill="F7CAAC" w:themeFill="accent2" w:themeFillTint="66"/>
            <w:textDirection w:val="btLr"/>
            <w:vAlign w:val="center"/>
            <w:hideMark/>
          </w:tcPr>
          <w:p w14:paraId="1313DB1E" w14:textId="055A633C" w:rsidR="00BE2894" w:rsidRPr="0088349B" w:rsidRDefault="00BE2894" w:rsidP="00363999">
            <w:pPr>
              <w:spacing w:line="240" w:lineRule="auto"/>
              <w:jc w:val="center"/>
              <w:rPr>
                <w:rFonts w:ascii="Calibri" w:hAnsi="Calibri" w:cs="Calibri"/>
                <w:b/>
                <w:bCs/>
                <w:sz w:val="22"/>
                <w:szCs w:val="22"/>
              </w:rPr>
            </w:pPr>
            <w:r w:rsidRPr="0088349B">
              <w:rPr>
                <w:rFonts w:ascii="Calibri" w:hAnsi="Calibri" w:cs="Calibri"/>
                <w:b/>
                <w:bCs/>
                <w:sz w:val="22"/>
                <w:szCs w:val="22"/>
              </w:rPr>
              <w:t>2027–28</w:t>
            </w:r>
            <w:r w:rsidRPr="0088349B">
              <w:rPr>
                <w:rFonts w:ascii="Calibri" w:hAnsi="Calibri" w:cs="Calibri"/>
                <w:b/>
                <w:bCs/>
                <w:sz w:val="22"/>
                <w:szCs w:val="22"/>
              </w:rPr>
              <w:br/>
            </w:r>
          </w:p>
        </w:tc>
        <w:tc>
          <w:tcPr>
            <w:tcW w:w="513" w:type="pct"/>
            <w:tcBorders>
              <w:top w:val="single" w:sz="4" w:space="0" w:color="auto"/>
              <w:left w:val="single" w:sz="4" w:space="0" w:color="auto"/>
              <w:bottom w:val="single" w:sz="4" w:space="0" w:color="000000"/>
              <w:right w:val="single" w:sz="4" w:space="0" w:color="auto"/>
            </w:tcBorders>
            <w:shd w:val="clear" w:color="auto" w:fill="F7CAAC" w:themeFill="accent2" w:themeFillTint="66"/>
            <w:vAlign w:val="center"/>
            <w:hideMark/>
          </w:tcPr>
          <w:p w14:paraId="7BC9CAE3" w14:textId="08CE0CED" w:rsidR="00BE2894" w:rsidRPr="0088349B" w:rsidRDefault="00BE2894" w:rsidP="002F4BB2">
            <w:pPr>
              <w:spacing w:line="240" w:lineRule="auto"/>
              <w:contextualSpacing/>
              <w:jc w:val="center"/>
              <w:rPr>
                <w:rFonts w:ascii="Calibri" w:hAnsi="Calibri" w:cs="Calibri"/>
                <w:b/>
                <w:bCs/>
                <w:sz w:val="22"/>
                <w:szCs w:val="22"/>
              </w:rPr>
            </w:pPr>
            <w:r w:rsidRPr="00C86335">
              <w:rPr>
                <w:rFonts w:ascii="Arial" w:hAnsi="Arial" w:cs="Arial"/>
                <w:b/>
                <w:bCs/>
                <w:sz w:val="20"/>
              </w:rPr>
              <w:t>2028–29</w:t>
            </w:r>
            <w:r w:rsidR="002F4BB2" w:rsidRPr="00BF1F0E">
              <w:rPr>
                <w:rFonts w:ascii="Arial" w:hAnsi="Arial" w:cs="Arial"/>
                <w:b/>
                <w:bCs/>
                <w:sz w:val="20"/>
              </w:rPr>
              <w:t xml:space="preserve"> </w:t>
            </w:r>
            <w:r w:rsidRPr="00C86335">
              <w:rPr>
                <w:rFonts w:ascii="Arial" w:hAnsi="Arial" w:cs="Arial"/>
                <w:b/>
                <w:bCs/>
                <w:sz w:val="20"/>
              </w:rPr>
              <w:t>12-Year</w:t>
            </w:r>
            <w:r w:rsidR="002F4BB2" w:rsidRPr="00BF1F0E">
              <w:rPr>
                <w:rFonts w:ascii="Arial" w:hAnsi="Arial" w:cs="Arial"/>
                <w:b/>
                <w:bCs/>
                <w:sz w:val="20"/>
              </w:rPr>
              <w:t xml:space="preserve"> </w:t>
            </w:r>
            <w:r w:rsidRPr="00C86335">
              <w:rPr>
                <w:rFonts w:ascii="Arial" w:hAnsi="Arial" w:cs="Arial"/>
                <w:b/>
                <w:bCs/>
                <w:sz w:val="20"/>
              </w:rPr>
              <w:t>Goal</w:t>
            </w:r>
          </w:p>
        </w:tc>
        <w:tc>
          <w:tcPr>
            <w:tcW w:w="478" w:type="pct"/>
            <w:tcBorders>
              <w:top w:val="single" w:sz="4" w:space="0" w:color="auto"/>
              <w:left w:val="single" w:sz="4" w:space="0" w:color="auto"/>
              <w:bottom w:val="single" w:sz="4" w:space="0" w:color="000000"/>
              <w:right w:val="single" w:sz="4" w:space="0" w:color="auto"/>
            </w:tcBorders>
            <w:shd w:val="clear" w:color="auto" w:fill="F7CAAC" w:themeFill="accent2" w:themeFillTint="66"/>
            <w:vAlign w:val="center"/>
            <w:hideMark/>
          </w:tcPr>
          <w:p w14:paraId="07796120" w14:textId="7871102D" w:rsidR="00BE2894" w:rsidRPr="0088349B" w:rsidRDefault="00BE2894" w:rsidP="00B331C8">
            <w:pPr>
              <w:spacing w:line="240" w:lineRule="auto"/>
              <w:jc w:val="center"/>
              <w:rPr>
                <w:rFonts w:ascii="Calibri" w:hAnsi="Calibri" w:cs="Calibri"/>
                <w:b/>
                <w:bCs/>
                <w:sz w:val="22"/>
                <w:szCs w:val="22"/>
              </w:rPr>
            </w:pPr>
            <w:r w:rsidRPr="00C86335">
              <w:rPr>
                <w:rFonts w:ascii="Arial" w:hAnsi="Arial" w:cs="Arial"/>
                <w:b/>
                <w:bCs/>
                <w:sz w:val="20"/>
              </w:rPr>
              <w:t>12-Year Percent</w:t>
            </w:r>
            <w:r w:rsidR="002F4BB2" w:rsidRPr="00BF1F0E">
              <w:rPr>
                <w:rFonts w:ascii="Arial" w:hAnsi="Arial" w:cs="Arial"/>
                <w:b/>
                <w:bCs/>
                <w:sz w:val="20"/>
              </w:rPr>
              <w:t xml:space="preserve"> </w:t>
            </w:r>
            <w:r>
              <w:rPr>
                <w:rFonts w:ascii="Arial" w:hAnsi="Arial" w:cs="Arial"/>
                <w:b/>
                <w:bCs/>
                <w:sz w:val="20"/>
              </w:rPr>
              <w:t>Increase</w:t>
            </w:r>
          </w:p>
        </w:tc>
      </w:tr>
      <w:tr w:rsidR="00BE2894" w:rsidRPr="0088349B" w14:paraId="6C94A320" w14:textId="77777777" w:rsidTr="00627844">
        <w:trPr>
          <w:trHeight w:val="69"/>
        </w:trPr>
        <w:tc>
          <w:tcPr>
            <w:tcW w:w="1231" w:type="pct"/>
            <w:tcBorders>
              <w:top w:val="nil"/>
              <w:left w:val="single" w:sz="4" w:space="0" w:color="auto"/>
              <w:bottom w:val="single" w:sz="4" w:space="0" w:color="auto"/>
              <w:right w:val="single" w:sz="4" w:space="0" w:color="auto"/>
            </w:tcBorders>
            <w:noWrap/>
            <w:vAlign w:val="bottom"/>
            <w:hideMark/>
          </w:tcPr>
          <w:p w14:paraId="652FAC18" w14:textId="77777777" w:rsidR="00BE2894" w:rsidRPr="0088349B" w:rsidRDefault="00BE2894" w:rsidP="00B331C8">
            <w:pPr>
              <w:spacing w:line="240" w:lineRule="auto"/>
              <w:rPr>
                <w:rFonts w:ascii="Calibri" w:hAnsi="Calibri" w:cs="Calibri"/>
                <w:b/>
                <w:bCs/>
                <w:sz w:val="22"/>
                <w:szCs w:val="22"/>
              </w:rPr>
            </w:pPr>
            <w:r w:rsidRPr="0088349B">
              <w:rPr>
                <w:rFonts w:ascii="Calibri" w:hAnsi="Calibri" w:cs="Calibri"/>
                <w:b/>
                <w:bCs/>
                <w:sz w:val="22"/>
                <w:szCs w:val="22"/>
              </w:rPr>
              <w:t>All Students</w:t>
            </w:r>
          </w:p>
        </w:tc>
        <w:tc>
          <w:tcPr>
            <w:tcW w:w="667" w:type="pct"/>
            <w:tcBorders>
              <w:top w:val="nil"/>
              <w:left w:val="nil"/>
              <w:bottom w:val="single" w:sz="4" w:space="0" w:color="auto"/>
              <w:right w:val="single" w:sz="4" w:space="0" w:color="auto"/>
            </w:tcBorders>
            <w:noWrap/>
            <w:vAlign w:val="center"/>
            <w:hideMark/>
          </w:tcPr>
          <w:p w14:paraId="70EA0FD3"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85.9</w:t>
            </w:r>
          </w:p>
        </w:tc>
        <w:tc>
          <w:tcPr>
            <w:tcW w:w="476" w:type="pct"/>
            <w:tcBorders>
              <w:top w:val="nil"/>
              <w:left w:val="nil"/>
              <w:bottom w:val="single" w:sz="4" w:space="0" w:color="auto"/>
              <w:right w:val="single" w:sz="4" w:space="0" w:color="auto"/>
            </w:tcBorders>
            <w:noWrap/>
            <w:vAlign w:val="center"/>
            <w:hideMark/>
          </w:tcPr>
          <w:p w14:paraId="5E6DFC33"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0.910</w:t>
            </w:r>
          </w:p>
        </w:tc>
        <w:tc>
          <w:tcPr>
            <w:tcW w:w="545" w:type="pct"/>
            <w:tcBorders>
              <w:top w:val="nil"/>
              <w:left w:val="nil"/>
              <w:bottom w:val="single" w:sz="4" w:space="0" w:color="auto"/>
              <w:right w:val="single" w:sz="4" w:space="0" w:color="auto"/>
            </w:tcBorders>
            <w:noWrap/>
            <w:vAlign w:val="center"/>
            <w:hideMark/>
          </w:tcPr>
          <w:p w14:paraId="45B80AD0"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92.3</w:t>
            </w:r>
          </w:p>
        </w:tc>
        <w:tc>
          <w:tcPr>
            <w:tcW w:w="545" w:type="pct"/>
            <w:tcBorders>
              <w:top w:val="nil"/>
              <w:left w:val="nil"/>
              <w:bottom w:val="single" w:sz="4" w:space="0" w:color="auto"/>
              <w:right w:val="single" w:sz="4" w:space="0" w:color="auto"/>
            </w:tcBorders>
            <w:noWrap/>
            <w:vAlign w:val="center"/>
            <w:hideMark/>
          </w:tcPr>
          <w:p w14:paraId="40839CE9"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93.2</w:t>
            </w:r>
          </w:p>
        </w:tc>
        <w:tc>
          <w:tcPr>
            <w:tcW w:w="545" w:type="pct"/>
            <w:tcBorders>
              <w:top w:val="nil"/>
              <w:left w:val="nil"/>
              <w:bottom w:val="single" w:sz="4" w:space="0" w:color="auto"/>
              <w:right w:val="single" w:sz="4" w:space="0" w:color="auto"/>
            </w:tcBorders>
            <w:noWrap/>
            <w:vAlign w:val="center"/>
            <w:hideMark/>
          </w:tcPr>
          <w:p w14:paraId="14277E33"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94.1</w:t>
            </w:r>
          </w:p>
        </w:tc>
        <w:tc>
          <w:tcPr>
            <w:tcW w:w="513" w:type="pct"/>
            <w:tcBorders>
              <w:top w:val="nil"/>
              <w:left w:val="nil"/>
              <w:bottom w:val="single" w:sz="4" w:space="0" w:color="auto"/>
              <w:right w:val="single" w:sz="4" w:space="0" w:color="auto"/>
            </w:tcBorders>
            <w:noWrap/>
            <w:vAlign w:val="center"/>
            <w:hideMark/>
          </w:tcPr>
          <w:p w14:paraId="4A211F0D"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73B11C39"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9.1</w:t>
            </w:r>
          </w:p>
        </w:tc>
      </w:tr>
      <w:tr w:rsidR="00BE2894" w:rsidRPr="0088349B" w14:paraId="7B1C4335"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0509A82B" w14:textId="77777777" w:rsidR="00BE2894" w:rsidRPr="0088349B" w:rsidRDefault="00BE2894" w:rsidP="00B331C8">
            <w:pPr>
              <w:spacing w:line="240" w:lineRule="auto"/>
              <w:rPr>
                <w:rFonts w:ascii="Calibri" w:hAnsi="Calibri" w:cs="Calibri"/>
                <w:b/>
                <w:bCs/>
                <w:sz w:val="22"/>
                <w:szCs w:val="22"/>
              </w:rPr>
            </w:pPr>
            <w:r w:rsidRPr="0088349B">
              <w:rPr>
                <w:rFonts w:ascii="Calibri" w:hAnsi="Calibri" w:cs="Calibri"/>
                <w:b/>
                <w:bCs/>
                <w:sz w:val="22"/>
                <w:szCs w:val="22"/>
              </w:rPr>
              <w:t>American Indian</w:t>
            </w:r>
          </w:p>
        </w:tc>
        <w:tc>
          <w:tcPr>
            <w:tcW w:w="667" w:type="pct"/>
            <w:tcBorders>
              <w:top w:val="nil"/>
              <w:left w:val="nil"/>
              <w:bottom w:val="single" w:sz="4" w:space="0" w:color="auto"/>
              <w:right w:val="single" w:sz="4" w:space="0" w:color="auto"/>
            </w:tcBorders>
            <w:noWrap/>
            <w:vAlign w:val="center"/>
            <w:hideMark/>
          </w:tcPr>
          <w:p w14:paraId="5E853E2E"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82.0</w:t>
            </w:r>
          </w:p>
        </w:tc>
        <w:tc>
          <w:tcPr>
            <w:tcW w:w="476" w:type="pct"/>
            <w:tcBorders>
              <w:top w:val="nil"/>
              <w:left w:val="nil"/>
              <w:bottom w:val="single" w:sz="4" w:space="0" w:color="auto"/>
              <w:right w:val="single" w:sz="4" w:space="0" w:color="auto"/>
            </w:tcBorders>
            <w:noWrap/>
            <w:vAlign w:val="center"/>
            <w:hideMark/>
          </w:tcPr>
          <w:p w14:paraId="38AF4C45"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1.300</w:t>
            </w:r>
          </w:p>
        </w:tc>
        <w:tc>
          <w:tcPr>
            <w:tcW w:w="545" w:type="pct"/>
            <w:tcBorders>
              <w:top w:val="nil"/>
              <w:left w:val="nil"/>
              <w:bottom w:val="single" w:sz="4" w:space="0" w:color="auto"/>
              <w:right w:val="single" w:sz="4" w:space="0" w:color="auto"/>
            </w:tcBorders>
            <w:noWrap/>
            <w:vAlign w:val="center"/>
            <w:hideMark/>
          </w:tcPr>
          <w:p w14:paraId="10C581F3"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91.1</w:t>
            </w:r>
          </w:p>
        </w:tc>
        <w:tc>
          <w:tcPr>
            <w:tcW w:w="545" w:type="pct"/>
            <w:tcBorders>
              <w:top w:val="nil"/>
              <w:left w:val="nil"/>
              <w:bottom w:val="single" w:sz="4" w:space="0" w:color="auto"/>
              <w:right w:val="single" w:sz="4" w:space="0" w:color="auto"/>
            </w:tcBorders>
            <w:noWrap/>
            <w:vAlign w:val="center"/>
            <w:hideMark/>
          </w:tcPr>
          <w:p w14:paraId="04170BFE"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92.4</w:t>
            </w:r>
          </w:p>
        </w:tc>
        <w:tc>
          <w:tcPr>
            <w:tcW w:w="545" w:type="pct"/>
            <w:tcBorders>
              <w:top w:val="nil"/>
              <w:left w:val="nil"/>
              <w:bottom w:val="single" w:sz="4" w:space="0" w:color="auto"/>
              <w:right w:val="single" w:sz="4" w:space="0" w:color="auto"/>
            </w:tcBorders>
            <w:noWrap/>
            <w:vAlign w:val="center"/>
            <w:hideMark/>
          </w:tcPr>
          <w:p w14:paraId="0333B20B"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93.7</w:t>
            </w:r>
          </w:p>
        </w:tc>
        <w:tc>
          <w:tcPr>
            <w:tcW w:w="513" w:type="pct"/>
            <w:tcBorders>
              <w:top w:val="nil"/>
              <w:left w:val="nil"/>
              <w:bottom w:val="single" w:sz="4" w:space="0" w:color="auto"/>
              <w:right w:val="single" w:sz="4" w:space="0" w:color="auto"/>
            </w:tcBorders>
            <w:noWrap/>
            <w:vAlign w:val="center"/>
            <w:hideMark/>
          </w:tcPr>
          <w:p w14:paraId="71420E42"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0E29F803"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13.0</w:t>
            </w:r>
          </w:p>
        </w:tc>
      </w:tr>
      <w:tr w:rsidR="00BE2894" w:rsidRPr="0088349B" w14:paraId="1D22079B"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064B4A55" w14:textId="77777777" w:rsidR="00BE2894" w:rsidRPr="0088349B" w:rsidRDefault="00BE2894" w:rsidP="002A0557">
            <w:pPr>
              <w:spacing w:line="240" w:lineRule="auto"/>
              <w:rPr>
                <w:rFonts w:ascii="Calibri" w:hAnsi="Calibri" w:cs="Calibri"/>
                <w:b/>
                <w:bCs/>
                <w:sz w:val="22"/>
                <w:szCs w:val="22"/>
              </w:rPr>
            </w:pPr>
            <w:r w:rsidRPr="0088349B">
              <w:rPr>
                <w:rFonts w:ascii="Calibri" w:hAnsi="Calibri" w:cs="Calibri"/>
                <w:b/>
                <w:bCs/>
                <w:sz w:val="22"/>
                <w:szCs w:val="22"/>
              </w:rPr>
              <w:t>Asian</w:t>
            </w:r>
          </w:p>
        </w:tc>
        <w:tc>
          <w:tcPr>
            <w:tcW w:w="667" w:type="pct"/>
            <w:tcBorders>
              <w:top w:val="nil"/>
              <w:left w:val="nil"/>
              <w:bottom w:val="single" w:sz="4" w:space="0" w:color="auto"/>
              <w:right w:val="single" w:sz="4" w:space="0" w:color="auto"/>
            </w:tcBorders>
            <w:noWrap/>
            <w:vAlign w:val="center"/>
            <w:hideMark/>
          </w:tcPr>
          <w:p w14:paraId="116F5EF2"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93.4</w:t>
            </w:r>
          </w:p>
        </w:tc>
        <w:tc>
          <w:tcPr>
            <w:tcW w:w="476" w:type="pct"/>
            <w:tcBorders>
              <w:top w:val="nil"/>
              <w:left w:val="nil"/>
              <w:bottom w:val="single" w:sz="4" w:space="0" w:color="auto"/>
              <w:right w:val="single" w:sz="4" w:space="0" w:color="auto"/>
            </w:tcBorders>
            <w:noWrap/>
            <w:vAlign w:val="center"/>
            <w:hideMark/>
          </w:tcPr>
          <w:p w14:paraId="789A2900"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0.160</w:t>
            </w:r>
          </w:p>
        </w:tc>
        <w:tc>
          <w:tcPr>
            <w:tcW w:w="545" w:type="pct"/>
            <w:tcBorders>
              <w:top w:val="nil"/>
              <w:left w:val="nil"/>
              <w:bottom w:val="single" w:sz="4" w:space="0" w:color="auto"/>
              <w:right w:val="single" w:sz="4" w:space="0" w:color="auto"/>
            </w:tcBorders>
            <w:noWrap/>
            <w:vAlign w:val="center"/>
            <w:hideMark/>
          </w:tcPr>
          <w:p w14:paraId="1EDE7824"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94.5</w:t>
            </w:r>
          </w:p>
        </w:tc>
        <w:tc>
          <w:tcPr>
            <w:tcW w:w="545" w:type="pct"/>
            <w:tcBorders>
              <w:top w:val="nil"/>
              <w:left w:val="nil"/>
              <w:bottom w:val="single" w:sz="4" w:space="0" w:color="auto"/>
              <w:right w:val="single" w:sz="4" w:space="0" w:color="auto"/>
            </w:tcBorders>
            <w:noWrap/>
            <w:vAlign w:val="center"/>
            <w:hideMark/>
          </w:tcPr>
          <w:p w14:paraId="57B3C60F"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94.7</w:t>
            </w:r>
          </w:p>
        </w:tc>
        <w:tc>
          <w:tcPr>
            <w:tcW w:w="545" w:type="pct"/>
            <w:tcBorders>
              <w:top w:val="nil"/>
              <w:left w:val="nil"/>
              <w:bottom w:val="single" w:sz="4" w:space="0" w:color="auto"/>
              <w:right w:val="single" w:sz="4" w:space="0" w:color="auto"/>
            </w:tcBorders>
            <w:noWrap/>
            <w:vAlign w:val="center"/>
            <w:hideMark/>
          </w:tcPr>
          <w:p w14:paraId="26C20425"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94.8</w:t>
            </w:r>
          </w:p>
        </w:tc>
        <w:tc>
          <w:tcPr>
            <w:tcW w:w="513" w:type="pct"/>
            <w:tcBorders>
              <w:top w:val="nil"/>
              <w:left w:val="nil"/>
              <w:bottom w:val="single" w:sz="4" w:space="0" w:color="auto"/>
              <w:right w:val="single" w:sz="4" w:space="0" w:color="auto"/>
            </w:tcBorders>
            <w:noWrap/>
            <w:vAlign w:val="center"/>
            <w:hideMark/>
          </w:tcPr>
          <w:p w14:paraId="7C25B8FC"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4E368891"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1.6</w:t>
            </w:r>
          </w:p>
        </w:tc>
      </w:tr>
      <w:tr w:rsidR="00BE2894" w:rsidRPr="0088349B" w14:paraId="6E0E6F3F"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3D8A927C" w14:textId="77777777" w:rsidR="00BE2894" w:rsidRPr="0088349B" w:rsidRDefault="00BE2894" w:rsidP="002A0557">
            <w:pPr>
              <w:spacing w:line="240" w:lineRule="auto"/>
              <w:rPr>
                <w:rFonts w:ascii="Calibri" w:hAnsi="Calibri" w:cs="Calibri"/>
                <w:b/>
                <w:bCs/>
                <w:sz w:val="22"/>
                <w:szCs w:val="22"/>
              </w:rPr>
            </w:pPr>
            <w:r w:rsidRPr="0088349B">
              <w:rPr>
                <w:rFonts w:ascii="Calibri" w:hAnsi="Calibri" w:cs="Calibri"/>
                <w:b/>
                <w:bCs/>
                <w:sz w:val="22"/>
                <w:szCs w:val="22"/>
              </w:rPr>
              <w:t>Black</w:t>
            </w:r>
          </w:p>
        </w:tc>
        <w:tc>
          <w:tcPr>
            <w:tcW w:w="667" w:type="pct"/>
            <w:tcBorders>
              <w:top w:val="nil"/>
              <w:left w:val="nil"/>
              <w:bottom w:val="single" w:sz="4" w:space="0" w:color="auto"/>
              <w:right w:val="single" w:sz="4" w:space="0" w:color="auto"/>
            </w:tcBorders>
            <w:noWrap/>
            <w:vAlign w:val="center"/>
            <w:hideMark/>
          </w:tcPr>
          <w:p w14:paraId="08227C56"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82.9</w:t>
            </w:r>
          </w:p>
        </w:tc>
        <w:tc>
          <w:tcPr>
            <w:tcW w:w="476" w:type="pct"/>
            <w:tcBorders>
              <w:top w:val="nil"/>
              <w:left w:val="nil"/>
              <w:bottom w:val="single" w:sz="4" w:space="0" w:color="auto"/>
              <w:right w:val="single" w:sz="4" w:space="0" w:color="auto"/>
            </w:tcBorders>
            <w:noWrap/>
            <w:vAlign w:val="center"/>
            <w:hideMark/>
          </w:tcPr>
          <w:p w14:paraId="2E08A830"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1.210</w:t>
            </w:r>
          </w:p>
        </w:tc>
        <w:tc>
          <w:tcPr>
            <w:tcW w:w="545" w:type="pct"/>
            <w:tcBorders>
              <w:top w:val="nil"/>
              <w:left w:val="nil"/>
              <w:bottom w:val="single" w:sz="4" w:space="0" w:color="auto"/>
              <w:right w:val="single" w:sz="4" w:space="0" w:color="auto"/>
            </w:tcBorders>
            <w:noWrap/>
            <w:vAlign w:val="center"/>
            <w:hideMark/>
          </w:tcPr>
          <w:p w14:paraId="028B3719"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91.4</w:t>
            </w:r>
          </w:p>
        </w:tc>
        <w:tc>
          <w:tcPr>
            <w:tcW w:w="545" w:type="pct"/>
            <w:tcBorders>
              <w:top w:val="nil"/>
              <w:left w:val="nil"/>
              <w:bottom w:val="single" w:sz="4" w:space="0" w:color="auto"/>
              <w:right w:val="single" w:sz="4" w:space="0" w:color="auto"/>
            </w:tcBorders>
            <w:noWrap/>
            <w:vAlign w:val="center"/>
            <w:hideMark/>
          </w:tcPr>
          <w:p w14:paraId="31CD7BA5"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92.6</w:t>
            </w:r>
          </w:p>
        </w:tc>
        <w:tc>
          <w:tcPr>
            <w:tcW w:w="545" w:type="pct"/>
            <w:tcBorders>
              <w:top w:val="nil"/>
              <w:left w:val="nil"/>
              <w:bottom w:val="single" w:sz="4" w:space="0" w:color="auto"/>
              <w:right w:val="single" w:sz="4" w:space="0" w:color="auto"/>
            </w:tcBorders>
            <w:noWrap/>
            <w:vAlign w:val="center"/>
            <w:hideMark/>
          </w:tcPr>
          <w:p w14:paraId="330D4050"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93.8</w:t>
            </w:r>
          </w:p>
        </w:tc>
        <w:tc>
          <w:tcPr>
            <w:tcW w:w="513" w:type="pct"/>
            <w:tcBorders>
              <w:top w:val="nil"/>
              <w:left w:val="nil"/>
              <w:bottom w:val="single" w:sz="4" w:space="0" w:color="auto"/>
              <w:right w:val="single" w:sz="4" w:space="0" w:color="auto"/>
            </w:tcBorders>
            <w:noWrap/>
            <w:vAlign w:val="center"/>
            <w:hideMark/>
          </w:tcPr>
          <w:p w14:paraId="1E68FF9A"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3D2275D0"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12.0</w:t>
            </w:r>
          </w:p>
        </w:tc>
      </w:tr>
      <w:tr w:rsidR="00BE2894" w:rsidRPr="0088349B" w14:paraId="38D2BF4B"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3ACEB70D" w14:textId="77777777" w:rsidR="00BE2894" w:rsidRPr="0088349B" w:rsidRDefault="00BE2894" w:rsidP="002A0557">
            <w:pPr>
              <w:spacing w:line="240" w:lineRule="auto"/>
              <w:rPr>
                <w:rFonts w:ascii="Calibri" w:hAnsi="Calibri" w:cs="Calibri"/>
                <w:b/>
                <w:bCs/>
                <w:sz w:val="22"/>
                <w:szCs w:val="22"/>
              </w:rPr>
            </w:pPr>
            <w:r w:rsidRPr="0088349B">
              <w:rPr>
                <w:rFonts w:ascii="Calibri" w:hAnsi="Calibri" w:cs="Calibri"/>
                <w:b/>
                <w:bCs/>
                <w:sz w:val="22"/>
                <w:szCs w:val="22"/>
              </w:rPr>
              <w:t>Hispanic</w:t>
            </w:r>
          </w:p>
        </w:tc>
        <w:tc>
          <w:tcPr>
            <w:tcW w:w="667" w:type="pct"/>
            <w:tcBorders>
              <w:top w:val="nil"/>
              <w:left w:val="nil"/>
              <w:bottom w:val="single" w:sz="4" w:space="0" w:color="auto"/>
              <w:right w:val="single" w:sz="4" w:space="0" w:color="auto"/>
            </w:tcBorders>
            <w:noWrap/>
            <w:vAlign w:val="center"/>
            <w:hideMark/>
          </w:tcPr>
          <w:p w14:paraId="27514E9B"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80.1</w:t>
            </w:r>
          </w:p>
        </w:tc>
        <w:tc>
          <w:tcPr>
            <w:tcW w:w="476" w:type="pct"/>
            <w:tcBorders>
              <w:top w:val="nil"/>
              <w:left w:val="nil"/>
              <w:bottom w:val="single" w:sz="4" w:space="0" w:color="auto"/>
              <w:right w:val="single" w:sz="4" w:space="0" w:color="auto"/>
            </w:tcBorders>
            <w:noWrap/>
            <w:vAlign w:val="center"/>
            <w:hideMark/>
          </w:tcPr>
          <w:p w14:paraId="754164D3"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1.490</w:t>
            </w:r>
          </w:p>
        </w:tc>
        <w:tc>
          <w:tcPr>
            <w:tcW w:w="545" w:type="pct"/>
            <w:tcBorders>
              <w:top w:val="nil"/>
              <w:left w:val="nil"/>
              <w:bottom w:val="single" w:sz="4" w:space="0" w:color="auto"/>
              <w:right w:val="single" w:sz="4" w:space="0" w:color="auto"/>
            </w:tcBorders>
            <w:noWrap/>
            <w:vAlign w:val="center"/>
            <w:hideMark/>
          </w:tcPr>
          <w:p w14:paraId="4151B066"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90.5</w:t>
            </w:r>
          </w:p>
        </w:tc>
        <w:tc>
          <w:tcPr>
            <w:tcW w:w="545" w:type="pct"/>
            <w:tcBorders>
              <w:top w:val="nil"/>
              <w:left w:val="nil"/>
              <w:bottom w:val="single" w:sz="4" w:space="0" w:color="auto"/>
              <w:right w:val="single" w:sz="4" w:space="0" w:color="auto"/>
            </w:tcBorders>
            <w:noWrap/>
            <w:vAlign w:val="center"/>
            <w:hideMark/>
          </w:tcPr>
          <w:p w14:paraId="75E91CC8"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92.0</w:t>
            </w:r>
          </w:p>
        </w:tc>
        <w:tc>
          <w:tcPr>
            <w:tcW w:w="545" w:type="pct"/>
            <w:tcBorders>
              <w:top w:val="nil"/>
              <w:left w:val="nil"/>
              <w:bottom w:val="single" w:sz="4" w:space="0" w:color="auto"/>
              <w:right w:val="single" w:sz="4" w:space="0" w:color="auto"/>
            </w:tcBorders>
            <w:noWrap/>
            <w:vAlign w:val="center"/>
            <w:hideMark/>
          </w:tcPr>
          <w:p w14:paraId="0B021BCC"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93.5</w:t>
            </w:r>
          </w:p>
        </w:tc>
        <w:tc>
          <w:tcPr>
            <w:tcW w:w="513" w:type="pct"/>
            <w:tcBorders>
              <w:top w:val="nil"/>
              <w:left w:val="nil"/>
              <w:bottom w:val="single" w:sz="4" w:space="0" w:color="auto"/>
              <w:right w:val="single" w:sz="4" w:space="0" w:color="auto"/>
            </w:tcBorders>
            <w:noWrap/>
            <w:vAlign w:val="center"/>
            <w:hideMark/>
          </w:tcPr>
          <w:p w14:paraId="6AF10D64"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3C9B9C94"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14.9</w:t>
            </w:r>
          </w:p>
        </w:tc>
      </w:tr>
      <w:tr w:rsidR="00BE2894" w:rsidRPr="0088349B" w14:paraId="750BD301"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08017ECF" w14:textId="77777777" w:rsidR="00BE2894" w:rsidRPr="0088349B" w:rsidRDefault="00BE2894" w:rsidP="002A0557">
            <w:pPr>
              <w:spacing w:line="240" w:lineRule="auto"/>
              <w:rPr>
                <w:rFonts w:ascii="Calibri" w:hAnsi="Calibri" w:cs="Calibri"/>
                <w:b/>
                <w:bCs/>
                <w:sz w:val="22"/>
                <w:szCs w:val="22"/>
              </w:rPr>
            </w:pPr>
            <w:r w:rsidRPr="0088349B">
              <w:rPr>
                <w:rFonts w:ascii="Calibri" w:hAnsi="Calibri" w:cs="Calibri"/>
                <w:b/>
                <w:bCs/>
                <w:sz w:val="22"/>
                <w:szCs w:val="22"/>
              </w:rPr>
              <w:t>Two or more races</w:t>
            </w:r>
          </w:p>
        </w:tc>
        <w:tc>
          <w:tcPr>
            <w:tcW w:w="667" w:type="pct"/>
            <w:tcBorders>
              <w:top w:val="nil"/>
              <w:left w:val="nil"/>
              <w:bottom w:val="single" w:sz="4" w:space="0" w:color="auto"/>
              <w:right w:val="single" w:sz="4" w:space="0" w:color="auto"/>
            </w:tcBorders>
            <w:noWrap/>
            <w:vAlign w:val="center"/>
            <w:hideMark/>
          </w:tcPr>
          <w:p w14:paraId="3C6A8784"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83.0</w:t>
            </w:r>
          </w:p>
        </w:tc>
        <w:tc>
          <w:tcPr>
            <w:tcW w:w="476" w:type="pct"/>
            <w:tcBorders>
              <w:top w:val="nil"/>
              <w:left w:val="nil"/>
              <w:bottom w:val="single" w:sz="4" w:space="0" w:color="auto"/>
              <w:right w:val="single" w:sz="4" w:space="0" w:color="auto"/>
            </w:tcBorders>
            <w:noWrap/>
            <w:vAlign w:val="center"/>
            <w:hideMark/>
          </w:tcPr>
          <w:p w14:paraId="5DDDB542"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1.200</w:t>
            </w:r>
          </w:p>
        </w:tc>
        <w:tc>
          <w:tcPr>
            <w:tcW w:w="545" w:type="pct"/>
            <w:tcBorders>
              <w:top w:val="nil"/>
              <w:left w:val="nil"/>
              <w:bottom w:val="single" w:sz="4" w:space="0" w:color="auto"/>
              <w:right w:val="single" w:sz="4" w:space="0" w:color="auto"/>
            </w:tcBorders>
            <w:noWrap/>
            <w:vAlign w:val="center"/>
            <w:hideMark/>
          </w:tcPr>
          <w:p w14:paraId="2FAA49CF"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91.4</w:t>
            </w:r>
          </w:p>
        </w:tc>
        <w:tc>
          <w:tcPr>
            <w:tcW w:w="545" w:type="pct"/>
            <w:tcBorders>
              <w:top w:val="nil"/>
              <w:left w:val="nil"/>
              <w:bottom w:val="single" w:sz="4" w:space="0" w:color="auto"/>
              <w:right w:val="single" w:sz="4" w:space="0" w:color="auto"/>
            </w:tcBorders>
            <w:noWrap/>
            <w:vAlign w:val="center"/>
            <w:hideMark/>
          </w:tcPr>
          <w:p w14:paraId="32DE4DEF"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92.6</w:t>
            </w:r>
          </w:p>
        </w:tc>
        <w:tc>
          <w:tcPr>
            <w:tcW w:w="545" w:type="pct"/>
            <w:tcBorders>
              <w:top w:val="nil"/>
              <w:left w:val="nil"/>
              <w:bottom w:val="single" w:sz="4" w:space="0" w:color="auto"/>
              <w:right w:val="single" w:sz="4" w:space="0" w:color="auto"/>
            </w:tcBorders>
            <w:noWrap/>
            <w:vAlign w:val="center"/>
            <w:hideMark/>
          </w:tcPr>
          <w:p w14:paraId="1560AB75"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93.8</w:t>
            </w:r>
          </w:p>
        </w:tc>
        <w:tc>
          <w:tcPr>
            <w:tcW w:w="513" w:type="pct"/>
            <w:tcBorders>
              <w:top w:val="nil"/>
              <w:left w:val="nil"/>
              <w:bottom w:val="single" w:sz="4" w:space="0" w:color="auto"/>
              <w:right w:val="single" w:sz="4" w:space="0" w:color="auto"/>
            </w:tcBorders>
            <w:noWrap/>
            <w:vAlign w:val="center"/>
            <w:hideMark/>
          </w:tcPr>
          <w:p w14:paraId="389E74FB"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31FA93FB"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12.0</w:t>
            </w:r>
          </w:p>
        </w:tc>
      </w:tr>
      <w:tr w:rsidR="00BE2894" w:rsidRPr="0088349B" w14:paraId="3FCA0602"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61AAD0DC" w14:textId="77777777" w:rsidR="00BE2894" w:rsidRPr="0088349B" w:rsidRDefault="00BE2894" w:rsidP="003F309A">
            <w:pPr>
              <w:spacing w:line="240" w:lineRule="auto"/>
              <w:rPr>
                <w:rFonts w:ascii="Calibri" w:hAnsi="Calibri" w:cs="Calibri"/>
                <w:b/>
                <w:bCs/>
                <w:sz w:val="22"/>
                <w:szCs w:val="22"/>
              </w:rPr>
            </w:pPr>
            <w:r w:rsidRPr="0088349B">
              <w:rPr>
                <w:rFonts w:ascii="Calibri" w:hAnsi="Calibri" w:cs="Calibri"/>
                <w:b/>
                <w:bCs/>
                <w:sz w:val="22"/>
                <w:szCs w:val="22"/>
              </w:rPr>
              <w:t>White</w:t>
            </w:r>
          </w:p>
        </w:tc>
        <w:tc>
          <w:tcPr>
            <w:tcW w:w="667" w:type="pct"/>
            <w:tcBorders>
              <w:top w:val="nil"/>
              <w:left w:val="nil"/>
              <w:bottom w:val="single" w:sz="4" w:space="0" w:color="auto"/>
              <w:right w:val="single" w:sz="4" w:space="0" w:color="auto"/>
            </w:tcBorders>
            <w:noWrap/>
            <w:vAlign w:val="center"/>
            <w:hideMark/>
          </w:tcPr>
          <w:p w14:paraId="711B7FBB"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88.6</w:t>
            </w:r>
          </w:p>
        </w:tc>
        <w:tc>
          <w:tcPr>
            <w:tcW w:w="476" w:type="pct"/>
            <w:tcBorders>
              <w:top w:val="nil"/>
              <w:left w:val="nil"/>
              <w:bottom w:val="single" w:sz="4" w:space="0" w:color="auto"/>
              <w:right w:val="single" w:sz="4" w:space="0" w:color="auto"/>
            </w:tcBorders>
            <w:noWrap/>
            <w:vAlign w:val="center"/>
            <w:hideMark/>
          </w:tcPr>
          <w:p w14:paraId="470013C8"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0.640</w:t>
            </w:r>
          </w:p>
        </w:tc>
        <w:tc>
          <w:tcPr>
            <w:tcW w:w="545" w:type="pct"/>
            <w:tcBorders>
              <w:top w:val="nil"/>
              <w:left w:val="nil"/>
              <w:bottom w:val="single" w:sz="4" w:space="0" w:color="auto"/>
              <w:right w:val="single" w:sz="4" w:space="0" w:color="auto"/>
            </w:tcBorders>
            <w:noWrap/>
            <w:vAlign w:val="center"/>
            <w:hideMark/>
          </w:tcPr>
          <w:p w14:paraId="23D97728"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93.1</w:t>
            </w:r>
          </w:p>
        </w:tc>
        <w:tc>
          <w:tcPr>
            <w:tcW w:w="545" w:type="pct"/>
            <w:tcBorders>
              <w:top w:val="nil"/>
              <w:left w:val="nil"/>
              <w:bottom w:val="single" w:sz="4" w:space="0" w:color="auto"/>
              <w:right w:val="single" w:sz="4" w:space="0" w:color="auto"/>
            </w:tcBorders>
            <w:noWrap/>
            <w:vAlign w:val="center"/>
            <w:hideMark/>
          </w:tcPr>
          <w:p w14:paraId="68BD00A3"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93.7</w:t>
            </w:r>
          </w:p>
        </w:tc>
        <w:tc>
          <w:tcPr>
            <w:tcW w:w="545" w:type="pct"/>
            <w:tcBorders>
              <w:top w:val="nil"/>
              <w:left w:val="nil"/>
              <w:bottom w:val="single" w:sz="4" w:space="0" w:color="auto"/>
              <w:right w:val="single" w:sz="4" w:space="0" w:color="auto"/>
            </w:tcBorders>
            <w:noWrap/>
            <w:vAlign w:val="center"/>
            <w:hideMark/>
          </w:tcPr>
          <w:p w14:paraId="35CE5584"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94.4</w:t>
            </w:r>
          </w:p>
        </w:tc>
        <w:tc>
          <w:tcPr>
            <w:tcW w:w="513" w:type="pct"/>
            <w:tcBorders>
              <w:top w:val="nil"/>
              <w:left w:val="nil"/>
              <w:bottom w:val="single" w:sz="4" w:space="0" w:color="auto"/>
              <w:right w:val="single" w:sz="4" w:space="0" w:color="auto"/>
            </w:tcBorders>
            <w:noWrap/>
            <w:vAlign w:val="center"/>
            <w:hideMark/>
          </w:tcPr>
          <w:p w14:paraId="47B37CCC"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4BC781C3"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6.4</w:t>
            </w:r>
          </w:p>
        </w:tc>
      </w:tr>
      <w:tr w:rsidR="00BE2894" w:rsidRPr="0088349B" w14:paraId="47CF36DC"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75C1E209" w14:textId="77777777" w:rsidR="00CF1A9E" w:rsidRDefault="00BE2894" w:rsidP="00BE2894">
            <w:pPr>
              <w:spacing w:line="240" w:lineRule="auto"/>
              <w:rPr>
                <w:rFonts w:ascii="Calibri" w:hAnsi="Calibri" w:cs="Calibri"/>
                <w:b/>
                <w:bCs/>
                <w:sz w:val="22"/>
                <w:szCs w:val="22"/>
              </w:rPr>
            </w:pPr>
            <w:r w:rsidRPr="0088349B">
              <w:rPr>
                <w:rFonts w:ascii="Calibri" w:hAnsi="Calibri" w:cs="Calibri"/>
                <w:b/>
                <w:bCs/>
                <w:sz w:val="22"/>
                <w:szCs w:val="22"/>
              </w:rPr>
              <w:t xml:space="preserve">Economically </w:t>
            </w:r>
          </w:p>
          <w:p w14:paraId="44555158" w14:textId="61FE59A4" w:rsidR="00BE2894" w:rsidRPr="0088349B" w:rsidRDefault="00BE2894" w:rsidP="003F309A">
            <w:pPr>
              <w:spacing w:line="240" w:lineRule="auto"/>
              <w:rPr>
                <w:rFonts w:ascii="Calibri" w:hAnsi="Calibri" w:cs="Calibri"/>
                <w:b/>
                <w:bCs/>
                <w:sz w:val="22"/>
                <w:szCs w:val="22"/>
              </w:rPr>
            </w:pPr>
            <w:r w:rsidRPr="0088349B">
              <w:rPr>
                <w:rFonts w:ascii="Calibri" w:hAnsi="Calibri" w:cs="Calibri"/>
                <w:b/>
                <w:bCs/>
                <w:sz w:val="22"/>
                <w:szCs w:val="22"/>
              </w:rPr>
              <w:t>Disadvantaged Students</w:t>
            </w:r>
          </w:p>
        </w:tc>
        <w:tc>
          <w:tcPr>
            <w:tcW w:w="667" w:type="pct"/>
            <w:tcBorders>
              <w:top w:val="nil"/>
              <w:left w:val="nil"/>
              <w:bottom w:val="single" w:sz="4" w:space="0" w:color="auto"/>
              <w:right w:val="single" w:sz="4" w:space="0" w:color="auto"/>
            </w:tcBorders>
            <w:noWrap/>
            <w:vAlign w:val="center"/>
            <w:hideMark/>
          </w:tcPr>
          <w:p w14:paraId="181E75E9"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80.6</w:t>
            </w:r>
          </w:p>
        </w:tc>
        <w:tc>
          <w:tcPr>
            <w:tcW w:w="476" w:type="pct"/>
            <w:tcBorders>
              <w:top w:val="nil"/>
              <w:left w:val="nil"/>
              <w:bottom w:val="single" w:sz="4" w:space="0" w:color="auto"/>
              <w:right w:val="single" w:sz="4" w:space="0" w:color="auto"/>
            </w:tcBorders>
            <w:noWrap/>
            <w:vAlign w:val="center"/>
            <w:hideMark/>
          </w:tcPr>
          <w:p w14:paraId="639E366C"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1.440</w:t>
            </w:r>
          </w:p>
        </w:tc>
        <w:tc>
          <w:tcPr>
            <w:tcW w:w="545" w:type="pct"/>
            <w:tcBorders>
              <w:top w:val="nil"/>
              <w:left w:val="nil"/>
              <w:bottom w:val="single" w:sz="4" w:space="0" w:color="auto"/>
              <w:right w:val="single" w:sz="4" w:space="0" w:color="auto"/>
            </w:tcBorders>
            <w:noWrap/>
            <w:vAlign w:val="center"/>
            <w:hideMark/>
          </w:tcPr>
          <w:p w14:paraId="69F6559B"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90.7</w:t>
            </w:r>
          </w:p>
        </w:tc>
        <w:tc>
          <w:tcPr>
            <w:tcW w:w="545" w:type="pct"/>
            <w:tcBorders>
              <w:top w:val="nil"/>
              <w:left w:val="nil"/>
              <w:bottom w:val="single" w:sz="4" w:space="0" w:color="auto"/>
              <w:right w:val="single" w:sz="4" w:space="0" w:color="auto"/>
            </w:tcBorders>
            <w:noWrap/>
            <w:vAlign w:val="center"/>
            <w:hideMark/>
          </w:tcPr>
          <w:p w14:paraId="2A3EF9A5"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92.1</w:t>
            </w:r>
          </w:p>
        </w:tc>
        <w:tc>
          <w:tcPr>
            <w:tcW w:w="545" w:type="pct"/>
            <w:tcBorders>
              <w:top w:val="nil"/>
              <w:left w:val="nil"/>
              <w:bottom w:val="single" w:sz="4" w:space="0" w:color="auto"/>
              <w:right w:val="single" w:sz="4" w:space="0" w:color="auto"/>
            </w:tcBorders>
            <w:noWrap/>
            <w:vAlign w:val="center"/>
            <w:hideMark/>
          </w:tcPr>
          <w:p w14:paraId="4CFBFCB7"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93.6</w:t>
            </w:r>
          </w:p>
        </w:tc>
        <w:tc>
          <w:tcPr>
            <w:tcW w:w="513" w:type="pct"/>
            <w:tcBorders>
              <w:top w:val="nil"/>
              <w:left w:val="nil"/>
              <w:bottom w:val="single" w:sz="4" w:space="0" w:color="auto"/>
              <w:right w:val="single" w:sz="4" w:space="0" w:color="auto"/>
            </w:tcBorders>
            <w:noWrap/>
            <w:vAlign w:val="center"/>
            <w:hideMark/>
          </w:tcPr>
          <w:p w14:paraId="7A1AE725"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75228181"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14.4</w:t>
            </w:r>
          </w:p>
        </w:tc>
      </w:tr>
      <w:tr w:rsidR="00BE2894" w:rsidRPr="0088349B" w14:paraId="405D9CC3"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73787FA5" w14:textId="77777777" w:rsidR="00BE2894" w:rsidRPr="0088349B" w:rsidRDefault="00BE2894" w:rsidP="003F309A">
            <w:pPr>
              <w:spacing w:line="240" w:lineRule="auto"/>
              <w:rPr>
                <w:rFonts w:ascii="Calibri" w:hAnsi="Calibri" w:cs="Calibri"/>
                <w:b/>
                <w:bCs/>
                <w:sz w:val="22"/>
                <w:szCs w:val="22"/>
              </w:rPr>
            </w:pPr>
            <w:r w:rsidRPr="0088349B">
              <w:rPr>
                <w:rFonts w:ascii="Calibri" w:hAnsi="Calibri" w:cs="Calibri"/>
                <w:b/>
                <w:bCs/>
                <w:sz w:val="22"/>
                <w:szCs w:val="22"/>
              </w:rPr>
              <w:t>English Learners</w:t>
            </w:r>
          </w:p>
        </w:tc>
        <w:tc>
          <w:tcPr>
            <w:tcW w:w="667" w:type="pct"/>
            <w:tcBorders>
              <w:top w:val="nil"/>
              <w:left w:val="nil"/>
              <w:bottom w:val="single" w:sz="4" w:space="0" w:color="auto"/>
              <w:right w:val="single" w:sz="4" w:space="0" w:color="auto"/>
            </w:tcBorders>
            <w:noWrap/>
            <w:vAlign w:val="center"/>
            <w:hideMark/>
          </w:tcPr>
          <w:p w14:paraId="70C5C218"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57.2</w:t>
            </w:r>
          </w:p>
        </w:tc>
        <w:tc>
          <w:tcPr>
            <w:tcW w:w="476" w:type="pct"/>
            <w:tcBorders>
              <w:top w:val="nil"/>
              <w:left w:val="nil"/>
              <w:bottom w:val="single" w:sz="4" w:space="0" w:color="auto"/>
              <w:right w:val="single" w:sz="4" w:space="0" w:color="auto"/>
            </w:tcBorders>
            <w:noWrap/>
            <w:vAlign w:val="center"/>
            <w:hideMark/>
          </w:tcPr>
          <w:p w14:paraId="6DB3F4F3"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3.780</w:t>
            </w:r>
          </w:p>
        </w:tc>
        <w:tc>
          <w:tcPr>
            <w:tcW w:w="545" w:type="pct"/>
            <w:tcBorders>
              <w:top w:val="nil"/>
              <w:left w:val="nil"/>
              <w:bottom w:val="single" w:sz="4" w:space="0" w:color="auto"/>
              <w:right w:val="single" w:sz="4" w:space="0" w:color="auto"/>
            </w:tcBorders>
            <w:noWrap/>
            <w:vAlign w:val="center"/>
            <w:hideMark/>
          </w:tcPr>
          <w:p w14:paraId="1368C678"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83.7</w:t>
            </w:r>
          </w:p>
        </w:tc>
        <w:tc>
          <w:tcPr>
            <w:tcW w:w="545" w:type="pct"/>
            <w:tcBorders>
              <w:top w:val="nil"/>
              <w:left w:val="nil"/>
              <w:bottom w:val="single" w:sz="4" w:space="0" w:color="auto"/>
              <w:right w:val="single" w:sz="4" w:space="0" w:color="auto"/>
            </w:tcBorders>
            <w:noWrap/>
            <w:vAlign w:val="center"/>
            <w:hideMark/>
          </w:tcPr>
          <w:p w14:paraId="3592B173"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87.4</w:t>
            </w:r>
          </w:p>
        </w:tc>
        <w:tc>
          <w:tcPr>
            <w:tcW w:w="545" w:type="pct"/>
            <w:tcBorders>
              <w:top w:val="nil"/>
              <w:left w:val="nil"/>
              <w:bottom w:val="single" w:sz="4" w:space="0" w:color="auto"/>
              <w:right w:val="single" w:sz="4" w:space="0" w:color="auto"/>
            </w:tcBorders>
            <w:noWrap/>
            <w:vAlign w:val="center"/>
            <w:hideMark/>
          </w:tcPr>
          <w:p w14:paraId="57AE6A08"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91.2</w:t>
            </w:r>
          </w:p>
        </w:tc>
        <w:tc>
          <w:tcPr>
            <w:tcW w:w="513" w:type="pct"/>
            <w:tcBorders>
              <w:top w:val="nil"/>
              <w:left w:val="nil"/>
              <w:bottom w:val="single" w:sz="4" w:space="0" w:color="auto"/>
              <w:right w:val="single" w:sz="4" w:space="0" w:color="auto"/>
            </w:tcBorders>
            <w:noWrap/>
            <w:vAlign w:val="center"/>
            <w:hideMark/>
          </w:tcPr>
          <w:p w14:paraId="5926AC44"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3BAB941B"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37.8</w:t>
            </w:r>
          </w:p>
        </w:tc>
      </w:tr>
      <w:tr w:rsidR="00BE2894" w:rsidRPr="0088349B" w14:paraId="6ED8426A" w14:textId="77777777" w:rsidTr="00627844">
        <w:trPr>
          <w:trHeight w:val="58"/>
        </w:trPr>
        <w:tc>
          <w:tcPr>
            <w:tcW w:w="1231" w:type="pct"/>
            <w:tcBorders>
              <w:top w:val="nil"/>
              <w:left w:val="single" w:sz="4" w:space="0" w:color="auto"/>
              <w:bottom w:val="single" w:sz="4" w:space="0" w:color="auto"/>
              <w:right w:val="single" w:sz="4" w:space="0" w:color="auto"/>
            </w:tcBorders>
            <w:noWrap/>
            <w:vAlign w:val="bottom"/>
            <w:hideMark/>
          </w:tcPr>
          <w:p w14:paraId="598E9E29" w14:textId="77777777" w:rsidR="00CF1A9E" w:rsidRDefault="00BE2894" w:rsidP="00BE2894">
            <w:pPr>
              <w:spacing w:line="240" w:lineRule="auto"/>
              <w:rPr>
                <w:rFonts w:ascii="Calibri" w:hAnsi="Calibri" w:cs="Calibri"/>
                <w:b/>
                <w:bCs/>
                <w:sz w:val="22"/>
                <w:szCs w:val="22"/>
              </w:rPr>
            </w:pPr>
            <w:r w:rsidRPr="0088349B">
              <w:rPr>
                <w:rFonts w:ascii="Calibri" w:hAnsi="Calibri" w:cs="Calibri"/>
                <w:b/>
                <w:bCs/>
                <w:sz w:val="22"/>
                <w:szCs w:val="22"/>
              </w:rPr>
              <w:t xml:space="preserve">Students with </w:t>
            </w:r>
          </w:p>
          <w:p w14:paraId="6253AD38" w14:textId="0B305DE4" w:rsidR="00BE2894" w:rsidRPr="0088349B" w:rsidRDefault="00BE2894" w:rsidP="003F309A">
            <w:pPr>
              <w:spacing w:line="240" w:lineRule="auto"/>
              <w:rPr>
                <w:rFonts w:ascii="Calibri" w:hAnsi="Calibri" w:cs="Calibri"/>
                <w:b/>
                <w:bCs/>
                <w:sz w:val="22"/>
                <w:szCs w:val="22"/>
              </w:rPr>
            </w:pPr>
            <w:r w:rsidRPr="0088349B">
              <w:rPr>
                <w:rFonts w:ascii="Calibri" w:hAnsi="Calibri" w:cs="Calibri"/>
                <w:b/>
                <w:bCs/>
                <w:sz w:val="22"/>
                <w:szCs w:val="22"/>
              </w:rPr>
              <w:t>Disabilities</w:t>
            </w:r>
          </w:p>
        </w:tc>
        <w:tc>
          <w:tcPr>
            <w:tcW w:w="667" w:type="pct"/>
            <w:tcBorders>
              <w:top w:val="nil"/>
              <w:left w:val="nil"/>
              <w:bottom w:val="single" w:sz="4" w:space="0" w:color="auto"/>
              <w:right w:val="single" w:sz="4" w:space="0" w:color="auto"/>
            </w:tcBorders>
            <w:noWrap/>
            <w:vAlign w:val="center"/>
            <w:hideMark/>
          </w:tcPr>
          <w:p w14:paraId="3F292904"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68.9</w:t>
            </w:r>
          </w:p>
        </w:tc>
        <w:tc>
          <w:tcPr>
            <w:tcW w:w="476" w:type="pct"/>
            <w:tcBorders>
              <w:top w:val="nil"/>
              <w:left w:val="nil"/>
              <w:bottom w:val="single" w:sz="4" w:space="0" w:color="auto"/>
              <w:right w:val="single" w:sz="4" w:space="0" w:color="auto"/>
            </w:tcBorders>
            <w:noWrap/>
            <w:vAlign w:val="center"/>
            <w:hideMark/>
          </w:tcPr>
          <w:p w14:paraId="291758F8"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2.610</w:t>
            </w:r>
          </w:p>
        </w:tc>
        <w:tc>
          <w:tcPr>
            <w:tcW w:w="545" w:type="pct"/>
            <w:tcBorders>
              <w:top w:val="nil"/>
              <w:left w:val="nil"/>
              <w:bottom w:val="single" w:sz="4" w:space="0" w:color="auto"/>
              <w:right w:val="single" w:sz="4" w:space="0" w:color="auto"/>
            </w:tcBorders>
            <w:noWrap/>
            <w:vAlign w:val="center"/>
            <w:hideMark/>
          </w:tcPr>
          <w:p w14:paraId="0DC0222F"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87.2</w:t>
            </w:r>
          </w:p>
        </w:tc>
        <w:tc>
          <w:tcPr>
            <w:tcW w:w="545" w:type="pct"/>
            <w:tcBorders>
              <w:top w:val="nil"/>
              <w:left w:val="nil"/>
              <w:bottom w:val="single" w:sz="4" w:space="0" w:color="auto"/>
              <w:right w:val="single" w:sz="4" w:space="0" w:color="auto"/>
            </w:tcBorders>
            <w:noWrap/>
            <w:vAlign w:val="center"/>
            <w:hideMark/>
          </w:tcPr>
          <w:p w14:paraId="1EEC29F0"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89.8</w:t>
            </w:r>
          </w:p>
        </w:tc>
        <w:tc>
          <w:tcPr>
            <w:tcW w:w="545" w:type="pct"/>
            <w:tcBorders>
              <w:top w:val="nil"/>
              <w:left w:val="nil"/>
              <w:bottom w:val="single" w:sz="4" w:space="0" w:color="auto"/>
              <w:right w:val="single" w:sz="4" w:space="0" w:color="auto"/>
            </w:tcBorders>
            <w:noWrap/>
            <w:vAlign w:val="center"/>
            <w:hideMark/>
          </w:tcPr>
          <w:p w14:paraId="65118CE4"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92.4</w:t>
            </w:r>
          </w:p>
        </w:tc>
        <w:tc>
          <w:tcPr>
            <w:tcW w:w="513" w:type="pct"/>
            <w:tcBorders>
              <w:top w:val="nil"/>
              <w:left w:val="nil"/>
              <w:bottom w:val="single" w:sz="4" w:space="0" w:color="auto"/>
              <w:right w:val="single" w:sz="4" w:space="0" w:color="auto"/>
            </w:tcBorders>
            <w:noWrap/>
            <w:vAlign w:val="center"/>
            <w:hideMark/>
          </w:tcPr>
          <w:p w14:paraId="6D56E336" w14:textId="77777777" w:rsidR="00BE2894" w:rsidRPr="0088349B" w:rsidRDefault="00BE2894" w:rsidP="0088349B">
            <w:pPr>
              <w:spacing w:line="240" w:lineRule="auto"/>
              <w:jc w:val="center"/>
              <w:rPr>
                <w:rFonts w:ascii="Calibri" w:hAnsi="Calibri" w:cs="Calibri"/>
                <w:sz w:val="22"/>
                <w:szCs w:val="22"/>
              </w:rPr>
            </w:pPr>
            <w:r w:rsidRPr="0088349B">
              <w:rPr>
                <w:rFonts w:ascii="Calibri" w:hAnsi="Calibri" w:cs="Calibri"/>
                <w:sz w:val="22"/>
                <w:szCs w:val="22"/>
              </w:rPr>
              <w:t>95.0</w:t>
            </w:r>
          </w:p>
        </w:tc>
        <w:tc>
          <w:tcPr>
            <w:tcW w:w="478" w:type="pct"/>
            <w:tcBorders>
              <w:top w:val="nil"/>
              <w:left w:val="nil"/>
              <w:bottom w:val="single" w:sz="4" w:space="0" w:color="auto"/>
              <w:right w:val="single" w:sz="4" w:space="0" w:color="auto"/>
            </w:tcBorders>
            <w:noWrap/>
            <w:vAlign w:val="center"/>
            <w:hideMark/>
          </w:tcPr>
          <w:p w14:paraId="39578D66" w14:textId="77777777" w:rsidR="00BE2894" w:rsidRPr="0088349B" w:rsidRDefault="00BE2894" w:rsidP="0088349B">
            <w:pPr>
              <w:spacing w:line="240" w:lineRule="auto"/>
              <w:jc w:val="center"/>
              <w:rPr>
                <w:rFonts w:ascii="Calibri" w:hAnsi="Calibri" w:cs="Calibri"/>
                <w:b/>
                <w:bCs/>
                <w:sz w:val="22"/>
                <w:szCs w:val="22"/>
              </w:rPr>
            </w:pPr>
            <w:r w:rsidRPr="0088349B">
              <w:rPr>
                <w:rFonts w:ascii="Calibri" w:hAnsi="Calibri" w:cs="Calibri"/>
                <w:b/>
                <w:bCs/>
                <w:sz w:val="22"/>
                <w:szCs w:val="22"/>
              </w:rPr>
              <w:t>26.1</w:t>
            </w:r>
          </w:p>
        </w:tc>
      </w:tr>
    </w:tbl>
    <w:p w14:paraId="195CCA75" w14:textId="4E3BB4E5" w:rsidR="00A14D07" w:rsidRPr="00EF6288" w:rsidRDefault="00A14D07" w:rsidP="00A14D07">
      <w:pPr>
        <w:rPr>
          <w:rFonts w:ascii="Arial" w:hAnsi="Arial" w:cs="Arial"/>
          <w:bCs/>
          <w:caps/>
          <w:color w:val="auto"/>
          <w:kern w:val="16"/>
          <w:sz w:val="20"/>
        </w:rPr>
      </w:pPr>
    </w:p>
    <w:p w14:paraId="267A1D02" w14:textId="39A594AC" w:rsidR="002817EA" w:rsidRPr="00EF6288" w:rsidRDefault="002817EA" w:rsidP="002817EA">
      <w:pPr>
        <w:keepNext/>
        <w:rPr>
          <w:rFonts w:ascii="Arial" w:hAnsi="Arial" w:cs="Arial"/>
          <w:b/>
          <w:iCs/>
          <w:caps/>
          <w:color w:val="auto"/>
          <w:kern w:val="16"/>
          <w:sz w:val="28"/>
          <w:szCs w:val="28"/>
        </w:rPr>
      </w:pPr>
      <w:r w:rsidRPr="00163351">
        <w:rPr>
          <w:rFonts w:ascii="Arial" w:hAnsi="Arial" w:cs="Arial"/>
          <w:color w:val="auto"/>
          <w:sz w:val="20"/>
        </w:rPr>
        <w:lastRenderedPageBreak/>
        <w:t>TABLE 10.6.</w:t>
      </w:r>
      <w:r>
        <w:rPr>
          <w:rFonts w:ascii="Arial" w:hAnsi="Arial" w:cs="Arial"/>
          <w:color w:val="auto"/>
          <w:sz w:val="20"/>
        </w:rPr>
        <w:t>4</w:t>
      </w:r>
      <w:r w:rsidRPr="00163351">
        <w:rPr>
          <w:rFonts w:ascii="Arial" w:hAnsi="Arial" w:cs="Arial"/>
          <w:color w:val="auto"/>
          <w:sz w:val="20"/>
        </w:rPr>
        <w:t xml:space="preserve"> </w:t>
      </w:r>
      <w:r w:rsidR="00DE66D6">
        <w:rPr>
          <w:rFonts w:ascii="Arial" w:hAnsi="Arial" w:cs="Arial"/>
          <w:color w:val="auto"/>
          <w:sz w:val="20"/>
        </w:rPr>
        <w:t>English Learner Progress (Grades K–12)</w:t>
      </w:r>
      <w:r>
        <w:rPr>
          <w:rFonts w:ascii="Arial" w:hAnsi="Arial" w:cs="Arial"/>
          <w:color w:val="auto"/>
          <w:sz w:val="20"/>
        </w:rPr>
        <w:t>, yearly measure of interim progress proficiency goals</w:t>
      </w:r>
    </w:p>
    <w:tbl>
      <w:tblPr>
        <w:tblW w:w="4401" w:type="pct"/>
        <w:tblLook w:val="04A0" w:firstRow="1" w:lastRow="0" w:firstColumn="1" w:lastColumn="0" w:noHBand="0" w:noVBand="1"/>
      </w:tblPr>
      <w:tblGrid>
        <w:gridCol w:w="1998"/>
        <w:gridCol w:w="1669"/>
        <w:gridCol w:w="1603"/>
        <w:gridCol w:w="1603"/>
        <w:gridCol w:w="1603"/>
        <w:gridCol w:w="1254"/>
        <w:gridCol w:w="1669"/>
      </w:tblGrid>
      <w:tr w:rsidR="00BD73D7" w:rsidRPr="00FA258C" w14:paraId="171937C2" w14:textId="77777777" w:rsidTr="003F309A">
        <w:trPr>
          <w:trHeight w:val="59"/>
        </w:trPr>
        <w:tc>
          <w:tcPr>
            <w:tcW w:w="876"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C758DF4" w14:textId="3472E3D8" w:rsidR="00BD73D7" w:rsidRPr="00FA258C" w:rsidRDefault="00BD73D7" w:rsidP="003F309A">
            <w:pPr>
              <w:spacing w:line="240" w:lineRule="auto"/>
              <w:jc w:val="center"/>
              <w:rPr>
                <w:rFonts w:ascii="Calibri" w:hAnsi="Calibri" w:cs="Calibri"/>
                <w:b/>
                <w:bCs/>
                <w:sz w:val="22"/>
                <w:szCs w:val="22"/>
              </w:rPr>
            </w:pPr>
            <w:r w:rsidRPr="00C86335">
              <w:rPr>
                <w:rFonts w:ascii="Arial" w:hAnsi="Arial" w:cs="Arial"/>
                <w:b/>
                <w:bCs/>
                <w:sz w:val="20"/>
              </w:rPr>
              <w:t>201</w:t>
            </w:r>
            <w:r w:rsidR="00420F69">
              <w:rPr>
                <w:rFonts w:ascii="Arial" w:hAnsi="Arial" w:cs="Arial"/>
                <w:b/>
                <w:bCs/>
                <w:sz w:val="20"/>
              </w:rPr>
              <w:t>6</w:t>
            </w:r>
            <w:r w:rsidRPr="00C86335">
              <w:rPr>
                <w:rFonts w:ascii="Arial" w:hAnsi="Arial" w:cs="Arial"/>
                <w:b/>
                <w:bCs/>
                <w:sz w:val="20"/>
              </w:rPr>
              <w:t>–201</w:t>
            </w:r>
            <w:r w:rsidR="00420F69">
              <w:rPr>
                <w:rFonts w:ascii="Arial" w:hAnsi="Arial" w:cs="Arial"/>
                <w:b/>
                <w:bCs/>
                <w:sz w:val="20"/>
              </w:rPr>
              <w:t>7</w:t>
            </w:r>
            <w:r w:rsidRPr="00C86335">
              <w:rPr>
                <w:rFonts w:ascii="Arial" w:hAnsi="Arial" w:cs="Arial"/>
                <w:b/>
                <w:bCs/>
                <w:sz w:val="20"/>
              </w:rPr>
              <w:t xml:space="preserve"> Baseline Performance</w:t>
            </w:r>
          </w:p>
        </w:tc>
        <w:tc>
          <w:tcPr>
            <w:tcW w:w="732"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4D39925" w14:textId="00ACF3C7" w:rsidR="00BD73D7" w:rsidRPr="00FA258C" w:rsidRDefault="00BD73D7" w:rsidP="003552E2">
            <w:pPr>
              <w:spacing w:line="240" w:lineRule="auto"/>
              <w:contextualSpacing/>
              <w:jc w:val="center"/>
              <w:rPr>
                <w:rFonts w:ascii="Calibri" w:hAnsi="Calibri" w:cs="Calibri"/>
                <w:b/>
                <w:bCs/>
                <w:sz w:val="22"/>
                <w:szCs w:val="22"/>
              </w:rPr>
            </w:pPr>
            <w:r w:rsidRPr="00C86335">
              <w:rPr>
                <w:rFonts w:ascii="Arial" w:hAnsi="Arial" w:cs="Arial"/>
                <w:b/>
                <w:bCs/>
                <w:sz w:val="20"/>
              </w:rPr>
              <w:t>Percent Increase</w:t>
            </w:r>
            <w:r w:rsidR="003552E2" w:rsidRPr="00BF1F0E">
              <w:rPr>
                <w:rFonts w:ascii="Arial" w:hAnsi="Arial" w:cs="Arial"/>
                <w:b/>
                <w:bCs/>
                <w:sz w:val="20"/>
              </w:rPr>
              <w:t xml:space="preserve"> </w:t>
            </w:r>
            <w:r w:rsidRPr="00C86335">
              <w:rPr>
                <w:rFonts w:ascii="Arial" w:hAnsi="Arial" w:cs="Arial"/>
                <w:b/>
                <w:bCs/>
                <w:sz w:val="20"/>
              </w:rPr>
              <w:t>Per Year</w:t>
            </w:r>
          </w:p>
        </w:tc>
        <w:tc>
          <w:tcPr>
            <w:tcW w:w="703" w:type="pct"/>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5C2EE526" w14:textId="698767DE" w:rsidR="00BD73D7" w:rsidRPr="00FA258C" w:rsidRDefault="00BD73D7" w:rsidP="00FA258C">
            <w:pPr>
              <w:spacing w:line="240" w:lineRule="auto"/>
              <w:jc w:val="center"/>
              <w:rPr>
                <w:rFonts w:ascii="Calibri" w:hAnsi="Calibri" w:cs="Calibri"/>
                <w:b/>
                <w:bCs/>
                <w:sz w:val="22"/>
                <w:szCs w:val="22"/>
              </w:rPr>
            </w:pPr>
            <w:r w:rsidRPr="00FA258C">
              <w:rPr>
                <w:rFonts w:ascii="Calibri" w:hAnsi="Calibri" w:cs="Calibri"/>
                <w:b/>
                <w:bCs/>
                <w:sz w:val="22"/>
                <w:szCs w:val="22"/>
              </w:rPr>
              <w:t>2025–26</w:t>
            </w:r>
            <w:r w:rsidRPr="00FA258C">
              <w:rPr>
                <w:rFonts w:ascii="Calibri" w:hAnsi="Calibri" w:cs="Calibri"/>
                <w:b/>
                <w:bCs/>
                <w:sz w:val="22"/>
                <w:szCs w:val="22"/>
              </w:rPr>
              <w:br/>
            </w:r>
          </w:p>
        </w:tc>
        <w:tc>
          <w:tcPr>
            <w:tcW w:w="703" w:type="pct"/>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0E19D5E6" w14:textId="79657FB6" w:rsidR="00BD73D7" w:rsidRPr="00FA258C" w:rsidRDefault="00BD73D7" w:rsidP="00FA258C">
            <w:pPr>
              <w:spacing w:line="240" w:lineRule="auto"/>
              <w:jc w:val="center"/>
              <w:rPr>
                <w:rFonts w:ascii="Calibri" w:hAnsi="Calibri" w:cs="Calibri"/>
                <w:b/>
                <w:bCs/>
                <w:sz w:val="22"/>
                <w:szCs w:val="22"/>
              </w:rPr>
            </w:pPr>
            <w:r w:rsidRPr="00FA258C">
              <w:rPr>
                <w:rFonts w:ascii="Calibri" w:hAnsi="Calibri" w:cs="Calibri"/>
                <w:b/>
                <w:bCs/>
                <w:sz w:val="22"/>
                <w:szCs w:val="22"/>
              </w:rPr>
              <w:t>2026–27</w:t>
            </w:r>
            <w:r w:rsidRPr="00FA258C">
              <w:rPr>
                <w:rFonts w:ascii="Calibri" w:hAnsi="Calibri" w:cs="Calibri"/>
                <w:b/>
                <w:bCs/>
                <w:sz w:val="22"/>
                <w:szCs w:val="22"/>
              </w:rPr>
              <w:br/>
            </w:r>
          </w:p>
        </w:tc>
        <w:tc>
          <w:tcPr>
            <w:tcW w:w="703" w:type="pct"/>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102F8C09" w14:textId="352DC163" w:rsidR="00BD73D7" w:rsidRPr="00FA258C" w:rsidRDefault="00BD73D7" w:rsidP="00FA258C">
            <w:pPr>
              <w:spacing w:line="240" w:lineRule="auto"/>
              <w:jc w:val="center"/>
              <w:rPr>
                <w:rFonts w:ascii="Calibri" w:hAnsi="Calibri" w:cs="Calibri"/>
                <w:b/>
                <w:bCs/>
                <w:sz w:val="22"/>
                <w:szCs w:val="22"/>
              </w:rPr>
            </w:pPr>
            <w:r w:rsidRPr="00FA258C">
              <w:rPr>
                <w:rFonts w:ascii="Calibri" w:hAnsi="Calibri" w:cs="Calibri"/>
                <w:b/>
                <w:bCs/>
                <w:sz w:val="22"/>
                <w:szCs w:val="22"/>
              </w:rPr>
              <w:t>2027–28</w:t>
            </w:r>
            <w:r w:rsidRPr="00FA258C">
              <w:rPr>
                <w:rFonts w:ascii="Calibri" w:hAnsi="Calibri" w:cs="Calibri"/>
                <w:b/>
                <w:bCs/>
                <w:sz w:val="22"/>
                <w:szCs w:val="22"/>
              </w:rPr>
              <w:br/>
            </w:r>
          </w:p>
        </w:tc>
        <w:tc>
          <w:tcPr>
            <w:tcW w:w="550" w:type="pct"/>
            <w:tcBorders>
              <w:top w:val="single" w:sz="4" w:space="0" w:color="auto"/>
              <w:left w:val="single" w:sz="4" w:space="0" w:color="auto"/>
              <w:bottom w:val="single" w:sz="4" w:space="0" w:color="000000"/>
              <w:right w:val="single" w:sz="4" w:space="0" w:color="auto"/>
            </w:tcBorders>
            <w:shd w:val="clear" w:color="auto" w:fill="FFE599" w:themeFill="accent4" w:themeFillTint="66"/>
            <w:vAlign w:val="center"/>
            <w:hideMark/>
          </w:tcPr>
          <w:p w14:paraId="0B1BE095" w14:textId="33AEC853" w:rsidR="00BD73D7" w:rsidRPr="00FA258C" w:rsidRDefault="00BD73D7" w:rsidP="005C6813">
            <w:pPr>
              <w:spacing w:line="240" w:lineRule="auto"/>
              <w:contextualSpacing/>
              <w:jc w:val="center"/>
              <w:rPr>
                <w:rFonts w:ascii="Calibri" w:hAnsi="Calibri" w:cs="Calibri"/>
                <w:b/>
                <w:bCs/>
                <w:sz w:val="22"/>
                <w:szCs w:val="22"/>
              </w:rPr>
            </w:pPr>
            <w:r w:rsidRPr="00C86335">
              <w:rPr>
                <w:rFonts w:ascii="Arial" w:hAnsi="Arial" w:cs="Arial"/>
                <w:b/>
                <w:bCs/>
                <w:sz w:val="20"/>
              </w:rPr>
              <w:t>2028–29</w:t>
            </w:r>
            <w:r w:rsidR="005C6813" w:rsidRPr="00BF1F0E">
              <w:rPr>
                <w:rFonts w:ascii="Arial" w:hAnsi="Arial" w:cs="Arial"/>
                <w:b/>
                <w:bCs/>
                <w:sz w:val="20"/>
              </w:rPr>
              <w:t xml:space="preserve"> </w:t>
            </w:r>
            <w:r w:rsidRPr="00C86335">
              <w:rPr>
                <w:rFonts w:ascii="Arial" w:hAnsi="Arial" w:cs="Arial"/>
                <w:b/>
                <w:bCs/>
                <w:sz w:val="20"/>
              </w:rPr>
              <w:t>12-Year</w:t>
            </w:r>
            <w:r w:rsidR="005C6813" w:rsidRPr="00BF1F0E">
              <w:rPr>
                <w:rFonts w:ascii="Arial" w:hAnsi="Arial" w:cs="Arial"/>
                <w:b/>
                <w:bCs/>
                <w:sz w:val="20"/>
              </w:rPr>
              <w:t xml:space="preserve"> </w:t>
            </w:r>
            <w:r w:rsidRPr="00C86335">
              <w:rPr>
                <w:rFonts w:ascii="Arial" w:hAnsi="Arial" w:cs="Arial"/>
                <w:b/>
                <w:bCs/>
                <w:sz w:val="20"/>
              </w:rPr>
              <w:t>Goal</w:t>
            </w:r>
          </w:p>
        </w:tc>
        <w:tc>
          <w:tcPr>
            <w:tcW w:w="732" w:type="pct"/>
            <w:tcBorders>
              <w:top w:val="single" w:sz="4" w:space="0" w:color="auto"/>
              <w:left w:val="single" w:sz="4" w:space="0" w:color="auto"/>
              <w:bottom w:val="single" w:sz="4" w:space="0" w:color="000000"/>
              <w:right w:val="single" w:sz="4" w:space="0" w:color="auto"/>
            </w:tcBorders>
            <w:shd w:val="clear" w:color="auto" w:fill="FFE599" w:themeFill="accent4" w:themeFillTint="66"/>
            <w:vAlign w:val="center"/>
            <w:hideMark/>
          </w:tcPr>
          <w:p w14:paraId="47836728" w14:textId="75CA657C" w:rsidR="00BD73D7" w:rsidRPr="00FA258C" w:rsidRDefault="00BD73D7" w:rsidP="003F309A">
            <w:pPr>
              <w:spacing w:line="240" w:lineRule="auto"/>
              <w:jc w:val="center"/>
              <w:rPr>
                <w:rFonts w:ascii="Calibri" w:hAnsi="Calibri" w:cs="Calibri"/>
                <w:b/>
                <w:bCs/>
                <w:sz w:val="22"/>
                <w:szCs w:val="22"/>
              </w:rPr>
            </w:pPr>
            <w:r w:rsidRPr="00C86335">
              <w:rPr>
                <w:rFonts w:ascii="Arial" w:hAnsi="Arial" w:cs="Arial"/>
                <w:b/>
                <w:bCs/>
                <w:sz w:val="20"/>
              </w:rPr>
              <w:t>12-Year Percent</w:t>
            </w:r>
            <w:r w:rsidR="005C6813" w:rsidRPr="00BF1F0E">
              <w:rPr>
                <w:rFonts w:ascii="Arial" w:hAnsi="Arial" w:cs="Arial"/>
                <w:b/>
                <w:bCs/>
                <w:sz w:val="20"/>
              </w:rPr>
              <w:t xml:space="preserve"> </w:t>
            </w:r>
            <w:r>
              <w:rPr>
                <w:rFonts w:ascii="Arial" w:hAnsi="Arial" w:cs="Arial"/>
                <w:b/>
                <w:bCs/>
                <w:sz w:val="20"/>
              </w:rPr>
              <w:t>Increase</w:t>
            </w:r>
          </w:p>
        </w:tc>
      </w:tr>
      <w:tr w:rsidR="00BD73D7" w:rsidRPr="00FA258C" w14:paraId="123041DD" w14:textId="77777777" w:rsidTr="003F309A">
        <w:trPr>
          <w:trHeight w:val="59"/>
        </w:trPr>
        <w:tc>
          <w:tcPr>
            <w:tcW w:w="876" w:type="pct"/>
            <w:tcBorders>
              <w:top w:val="single" w:sz="4" w:space="0" w:color="auto"/>
              <w:left w:val="single" w:sz="4" w:space="0" w:color="auto"/>
              <w:bottom w:val="single" w:sz="4" w:space="0" w:color="auto"/>
              <w:right w:val="single" w:sz="4" w:space="0" w:color="auto"/>
            </w:tcBorders>
            <w:noWrap/>
            <w:vAlign w:val="bottom"/>
            <w:hideMark/>
          </w:tcPr>
          <w:p w14:paraId="79A67868" w14:textId="77777777" w:rsidR="00BD73D7" w:rsidRPr="00FA258C" w:rsidRDefault="00BD73D7" w:rsidP="00FA258C">
            <w:pPr>
              <w:spacing w:line="240" w:lineRule="auto"/>
              <w:jc w:val="center"/>
              <w:rPr>
                <w:rFonts w:ascii="Calibri" w:hAnsi="Calibri" w:cs="Calibri"/>
                <w:b/>
                <w:bCs/>
                <w:sz w:val="22"/>
                <w:szCs w:val="22"/>
              </w:rPr>
            </w:pPr>
            <w:r w:rsidRPr="00FA258C">
              <w:rPr>
                <w:rFonts w:ascii="Calibri" w:hAnsi="Calibri" w:cs="Calibri"/>
                <w:b/>
                <w:bCs/>
                <w:sz w:val="22"/>
                <w:szCs w:val="22"/>
              </w:rPr>
              <w:t>25.3</w:t>
            </w:r>
          </w:p>
        </w:tc>
        <w:tc>
          <w:tcPr>
            <w:tcW w:w="732" w:type="pct"/>
            <w:tcBorders>
              <w:top w:val="nil"/>
              <w:left w:val="nil"/>
              <w:bottom w:val="single" w:sz="4" w:space="0" w:color="auto"/>
              <w:right w:val="single" w:sz="4" w:space="0" w:color="auto"/>
            </w:tcBorders>
            <w:noWrap/>
            <w:vAlign w:val="bottom"/>
            <w:hideMark/>
          </w:tcPr>
          <w:p w14:paraId="02663508" w14:textId="77777777" w:rsidR="00BD73D7" w:rsidRPr="00FA258C" w:rsidRDefault="00BD73D7" w:rsidP="00FA258C">
            <w:pPr>
              <w:spacing w:line="240" w:lineRule="auto"/>
              <w:jc w:val="center"/>
              <w:rPr>
                <w:rFonts w:ascii="Calibri" w:hAnsi="Calibri" w:cs="Calibri"/>
                <w:b/>
                <w:bCs/>
                <w:sz w:val="22"/>
                <w:szCs w:val="22"/>
              </w:rPr>
            </w:pPr>
            <w:r w:rsidRPr="00FA258C">
              <w:rPr>
                <w:rFonts w:ascii="Calibri" w:hAnsi="Calibri" w:cs="Calibri"/>
                <w:b/>
                <w:bCs/>
                <w:sz w:val="22"/>
                <w:szCs w:val="22"/>
              </w:rPr>
              <w:t>3.47</w:t>
            </w:r>
          </w:p>
        </w:tc>
        <w:tc>
          <w:tcPr>
            <w:tcW w:w="703" w:type="pct"/>
            <w:tcBorders>
              <w:top w:val="nil"/>
              <w:left w:val="nil"/>
              <w:bottom w:val="single" w:sz="4" w:space="0" w:color="auto"/>
              <w:right w:val="single" w:sz="4" w:space="0" w:color="auto"/>
            </w:tcBorders>
            <w:noWrap/>
            <w:vAlign w:val="bottom"/>
            <w:hideMark/>
          </w:tcPr>
          <w:p w14:paraId="7518D2B3" w14:textId="77777777" w:rsidR="00BD73D7" w:rsidRPr="00FA258C" w:rsidRDefault="00BD73D7" w:rsidP="00FA258C">
            <w:pPr>
              <w:spacing w:line="240" w:lineRule="auto"/>
              <w:jc w:val="center"/>
              <w:rPr>
                <w:rFonts w:ascii="Calibri" w:hAnsi="Calibri" w:cs="Calibri"/>
                <w:sz w:val="22"/>
                <w:szCs w:val="22"/>
              </w:rPr>
            </w:pPr>
            <w:r w:rsidRPr="00FA258C">
              <w:rPr>
                <w:rFonts w:ascii="Calibri" w:hAnsi="Calibri" w:cs="Calibri"/>
                <w:sz w:val="22"/>
                <w:szCs w:val="22"/>
              </w:rPr>
              <w:t>49.6</w:t>
            </w:r>
          </w:p>
        </w:tc>
        <w:tc>
          <w:tcPr>
            <w:tcW w:w="703" w:type="pct"/>
            <w:tcBorders>
              <w:top w:val="nil"/>
              <w:left w:val="nil"/>
              <w:bottom w:val="single" w:sz="4" w:space="0" w:color="auto"/>
              <w:right w:val="single" w:sz="4" w:space="0" w:color="auto"/>
            </w:tcBorders>
            <w:noWrap/>
            <w:vAlign w:val="bottom"/>
            <w:hideMark/>
          </w:tcPr>
          <w:p w14:paraId="54581583" w14:textId="77777777" w:rsidR="00BD73D7" w:rsidRPr="00FA258C" w:rsidRDefault="00BD73D7" w:rsidP="00FA258C">
            <w:pPr>
              <w:spacing w:line="240" w:lineRule="auto"/>
              <w:jc w:val="center"/>
              <w:rPr>
                <w:rFonts w:ascii="Calibri" w:hAnsi="Calibri" w:cs="Calibri"/>
                <w:sz w:val="22"/>
                <w:szCs w:val="22"/>
              </w:rPr>
            </w:pPr>
            <w:r w:rsidRPr="00FA258C">
              <w:rPr>
                <w:rFonts w:ascii="Calibri" w:hAnsi="Calibri" w:cs="Calibri"/>
                <w:sz w:val="22"/>
                <w:szCs w:val="22"/>
              </w:rPr>
              <w:t>53.1</w:t>
            </w:r>
          </w:p>
        </w:tc>
        <w:tc>
          <w:tcPr>
            <w:tcW w:w="703" w:type="pct"/>
            <w:tcBorders>
              <w:top w:val="nil"/>
              <w:left w:val="nil"/>
              <w:bottom w:val="single" w:sz="4" w:space="0" w:color="auto"/>
              <w:right w:val="single" w:sz="4" w:space="0" w:color="auto"/>
            </w:tcBorders>
            <w:noWrap/>
            <w:vAlign w:val="bottom"/>
            <w:hideMark/>
          </w:tcPr>
          <w:p w14:paraId="523E1F6D" w14:textId="77777777" w:rsidR="00BD73D7" w:rsidRPr="00FA258C" w:rsidRDefault="00BD73D7" w:rsidP="00FA258C">
            <w:pPr>
              <w:spacing w:line="240" w:lineRule="auto"/>
              <w:jc w:val="center"/>
              <w:rPr>
                <w:rFonts w:ascii="Calibri" w:hAnsi="Calibri" w:cs="Calibri"/>
                <w:sz w:val="22"/>
                <w:szCs w:val="22"/>
              </w:rPr>
            </w:pPr>
            <w:r w:rsidRPr="00FA258C">
              <w:rPr>
                <w:rFonts w:ascii="Calibri" w:hAnsi="Calibri" w:cs="Calibri"/>
                <w:sz w:val="22"/>
                <w:szCs w:val="22"/>
              </w:rPr>
              <w:t>56.5</w:t>
            </w:r>
          </w:p>
        </w:tc>
        <w:tc>
          <w:tcPr>
            <w:tcW w:w="550" w:type="pct"/>
            <w:tcBorders>
              <w:top w:val="nil"/>
              <w:left w:val="nil"/>
              <w:bottom w:val="single" w:sz="4" w:space="0" w:color="auto"/>
              <w:right w:val="single" w:sz="4" w:space="0" w:color="auto"/>
            </w:tcBorders>
            <w:noWrap/>
            <w:vAlign w:val="bottom"/>
            <w:hideMark/>
          </w:tcPr>
          <w:p w14:paraId="34487476" w14:textId="77777777" w:rsidR="00BD73D7" w:rsidRPr="003F309A" w:rsidRDefault="00BD73D7" w:rsidP="00FA258C">
            <w:pPr>
              <w:spacing w:line="240" w:lineRule="auto"/>
              <w:jc w:val="center"/>
              <w:rPr>
                <w:rFonts w:ascii="Calibri" w:hAnsi="Calibri" w:cs="Calibri"/>
                <w:sz w:val="22"/>
                <w:szCs w:val="22"/>
              </w:rPr>
            </w:pPr>
            <w:r w:rsidRPr="003F309A">
              <w:rPr>
                <w:rFonts w:ascii="Calibri" w:hAnsi="Calibri" w:cs="Calibri"/>
                <w:sz w:val="22"/>
                <w:szCs w:val="22"/>
              </w:rPr>
              <w:t>60.0</w:t>
            </w:r>
          </w:p>
        </w:tc>
        <w:tc>
          <w:tcPr>
            <w:tcW w:w="732" w:type="pct"/>
            <w:tcBorders>
              <w:top w:val="nil"/>
              <w:left w:val="nil"/>
              <w:bottom w:val="single" w:sz="4" w:space="0" w:color="auto"/>
              <w:right w:val="single" w:sz="4" w:space="0" w:color="auto"/>
            </w:tcBorders>
            <w:noWrap/>
            <w:vAlign w:val="bottom"/>
            <w:hideMark/>
          </w:tcPr>
          <w:p w14:paraId="5AA8A0DE" w14:textId="77777777" w:rsidR="00BD73D7" w:rsidRPr="00FA258C" w:rsidRDefault="00BD73D7" w:rsidP="00FA258C">
            <w:pPr>
              <w:spacing w:line="240" w:lineRule="auto"/>
              <w:jc w:val="center"/>
              <w:rPr>
                <w:rFonts w:ascii="Calibri" w:hAnsi="Calibri" w:cs="Calibri"/>
                <w:b/>
                <w:bCs/>
                <w:sz w:val="22"/>
                <w:szCs w:val="22"/>
              </w:rPr>
            </w:pPr>
            <w:r w:rsidRPr="00FA258C">
              <w:rPr>
                <w:rFonts w:ascii="Calibri" w:hAnsi="Calibri" w:cs="Calibri"/>
                <w:b/>
                <w:bCs/>
                <w:sz w:val="22"/>
                <w:szCs w:val="22"/>
              </w:rPr>
              <w:t>34.7</w:t>
            </w:r>
          </w:p>
        </w:tc>
      </w:tr>
    </w:tbl>
    <w:p w14:paraId="433B8A33" w14:textId="77777777" w:rsidR="00A7480D" w:rsidRDefault="2FE80223">
      <w:pPr>
        <w:sectPr w:rsidR="00A7480D" w:rsidSect="006B1B8E">
          <w:footerReference w:type="default" r:id="rId61"/>
          <w:pgSz w:w="15840" w:h="12240" w:orient="landscape"/>
          <w:pgMar w:top="1440" w:right="1440" w:bottom="1440" w:left="1440" w:header="720" w:footer="720" w:gutter="0"/>
          <w:cols w:space="720"/>
          <w:noEndnote/>
          <w:docGrid w:linePitch="326"/>
        </w:sectPr>
      </w:pPr>
      <w:r>
        <w:br w:type="page"/>
      </w:r>
    </w:p>
    <w:p w14:paraId="1F06504B" w14:textId="685C86B7" w:rsidR="007A58A4" w:rsidRPr="00DF4ACB" w:rsidRDefault="6E23E514" w:rsidP="006A2006">
      <w:pPr>
        <w:pStyle w:val="Heading1"/>
        <w:jc w:val="center"/>
      </w:pPr>
      <w:bookmarkStart w:id="973" w:name="_Toc225405028"/>
      <w:r>
        <w:lastRenderedPageBreak/>
        <w:t>G</w:t>
      </w:r>
      <w:r w:rsidR="08017BA1">
        <w:t>eneral Business Rules Applied for Accountability and Reporting</w:t>
      </w:r>
      <w:bookmarkEnd w:id="973"/>
    </w:p>
    <w:p w14:paraId="2F3B623C" w14:textId="77777777" w:rsidR="00DF4ACB" w:rsidRDefault="00DF4ACB" w:rsidP="00FB51FB">
      <w:pPr>
        <w:spacing w:line="240" w:lineRule="auto"/>
        <w:rPr>
          <w:rFonts w:ascii="Arial" w:hAnsi="Arial" w:cs="Arial"/>
          <w:color w:val="auto"/>
          <w:szCs w:val="24"/>
        </w:rPr>
      </w:pPr>
    </w:p>
    <w:p w14:paraId="1840A353" w14:textId="37C37C65" w:rsidR="00D77FF1" w:rsidRPr="00EF6288" w:rsidRDefault="001B4D35" w:rsidP="00FB51FB">
      <w:pPr>
        <w:spacing w:line="240" w:lineRule="auto"/>
        <w:rPr>
          <w:rFonts w:ascii="Arial" w:hAnsi="Arial" w:cs="Arial"/>
          <w:color w:val="auto"/>
          <w:szCs w:val="24"/>
        </w:rPr>
      </w:pPr>
      <w:r w:rsidRPr="00EF6288">
        <w:rPr>
          <w:rFonts w:ascii="Arial" w:hAnsi="Arial" w:cs="Arial"/>
          <w:color w:val="auto"/>
          <w:szCs w:val="24"/>
        </w:rPr>
        <w:t xml:space="preserve">Section 11 of this guide </w:t>
      </w:r>
      <w:r w:rsidR="005C178C" w:rsidRPr="00EF6288">
        <w:rPr>
          <w:rFonts w:ascii="Arial" w:hAnsi="Arial" w:cs="Arial"/>
          <w:color w:val="auto"/>
          <w:szCs w:val="24"/>
        </w:rPr>
        <w:t xml:space="preserve">provides a snapshot view of most </w:t>
      </w:r>
      <w:r w:rsidRPr="00EF6288">
        <w:rPr>
          <w:rFonts w:ascii="Arial" w:hAnsi="Arial" w:cs="Arial"/>
          <w:color w:val="auto"/>
          <w:szCs w:val="24"/>
        </w:rPr>
        <w:t xml:space="preserve">of the general </w:t>
      </w:r>
      <w:r w:rsidR="005C178C" w:rsidRPr="00EF6288">
        <w:rPr>
          <w:rFonts w:ascii="Arial" w:hAnsi="Arial" w:cs="Arial"/>
          <w:color w:val="auto"/>
          <w:szCs w:val="24"/>
        </w:rPr>
        <w:t xml:space="preserve">business rules </w:t>
      </w:r>
      <w:r w:rsidRPr="00EF6288">
        <w:rPr>
          <w:rFonts w:ascii="Arial" w:hAnsi="Arial" w:cs="Arial"/>
          <w:color w:val="auto"/>
          <w:szCs w:val="24"/>
        </w:rPr>
        <w:t>that apply to the accountability system and reporting calculations</w:t>
      </w:r>
      <w:r w:rsidR="002F2C83" w:rsidRPr="00EF6288">
        <w:rPr>
          <w:rFonts w:ascii="Arial" w:hAnsi="Arial" w:cs="Arial"/>
          <w:color w:val="auto"/>
          <w:szCs w:val="24"/>
        </w:rPr>
        <w:t>;</w:t>
      </w:r>
      <w:r w:rsidR="005C178C" w:rsidRPr="00EF6288">
        <w:rPr>
          <w:rFonts w:ascii="Arial" w:hAnsi="Arial" w:cs="Arial"/>
          <w:color w:val="auto"/>
          <w:szCs w:val="24"/>
        </w:rPr>
        <w:t xml:space="preserve"> </w:t>
      </w:r>
      <w:r w:rsidR="002F2C83" w:rsidRPr="00EF6288">
        <w:rPr>
          <w:rFonts w:ascii="Arial" w:hAnsi="Arial" w:cs="Arial"/>
          <w:color w:val="auto"/>
          <w:szCs w:val="24"/>
        </w:rPr>
        <w:t xml:space="preserve">it </w:t>
      </w:r>
      <w:r w:rsidR="00F2038C" w:rsidRPr="00EF6288">
        <w:rPr>
          <w:rFonts w:ascii="Arial" w:hAnsi="Arial" w:cs="Arial"/>
          <w:color w:val="auto"/>
          <w:szCs w:val="24"/>
        </w:rPr>
        <w:t>also</w:t>
      </w:r>
      <w:r w:rsidR="005C178C" w:rsidRPr="00EF6288">
        <w:rPr>
          <w:rFonts w:ascii="Arial" w:hAnsi="Arial" w:cs="Arial"/>
          <w:color w:val="auto"/>
          <w:szCs w:val="24"/>
        </w:rPr>
        <w:t xml:space="preserve"> </w:t>
      </w:r>
      <w:r w:rsidR="002F2C83" w:rsidRPr="00EF6288">
        <w:rPr>
          <w:rFonts w:ascii="Arial" w:hAnsi="Arial" w:cs="Arial"/>
          <w:color w:val="auto"/>
          <w:szCs w:val="24"/>
        </w:rPr>
        <w:t>includes</w:t>
      </w:r>
      <w:r w:rsidR="005C178C" w:rsidRPr="00EF6288">
        <w:rPr>
          <w:rFonts w:ascii="Arial" w:hAnsi="Arial" w:cs="Arial"/>
          <w:color w:val="auto"/>
          <w:szCs w:val="24"/>
        </w:rPr>
        <w:t xml:space="preserve"> a less detailed summary for understanding the rules used to compute scores. </w:t>
      </w:r>
    </w:p>
    <w:p w14:paraId="2D37B0E3" w14:textId="77777777" w:rsidR="00FB51FB" w:rsidRPr="00EF6288" w:rsidRDefault="00FB51FB" w:rsidP="00FB51FB">
      <w:pPr>
        <w:spacing w:line="240" w:lineRule="auto"/>
        <w:rPr>
          <w:rFonts w:ascii="Arial" w:hAnsi="Arial" w:cs="Arial"/>
          <w:color w:val="auto"/>
          <w:szCs w:val="24"/>
        </w:rPr>
      </w:pPr>
    </w:p>
    <w:p w14:paraId="06783324" w14:textId="051AF899" w:rsidR="00FB51FB" w:rsidRPr="00EF6288" w:rsidRDefault="00A31B8E" w:rsidP="001514C3">
      <w:pPr>
        <w:pStyle w:val="Heading2"/>
      </w:pPr>
      <w:bookmarkStart w:id="974" w:name="_Toc225405029"/>
      <w:r w:rsidRPr="00EF6288">
        <w:t xml:space="preserve">Inclusion of Data </w:t>
      </w:r>
      <w:r w:rsidR="00400587" w:rsidRPr="00EF6288">
        <w:t xml:space="preserve">for EL </w:t>
      </w:r>
      <w:r w:rsidR="00AD52C2" w:rsidRPr="00EF6288">
        <w:t>Students in First</w:t>
      </w:r>
      <w:r w:rsidR="00812B4B" w:rsidRPr="00EF6288">
        <w:t xml:space="preserve"> or Second Year </w:t>
      </w:r>
      <w:r w:rsidR="00975133" w:rsidRPr="00EF6288">
        <w:t>in U.S. Schools</w:t>
      </w:r>
      <w:bookmarkEnd w:id="974"/>
    </w:p>
    <w:p w14:paraId="569A3F20" w14:textId="71FA100F" w:rsidR="007E19DD" w:rsidRPr="00EF6288" w:rsidRDefault="007E19DD" w:rsidP="003B432A">
      <w:pPr>
        <w:spacing w:line="240" w:lineRule="auto"/>
        <w:rPr>
          <w:rFonts w:ascii="Arial" w:hAnsi="Arial" w:cs="Arial"/>
          <w:color w:val="auto"/>
          <w:szCs w:val="24"/>
        </w:rPr>
      </w:pPr>
      <w:r w:rsidRPr="00EF6288">
        <w:rPr>
          <w:rFonts w:ascii="Arial" w:hAnsi="Arial" w:cs="Arial"/>
          <w:color w:val="auto"/>
          <w:szCs w:val="24"/>
        </w:rPr>
        <w:t>For accountability and reporting purposes, first year in U.S. schools is defined by the</w:t>
      </w:r>
      <w:r w:rsidR="00593875">
        <w:rPr>
          <w:rFonts w:ascii="Arial" w:hAnsi="Arial" w:cs="Arial"/>
          <w:color w:val="auto"/>
          <w:szCs w:val="24"/>
        </w:rPr>
        <w:t xml:space="preserve"> date the student entered U.S. schools</w:t>
      </w:r>
      <w:r w:rsidR="00530B9F">
        <w:rPr>
          <w:rFonts w:ascii="Arial" w:hAnsi="Arial" w:cs="Arial"/>
          <w:color w:val="auto"/>
          <w:szCs w:val="24"/>
        </w:rPr>
        <w:t xml:space="preserve"> in combination with the student being </w:t>
      </w:r>
      <w:r w:rsidR="005F6F57">
        <w:rPr>
          <w:rFonts w:ascii="Arial" w:hAnsi="Arial" w:cs="Arial"/>
          <w:color w:val="auto"/>
          <w:szCs w:val="24"/>
        </w:rPr>
        <w:t xml:space="preserve">identified </w:t>
      </w:r>
      <w:r w:rsidR="00530B9F">
        <w:rPr>
          <w:rFonts w:ascii="Arial" w:hAnsi="Arial" w:cs="Arial"/>
          <w:color w:val="auto"/>
          <w:szCs w:val="24"/>
        </w:rPr>
        <w:t>as EL</w:t>
      </w:r>
      <w:r w:rsidR="00115EAE">
        <w:rPr>
          <w:rFonts w:ascii="Arial" w:hAnsi="Arial" w:cs="Arial"/>
          <w:color w:val="auto"/>
          <w:szCs w:val="24"/>
        </w:rPr>
        <w:t xml:space="preserve"> </w:t>
      </w:r>
      <w:r w:rsidR="00F23023">
        <w:rPr>
          <w:rFonts w:ascii="Arial" w:hAnsi="Arial" w:cs="Arial"/>
          <w:color w:val="auto"/>
          <w:szCs w:val="24"/>
        </w:rPr>
        <w:t xml:space="preserve">in the </w:t>
      </w:r>
      <w:r w:rsidR="00E51180">
        <w:rPr>
          <w:rFonts w:ascii="Arial" w:hAnsi="Arial" w:cs="Arial"/>
          <w:color w:val="auto"/>
          <w:szCs w:val="24"/>
        </w:rPr>
        <w:t xml:space="preserve">NCSIS. </w:t>
      </w:r>
      <w:r w:rsidR="00547F86">
        <w:rPr>
          <w:rFonts w:ascii="Arial" w:hAnsi="Arial" w:cs="Arial"/>
          <w:color w:val="auto"/>
          <w:szCs w:val="24"/>
        </w:rPr>
        <w:t>T</w:t>
      </w:r>
      <w:r w:rsidR="00303710">
        <w:rPr>
          <w:rFonts w:ascii="Arial" w:hAnsi="Arial" w:cs="Arial"/>
          <w:color w:val="auto"/>
          <w:szCs w:val="24"/>
        </w:rPr>
        <w:t xml:space="preserve">he </w:t>
      </w:r>
      <w:r w:rsidR="00A54CE2">
        <w:rPr>
          <w:rFonts w:ascii="Arial" w:hAnsi="Arial" w:cs="Arial"/>
          <w:color w:val="auto"/>
          <w:szCs w:val="24"/>
        </w:rPr>
        <w:t xml:space="preserve">first day of the school specific test window </w:t>
      </w:r>
      <w:r w:rsidR="004B097F">
        <w:rPr>
          <w:rFonts w:ascii="Arial" w:hAnsi="Arial" w:cs="Arial"/>
          <w:color w:val="auto"/>
          <w:szCs w:val="24"/>
        </w:rPr>
        <w:t>(for WorkKeys</w:t>
      </w:r>
      <w:r w:rsidR="004F5ED3">
        <w:rPr>
          <w:rFonts w:ascii="Arial" w:hAnsi="Arial" w:cs="Arial"/>
          <w:color w:val="auto"/>
          <w:szCs w:val="24"/>
        </w:rPr>
        <w:t xml:space="preserve"> the first day of the state test window) </w:t>
      </w:r>
      <w:r w:rsidR="00303710">
        <w:rPr>
          <w:rFonts w:ascii="Arial" w:hAnsi="Arial" w:cs="Arial"/>
          <w:color w:val="auto"/>
          <w:szCs w:val="24"/>
        </w:rPr>
        <w:t xml:space="preserve">in combination with the </w:t>
      </w:r>
      <w:r w:rsidR="00C821F8">
        <w:rPr>
          <w:rFonts w:ascii="Arial" w:hAnsi="Arial" w:cs="Arial"/>
          <w:color w:val="auto"/>
          <w:szCs w:val="24"/>
        </w:rPr>
        <w:t xml:space="preserve">entry </w:t>
      </w:r>
      <w:r w:rsidR="00ED5C00">
        <w:rPr>
          <w:rFonts w:ascii="Arial" w:hAnsi="Arial" w:cs="Arial"/>
          <w:color w:val="auto"/>
          <w:szCs w:val="24"/>
        </w:rPr>
        <w:t xml:space="preserve">date defined in the NCSIS </w:t>
      </w:r>
      <w:r w:rsidR="00547F86">
        <w:rPr>
          <w:rFonts w:ascii="Arial" w:hAnsi="Arial" w:cs="Arial"/>
          <w:color w:val="auto"/>
          <w:szCs w:val="24"/>
        </w:rPr>
        <w:t xml:space="preserve">is used </w:t>
      </w:r>
      <w:r w:rsidR="00ED5C00">
        <w:rPr>
          <w:rFonts w:ascii="Arial" w:hAnsi="Arial" w:cs="Arial"/>
          <w:color w:val="auto"/>
          <w:szCs w:val="24"/>
        </w:rPr>
        <w:t>to determine</w:t>
      </w:r>
      <w:r w:rsidR="00AE6BD2">
        <w:rPr>
          <w:rFonts w:ascii="Arial" w:hAnsi="Arial" w:cs="Arial"/>
          <w:color w:val="auto"/>
          <w:szCs w:val="24"/>
        </w:rPr>
        <w:t xml:space="preserve"> if the student is Year 1</w:t>
      </w:r>
      <w:r w:rsidR="007C0AE8">
        <w:rPr>
          <w:rFonts w:ascii="Arial" w:hAnsi="Arial" w:cs="Arial"/>
          <w:color w:val="auto"/>
          <w:szCs w:val="24"/>
        </w:rPr>
        <w:t xml:space="preserve">, Year 2, etc. </w:t>
      </w:r>
      <w:r w:rsidRPr="00EF6288">
        <w:rPr>
          <w:rFonts w:ascii="Arial" w:hAnsi="Arial" w:cs="Arial"/>
          <w:color w:val="auto"/>
          <w:szCs w:val="24"/>
        </w:rPr>
        <w:t>For example, if a</w:t>
      </w:r>
      <w:r w:rsidR="00FF3004">
        <w:rPr>
          <w:rFonts w:ascii="Arial" w:hAnsi="Arial" w:cs="Arial"/>
          <w:color w:val="auto"/>
          <w:szCs w:val="24"/>
        </w:rPr>
        <w:t xml:space="preserve"> </w:t>
      </w:r>
      <w:r w:rsidRPr="00EF6288">
        <w:rPr>
          <w:rFonts w:ascii="Arial" w:hAnsi="Arial" w:cs="Arial"/>
          <w:color w:val="auto"/>
          <w:szCs w:val="24"/>
        </w:rPr>
        <w:t>student</w:t>
      </w:r>
      <w:r w:rsidRPr="00EF6288" w:rsidDel="00704E2E">
        <w:rPr>
          <w:rFonts w:ascii="Arial" w:hAnsi="Arial" w:cs="Arial"/>
          <w:color w:val="auto"/>
          <w:szCs w:val="24"/>
        </w:rPr>
        <w:t xml:space="preserve"> </w:t>
      </w:r>
      <w:r w:rsidR="00704E2E">
        <w:rPr>
          <w:rFonts w:ascii="Arial" w:hAnsi="Arial" w:cs="Arial"/>
          <w:color w:val="auto"/>
          <w:szCs w:val="24"/>
        </w:rPr>
        <w:t xml:space="preserve">entered </w:t>
      </w:r>
      <w:r w:rsidR="006B2D72">
        <w:rPr>
          <w:rFonts w:ascii="Arial" w:hAnsi="Arial" w:cs="Arial"/>
          <w:color w:val="auto"/>
          <w:szCs w:val="24"/>
        </w:rPr>
        <w:t xml:space="preserve">U.S. schools </w:t>
      </w:r>
      <w:r w:rsidR="00F80C21">
        <w:rPr>
          <w:rFonts w:ascii="Arial" w:hAnsi="Arial" w:cs="Arial"/>
          <w:color w:val="auto"/>
          <w:szCs w:val="24"/>
        </w:rPr>
        <w:t xml:space="preserve">on May </w:t>
      </w:r>
      <w:r w:rsidR="00B1700A">
        <w:rPr>
          <w:rFonts w:ascii="Arial" w:hAnsi="Arial" w:cs="Arial"/>
          <w:color w:val="auto"/>
          <w:szCs w:val="24"/>
        </w:rPr>
        <w:t xml:space="preserve">2, 2025, </w:t>
      </w:r>
      <w:r w:rsidR="006B2D72">
        <w:rPr>
          <w:rFonts w:ascii="Arial" w:hAnsi="Arial" w:cs="Arial"/>
          <w:color w:val="auto"/>
          <w:szCs w:val="24"/>
        </w:rPr>
        <w:t xml:space="preserve">and </w:t>
      </w:r>
      <w:r w:rsidR="00303B28">
        <w:rPr>
          <w:rFonts w:ascii="Arial" w:hAnsi="Arial" w:cs="Arial"/>
          <w:color w:val="auto"/>
          <w:szCs w:val="24"/>
        </w:rPr>
        <w:t xml:space="preserve">according to the NCSIS </w:t>
      </w:r>
      <w:r w:rsidR="006B2D72">
        <w:rPr>
          <w:rFonts w:ascii="Arial" w:hAnsi="Arial" w:cs="Arial"/>
          <w:color w:val="auto"/>
          <w:szCs w:val="24"/>
        </w:rPr>
        <w:t xml:space="preserve">is </w:t>
      </w:r>
      <w:r w:rsidR="00547F86">
        <w:rPr>
          <w:rFonts w:ascii="Arial" w:hAnsi="Arial" w:cs="Arial"/>
          <w:color w:val="auto"/>
          <w:szCs w:val="24"/>
        </w:rPr>
        <w:t xml:space="preserve">identified </w:t>
      </w:r>
      <w:r w:rsidR="006B2D72">
        <w:rPr>
          <w:rFonts w:ascii="Arial" w:hAnsi="Arial" w:cs="Arial"/>
          <w:color w:val="auto"/>
          <w:szCs w:val="24"/>
        </w:rPr>
        <w:t>as an EL student</w:t>
      </w:r>
      <w:r w:rsidR="00391AB8">
        <w:rPr>
          <w:rFonts w:ascii="Arial" w:hAnsi="Arial" w:cs="Arial"/>
          <w:color w:val="auto"/>
          <w:szCs w:val="24"/>
        </w:rPr>
        <w:t xml:space="preserve">, for accountability purposes, </w:t>
      </w:r>
      <w:r w:rsidR="00A71838">
        <w:rPr>
          <w:rFonts w:ascii="Arial" w:hAnsi="Arial" w:cs="Arial"/>
          <w:color w:val="auto"/>
          <w:szCs w:val="24"/>
        </w:rPr>
        <w:t xml:space="preserve">the student will be considered Year 1 for any test taken between May </w:t>
      </w:r>
      <w:r w:rsidR="00303B28">
        <w:rPr>
          <w:rFonts w:ascii="Arial" w:hAnsi="Arial" w:cs="Arial"/>
          <w:color w:val="auto"/>
          <w:szCs w:val="24"/>
        </w:rPr>
        <w:t xml:space="preserve">2, </w:t>
      </w:r>
      <w:r w:rsidR="00A71838">
        <w:rPr>
          <w:rFonts w:ascii="Arial" w:hAnsi="Arial" w:cs="Arial"/>
          <w:color w:val="auto"/>
          <w:szCs w:val="24"/>
        </w:rPr>
        <w:t>2025</w:t>
      </w:r>
      <w:r w:rsidR="00303B28">
        <w:rPr>
          <w:rFonts w:ascii="Arial" w:hAnsi="Arial" w:cs="Arial"/>
          <w:color w:val="auto"/>
          <w:szCs w:val="24"/>
        </w:rPr>
        <w:t>,</w:t>
      </w:r>
      <w:r w:rsidR="00A71838">
        <w:rPr>
          <w:rFonts w:ascii="Arial" w:hAnsi="Arial" w:cs="Arial"/>
          <w:color w:val="auto"/>
          <w:szCs w:val="24"/>
        </w:rPr>
        <w:t xml:space="preserve"> and May </w:t>
      </w:r>
      <w:r w:rsidR="006E0963">
        <w:rPr>
          <w:rFonts w:ascii="Arial" w:hAnsi="Arial" w:cs="Arial"/>
          <w:color w:val="auto"/>
          <w:szCs w:val="24"/>
        </w:rPr>
        <w:t xml:space="preserve">1, </w:t>
      </w:r>
      <w:r w:rsidR="00A71838">
        <w:rPr>
          <w:rFonts w:ascii="Arial" w:hAnsi="Arial" w:cs="Arial"/>
          <w:color w:val="auto"/>
          <w:szCs w:val="24"/>
        </w:rPr>
        <w:t>2026</w:t>
      </w:r>
      <w:r w:rsidR="004352D3">
        <w:rPr>
          <w:rFonts w:ascii="Arial" w:hAnsi="Arial" w:cs="Arial"/>
          <w:color w:val="auto"/>
          <w:szCs w:val="24"/>
        </w:rPr>
        <w:t>,</w:t>
      </w:r>
      <w:r w:rsidR="00814101">
        <w:rPr>
          <w:rFonts w:ascii="Arial" w:hAnsi="Arial" w:cs="Arial"/>
          <w:color w:val="auto"/>
          <w:szCs w:val="24"/>
        </w:rPr>
        <w:t xml:space="preserve"> based on the start of the testing window</w:t>
      </w:r>
      <w:r w:rsidR="00D33EA4">
        <w:rPr>
          <w:rFonts w:ascii="Arial" w:hAnsi="Arial" w:cs="Arial"/>
          <w:color w:val="auto"/>
          <w:szCs w:val="24"/>
        </w:rPr>
        <w:t xml:space="preserve">. When the student reaches their anniversary date </w:t>
      </w:r>
      <w:r w:rsidR="004352D3">
        <w:rPr>
          <w:rFonts w:ascii="Arial" w:hAnsi="Arial" w:cs="Arial"/>
          <w:color w:val="auto"/>
          <w:szCs w:val="24"/>
        </w:rPr>
        <w:t>on</w:t>
      </w:r>
      <w:r w:rsidR="00D33EA4">
        <w:rPr>
          <w:rFonts w:ascii="Arial" w:hAnsi="Arial" w:cs="Arial"/>
          <w:color w:val="auto"/>
          <w:szCs w:val="24"/>
        </w:rPr>
        <w:t xml:space="preserve"> May </w:t>
      </w:r>
      <w:r w:rsidR="006E0963">
        <w:rPr>
          <w:rFonts w:ascii="Arial" w:hAnsi="Arial" w:cs="Arial"/>
          <w:color w:val="auto"/>
          <w:szCs w:val="24"/>
        </w:rPr>
        <w:t xml:space="preserve">2, </w:t>
      </w:r>
      <w:r w:rsidR="00D33EA4">
        <w:rPr>
          <w:rFonts w:ascii="Arial" w:hAnsi="Arial" w:cs="Arial"/>
          <w:color w:val="auto"/>
          <w:szCs w:val="24"/>
        </w:rPr>
        <w:t>2026</w:t>
      </w:r>
      <w:r w:rsidR="00353267">
        <w:rPr>
          <w:rFonts w:ascii="Arial" w:hAnsi="Arial" w:cs="Arial"/>
          <w:color w:val="auto"/>
          <w:szCs w:val="24"/>
        </w:rPr>
        <w:t xml:space="preserve">, the student will become Year 2 for any test provided after their anniversary date until May </w:t>
      </w:r>
      <w:r w:rsidR="00DC3BBC">
        <w:rPr>
          <w:rFonts w:ascii="Arial" w:hAnsi="Arial" w:cs="Arial"/>
          <w:color w:val="auto"/>
          <w:szCs w:val="24"/>
        </w:rPr>
        <w:t xml:space="preserve">1, </w:t>
      </w:r>
      <w:r w:rsidR="00353267">
        <w:rPr>
          <w:rFonts w:ascii="Arial" w:hAnsi="Arial" w:cs="Arial"/>
          <w:color w:val="auto"/>
          <w:szCs w:val="24"/>
        </w:rPr>
        <w:t>2027</w:t>
      </w:r>
      <w:r w:rsidR="004352D3">
        <w:rPr>
          <w:rFonts w:ascii="Arial" w:hAnsi="Arial" w:cs="Arial"/>
          <w:color w:val="auto"/>
          <w:szCs w:val="24"/>
        </w:rPr>
        <w:t>,</w:t>
      </w:r>
      <w:r w:rsidR="00C04BC2">
        <w:rPr>
          <w:rFonts w:ascii="Arial" w:hAnsi="Arial" w:cs="Arial"/>
          <w:color w:val="auto"/>
          <w:szCs w:val="24"/>
        </w:rPr>
        <w:t xml:space="preserve"> based on the start of the testing window</w:t>
      </w:r>
      <w:r w:rsidR="00353267">
        <w:rPr>
          <w:rFonts w:ascii="Arial" w:hAnsi="Arial" w:cs="Arial"/>
          <w:color w:val="auto"/>
          <w:szCs w:val="24"/>
        </w:rPr>
        <w:t xml:space="preserve">. </w:t>
      </w:r>
    </w:p>
    <w:p w14:paraId="76749726" w14:textId="77777777" w:rsidR="007E19DD" w:rsidRPr="00EF6288" w:rsidRDefault="007E19DD" w:rsidP="003B432A">
      <w:pPr>
        <w:spacing w:line="240" w:lineRule="auto"/>
        <w:rPr>
          <w:rFonts w:ascii="Arial" w:hAnsi="Arial" w:cs="Arial"/>
          <w:color w:val="auto"/>
          <w:szCs w:val="24"/>
        </w:rPr>
      </w:pPr>
    </w:p>
    <w:p w14:paraId="71D7758D" w14:textId="6F839BC2" w:rsidR="007E19DD" w:rsidRPr="00EF6288" w:rsidRDefault="007E19DD" w:rsidP="003B432A">
      <w:pPr>
        <w:widowControl w:val="0"/>
        <w:tabs>
          <w:tab w:val="left" w:pos="10080"/>
        </w:tabs>
        <w:spacing w:line="240" w:lineRule="auto"/>
        <w:rPr>
          <w:rFonts w:ascii="Arial" w:hAnsi="Arial" w:cs="Arial"/>
          <w:color w:val="auto"/>
          <w:szCs w:val="24"/>
        </w:rPr>
      </w:pPr>
      <w:r w:rsidRPr="00EF6288">
        <w:rPr>
          <w:rFonts w:ascii="Arial" w:hAnsi="Arial" w:cs="Arial"/>
          <w:szCs w:val="24"/>
        </w:rPr>
        <w:t xml:space="preserve">The results of testing EL students in the first </w:t>
      </w:r>
      <w:r w:rsidR="001D2005" w:rsidRPr="00EF6288">
        <w:rPr>
          <w:rFonts w:ascii="Arial" w:hAnsi="Arial" w:cs="Arial"/>
          <w:szCs w:val="24"/>
        </w:rPr>
        <w:t>year</w:t>
      </w:r>
      <w:r w:rsidRPr="00EF6288">
        <w:rPr>
          <w:rFonts w:ascii="Arial" w:hAnsi="Arial" w:cs="Arial"/>
          <w:szCs w:val="24"/>
        </w:rPr>
        <w:t xml:space="preserve"> </w:t>
      </w:r>
      <w:r w:rsidR="00567E60" w:rsidRPr="00EF6288">
        <w:rPr>
          <w:rFonts w:ascii="Arial" w:hAnsi="Arial" w:cs="Arial"/>
          <w:szCs w:val="24"/>
        </w:rPr>
        <w:t>are</w:t>
      </w:r>
      <w:r w:rsidRPr="00EF6288">
        <w:rPr>
          <w:rFonts w:ascii="Arial" w:hAnsi="Arial" w:cs="Arial"/>
          <w:szCs w:val="24"/>
        </w:rPr>
        <w:t xml:space="preserve"> used for participation and reporting (e.g., NC School Report Card), not the accountability model. For year two, </w:t>
      </w:r>
      <w:proofErr w:type="spellStart"/>
      <w:r w:rsidRPr="00EF6288">
        <w:rPr>
          <w:rFonts w:ascii="Arial" w:hAnsi="Arial" w:cs="Arial"/>
          <w:szCs w:val="24"/>
        </w:rPr>
        <w:t>ELs’</w:t>
      </w:r>
      <w:proofErr w:type="spellEnd"/>
      <w:r w:rsidRPr="00EF6288">
        <w:rPr>
          <w:rFonts w:ascii="Arial" w:hAnsi="Arial" w:cs="Arial"/>
          <w:szCs w:val="24"/>
        </w:rPr>
        <w:t xml:space="preserve"> test scores will be included in the growth analysis for the accountability model. For </w:t>
      </w:r>
      <w:r w:rsidR="00567E60" w:rsidRPr="00EF6288">
        <w:rPr>
          <w:rFonts w:ascii="Arial" w:hAnsi="Arial" w:cs="Arial"/>
          <w:szCs w:val="24"/>
        </w:rPr>
        <w:t>years</w:t>
      </w:r>
      <w:r w:rsidRPr="00EF6288">
        <w:rPr>
          <w:rFonts w:ascii="Arial" w:hAnsi="Arial" w:cs="Arial"/>
          <w:szCs w:val="24"/>
        </w:rPr>
        <w:t xml:space="preserve"> three and beyond, </w:t>
      </w:r>
      <w:proofErr w:type="spellStart"/>
      <w:proofErr w:type="gramStart"/>
      <w:r w:rsidRPr="00EF6288">
        <w:rPr>
          <w:rFonts w:ascii="Arial" w:hAnsi="Arial" w:cs="Arial"/>
          <w:szCs w:val="24"/>
        </w:rPr>
        <w:t>ELs’</w:t>
      </w:r>
      <w:proofErr w:type="spellEnd"/>
      <w:proofErr w:type="gramEnd"/>
      <w:r w:rsidRPr="00EF6288">
        <w:rPr>
          <w:rFonts w:ascii="Arial" w:hAnsi="Arial" w:cs="Arial"/>
          <w:szCs w:val="24"/>
        </w:rPr>
        <w:t xml:space="preserve"> test scores will be included in growth and the achievement indicator of the accountability model. </w:t>
      </w:r>
      <w:r w:rsidRPr="00EF6288">
        <w:rPr>
          <w:rFonts w:ascii="Arial" w:hAnsi="Arial" w:cs="Arial"/>
          <w:color w:val="auto"/>
          <w:szCs w:val="24"/>
        </w:rPr>
        <w:t xml:space="preserve">Please refer to the </w:t>
      </w:r>
      <w:r w:rsidRPr="00EF6288">
        <w:rPr>
          <w:rFonts w:ascii="Arial" w:hAnsi="Arial" w:cs="Arial"/>
          <w:i/>
          <w:iCs/>
          <w:color w:val="auto"/>
          <w:szCs w:val="24"/>
        </w:rPr>
        <w:t>Guidelines for Testing Students Identified as English Learners</w:t>
      </w:r>
      <w:r w:rsidRPr="00EF6288">
        <w:rPr>
          <w:rFonts w:ascii="Arial" w:hAnsi="Arial" w:cs="Arial"/>
          <w:color w:val="auto"/>
          <w:szCs w:val="24"/>
        </w:rPr>
        <w:t xml:space="preserve"> for more information. </w:t>
      </w:r>
    </w:p>
    <w:p w14:paraId="5686D93B" w14:textId="77777777" w:rsidR="00780FD3" w:rsidRPr="00EF6288" w:rsidRDefault="00780FD3" w:rsidP="003B432A">
      <w:pPr>
        <w:widowControl w:val="0"/>
        <w:tabs>
          <w:tab w:val="left" w:pos="10080"/>
        </w:tabs>
        <w:spacing w:line="240" w:lineRule="auto"/>
        <w:rPr>
          <w:rFonts w:ascii="Arial" w:hAnsi="Arial" w:cs="Arial"/>
          <w:color w:val="auto"/>
          <w:szCs w:val="24"/>
        </w:rPr>
      </w:pPr>
    </w:p>
    <w:p w14:paraId="55B3D615" w14:textId="2B187C81" w:rsidR="00780FD3" w:rsidRPr="00EF6288" w:rsidRDefault="00780FD3" w:rsidP="00780FD3">
      <w:pPr>
        <w:rPr>
          <w:rFonts w:ascii="Arial" w:hAnsi="Arial" w:cs="Arial"/>
        </w:rPr>
      </w:pPr>
      <w:r w:rsidRPr="00EF6288">
        <w:rPr>
          <w:rFonts w:ascii="Arial" w:hAnsi="Arial" w:cs="Arial"/>
        </w:rPr>
        <w:t>For English Learner Progress Indicator trajectory purposes, Year 1 on the English Learner Progress trajectory table (table 6.3.5.</w:t>
      </w:r>
      <w:r w:rsidR="00B437C7">
        <w:rPr>
          <w:rFonts w:ascii="Arial" w:hAnsi="Arial" w:cs="Arial"/>
        </w:rPr>
        <w:t>1</w:t>
      </w:r>
      <w:r w:rsidRPr="00EF6288">
        <w:rPr>
          <w:rFonts w:ascii="Arial" w:hAnsi="Arial" w:cs="Arial"/>
        </w:rPr>
        <w:t>.) is the first year the student completes the required ACCESS assessment. This is referred to as the initial ACCESS score</w:t>
      </w:r>
      <w:r w:rsidR="00EB255F">
        <w:rPr>
          <w:rFonts w:ascii="Arial" w:hAnsi="Arial" w:cs="Arial"/>
        </w:rPr>
        <w:t xml:space="preserve"> (Refer to Section 6 for more details)</w:t>
      </w:r>
      <w:r w:rsidRPr="00EF6288">
        <w:rPr>
          <w:rFonts w:ascii="Arial" w:hAnsi="Arial" w:cs="Arial"/>
        </w:rPr>
        <w:t xml:space="preserve">. </w:t>
      </w:r>
    </w:p>
    <w:p w14:paraId="0FFF0573" w14:textId="77777777" w:rsidR="00780FD3" w:rsidRPr="00EF6288" w:rsidRDefault="00780FD3" w:rsidP="003B432A">
      <w:pPr>
        <w:widowControl w:val="0"/>
        <w:tabs>
          <w:tab w:val="left" w:pos="10080"/>
        </w:tabs>
        <w:spacing w:line="240" w:lineRule="auto"/>
        <w:rPr>
          <w:rFonts w:ascii="Arial" w:hAnsi="Arial" w:cs="Arial"/>
          <w:color w:val="auto"/>
          <w:szCs w:val="24"/>
        </w:rPr>
      </w:pPr>
    </w:p>
    <w:p w14:paraId="0A450E3D" w14:textId="6FE47792" w:rsidR="00EF3B2A" w:rsidRPr="00EF6288" w:rsidRDefault="003B432A" w:rsidP="003B432A">
      <w:pPr>
        <w:widowControl w:val="0"/>
        <w:tabs>
          <w:tab w:val="left" w:pos="10080"/>
        </w:tabs>
        <w:spacing w:line="240" w:lineRule="auto"/>
        <w:rPr>
          <w:rFonts w:ascii="Arial" w:hAnsi="Arial" w:cs="Arial"/>
          <w:szCs w:val="24"/>
        </w:rPr>
      </w:pPr>
      <w:r w:rsidRPr="00EF6288">
        <w:rPr>
          <w:rFonts w:ascii="Arial" w:hAnsi="Arial" w:cs="Arial"/>
          <w:szCs w:val="24"/>
        </w:rPr>
        <w:t>Table 11.1 illustrates how North Carolina includes ELs in the accountability model for content tests.</w:t>
      </w:r>
    </w:p>
    <w:p w14:paraId="17BB902C" w14:textId="77777777" w:rsidR="001E764F" w:rsidRPr="00EF6288" w:rsidRDefault="001E764F" w:rsidP="003B432A">
      <w:pPr>
        <w:widowControl w:val="0"/>
        <w:tabs>
          <w:tab w:val="left" w:pos="10080"/>
        </w:tabs>
        <w:spacing w:line="240" w:lineRule="auto"/>
        <w:rPr>
          <w:rFonts w:ascii="Arial" w:hAnsi="Arial" w:cs="Arial"/>
          <w:szCs w:val="24"/>
        </w:rPr>
      </w:pPr>
    </w:p>
    <w:p w14:paraId="40E16C82" w14:textId="77777777" w:rsidR="001E764F" w:rsidRPr="00EF6288" w:rsidRDefault="001E764F" w:rsidP="001E764F">
      <w:pPr>
        <w:jc w:val="both"/>
        <w:rPr>
          <w:rFonts w:ascii="Arial" w:hAnsi="Arial" w:cs="Arial"/>
          <w:bCs/>
          <w:sz w:val="20"/>
        </w:rPr>
      </w:pPr>
      <w:r w:rsidRPr="00EF6288">
        <w:rPr>
          <w:rFonts w:ascii="Arial" w:hAnsi="Arial" w:cs="Arial"/>
          <w:bCs/>
          <w:sz w:val="20"/>
        </w:rPr>
        <w:t>TABLE 11.1. Inclusion of ELs in the accountability model</w:t>
      </w:r>
    </w:p>
    <w:tbl>
      <w:tblPr>
        <w:tblStyle w:val="TableGrid"/>
        <w:tblpPr w:leftFromText="180" w:rightFromText="180" w:vertAnchor="text" w:horzAnchor="margin" w:tblpY="19"/>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is table provides an overview of how English learners are included in the accountabilty mode.l A year one English leaner is not included. A year two English learner is included for growth only. A year three English learner and beyond is included in proficiency and growth calculations. "/>
      </w:tblPr>
      <w:tblGrid>
        <w:gridCol w:w="2245"/>
        <w:gridCol w:w="2520"/>
        <w:gridCol w:w="2340"/>
        <w:gridCol w:w="2520"/>
      </w:tblGrid>
      <w:tr w:rsidR="00FA3314" w:rsidRPr="00EF6288" w14:paraId="102056B2" w14:textId="77777777" w:rsidTr="00031CB7">
        <w:trPr>
          <w:trHeight w:val="617"/>
        </w:trPr>
        <w:tc>
          <w:tcPr>
            <w:tcW w:w="2245" w:type="dxa"/>
            <w:vAlign w:val="center"/>
          </w:tcPr>
          <w:p w14:paraId="2198AC20" w14:textId="56743F4D" w:rsidR="00FA3314" w:rsidRPr="00EF6288" w:rsidRDefault="00FA3314">
            <w:pPr>
              <w:rPr>
                <w:rFonts w:ascii="Arial" w:hAnsi="Arial" w:cs="Arial"/>
                <w:sz w:val="20"/>
              </w:rPr>
            </w:pPr>
            <w:r w:rsidRPr="00EF6288">
              <w:rPr>
                <w:rFonts w:ascii="Arial" w:hAnsi="Arial" w:cs="Arial"/>
                <w:sz w:val="20"/>
              </w:rPr>
              <w:t xml:space="preserve">Recently </w:t>
            </w:r>
            <w:proofErr w:type="gramStart"/>
            <w:r w:rsidRPr="00EF6288">
              <w:rPr>
                <w:rFonts w:ascii="Arial" w:hAnsi="Arial" w:cs="Arial"/>
                <w:sz w:val="20"/>
              </w:rPr>
              <w:t>arrived EL</w:t>
            </w:r>
            <w:proofErr w:type="gramEnd"/>
            <w:r w:rsidR="005C6813" w:rsidRPr="00BF1F0E">
              <w:rPr>
                <w:rFonts w:ascii="Arial" w:hAnsi="Arial" w:cs="Arial"/>
                <w:sz w:val="20"/>
              </w:rPr>
              <w:t xml:space="preserve"> </w:t>
            </w:r>
            <w:r w:rsidRPr="00EF6288">
              <w:rPr>
                <w:rFonts w:ascii="Arial" w:hAnsi="Arial" w:cs="Arial"/>
                <w:sz w:val="20"/>
              </w:rPr>
              <w:t>(by enrollment date)</w:t>
            </w:r>
          </w:p>
        </w:tc>
        <w:tc>
          <w:tcPr>
            <w:tcW w:w="2520" w:type="dxa"/>
            <w:shd w:val="clear" w:color="auto" w:fill="BFBFBF"/>
            <w:vAlign w:val="center"/>
          </w:tcPr>
          <w:p w14:paraId="43E24DD2" w14:textId="77777777" w:rsidR="00FA3314" w:rsidRPr="00EF6288" w:rsidRDefault="00FA3314">
            <w:pPr>
              <w:jc w:val="center"/>
              <w:rPr>
                <w:rFonts w:ascii="Arial" w:hAnsi="Arial" w:cs="Arial"/>
                <w:b/>
                <w:bCs/>
                <w:sz w:val="20"/>
              </w:rPr>
            </w:pPr>
            <w:r w:rsidRPr="00EF6288">
              <w:rPr>
                <w:rFonts w:ascii="Arial" w:hAnsi="Arial" w:cs="Arial"/>
                <w:b/>
                <w:bCs/>
                <w:sz w:val="20"/>
              </w:rPr>
              <w:t>Year 1</w:t>
            </w:r>
          </w:p>
          <w:p w14:paraId="79E0CF69" w14:textId="65212701" w:rsidR="00FA3314" w:rsidRPr="00EF6288" w:rsidRDefault="00FA3314">
            <w:pPr>
              <w:jc w:val="center"/>
              <w:rPr>
                <w:rFonts w:ascii="Arial" w:hAnsi="Arial" w:cs="Arial"/>
                <w:sz w:val="20"/>
              </w:rPr>
            </w:pPr>
            <w:r w:rsidRPr="00EF6288">
              <w:rPr>
                <w:rFonts w:ascii="Arial" w:hAnsi="Arial" w:cs="Arial"/>
                <w:sz w:val="20"/>
              </w:rPr>
              <w:t>(reading, mathematics, science)</w:t>
            </w:r>
          </w:p>
        </w:tc>
        <w:tc>
          <w:tcPr>
            <w:tcW w:w="2340" w:type="dxa"/>
            <w:shd w:val="clear" w:color="auto" w:fill="D9D9D9"/>
            <w:vAlign w:val="center"/>
          </w:tcPr>
          <w:p w14:paraId="4081DE1D" w14:textId="77777777" w:rsidR="00FA3314" w:rsidRPr="00EF6288" w:rsidRDefault="00FA3314">
            <w:pPr>
              <w:jc w:val="center"/>
              <w:rPr>
                <w:rFonts w:ascii="Arial" w:hAnsi="Arial" w:cs="Arial"/>
                <w:b/>
                <w:bCs/>
                <w:sz w:val="20"/>
              </w:rPr>
            </w:pPr>
            <w:r w:rsidRPr="00EF6288">
              <w:rPr>
                <w:rFonts w:ascii="Arial" w:hAnsi="Arial" w:cs="Arial"/>
                <w:b/>
                <w:bCs/>
                <w:sz w:val="20"/>
              </w:rPr>
              <w:t>Year 2</w:t>
            </w:r>
          </w:p>
          <w:p w14:paraId="5132D8D3" w14:textId="77777777" w:rsidR="00FA3314" w:rsidRPr="00EF6288" w:rsidRDefault="00FA3314">
            <w:pPr>
              <w:jc w:val="center"/>
              <w:rPr>
                <w:rFonts w:ascii="Arial" w:hAnsi="Arial" w:cs="Arial"/>
                <w:sz w:val="20"/>
              </w:rPr>
            </w:pPr>
            <w:r w:rsidRPr="00EF6288">
              <w:rPr>
                <w:rFonts w:ascii="Arial" w:hAnsi="Arial" w:cs="Arial"/>
                <w:sz w:val="20"/>
              </w:rPr>
              <w:t>(reading, mathematics, science)</w:t>
            </w:r>
          </w:p>
        </w:tc>
        <w:tc>
          <w:tcPr>
            <w:tcW w:w="2520" w:type="dxa"/>
            <w:shd w:val="clear" w:color="auto" w:fill="F2F2F2"/>
            <w:vAlign w:val="center"/>
          </w:tcPr>
          <w:p w14:paraId="26B4EBC6" w14:textId="77777777" w:rsidR="00FA3314" w:rsidRPr="00EF6288" w:rsidRDefault="00FA3314">
            <w:pPr>
              <w:jc w:val="center"/>
              <w:rPr>
                <w:rFonts w:ascii="Arial" w:hAnsi="Arial" w:cs="Arial"/>
                <w:b/>
                <w:bCs/>
                <w:sz w:val="20"/>
              </w:rPr>
            </w:pPr>
            <w:r w:rsidRPr="00EF6288">
              <w:rPr>
                <w:rFonts w:ascii="Arial" w:hAnsi="Arial" w:cs="Arial"/>
                <w:b/>
                <w:bCs/>
                <w:sz w:val="20"/>
              </w:rPr>
              <w:t>Year 3 and beyond</w:t>
            </w:r>
          </w:p>
          <w:p w14:paraId="05C5CB99" w14:textId="77777777" w:rsidR="00FA3314" w:rsidRPr="00EF6288" w:rsidRDefault="00FA3314">
            <w:pPr>
              <w:jc w:val="center"/>
              <w:rPr>
                <w:rFonts w:ascii="Arial" w:hAnsi="Arial" w:cs="Arial"/>
                <w:sz w:val="20"/>
              </w:rPr>
            </w:pPr>
            <w:r w:rsidRPr="00EF6288">
              <w:rPr>
                <w:rFonts w:ascii="Arial" w:hAnsi="Arial" w:cs="Arial"/>
                <w:sz w:val="20"/>
              </w:rPr>
              <w:t>(reading, mathematics, science)</w:t>
            </w:r>
          </w:p>
        </w:tc>
      </w:tr>
      <w:tr w:rsidR="00FA3314" w:rsidRPr="00EF6288" w14:paraId="51233B96" w14:textId="77777777" w:rsidTr="00031CB7">
        <w:trPr>
          <w:trHeight w:val="338"/>
        </w:trPr>
        <w:tc>
          <w:tcPr>
            <w:tcW w:w="2245" w:type="dxa"/>
            <w:vAlign w:val="center"/>
          </w:tcPr>
          <w:p w14:paraId="43AAA149" w14:textId="77777777" w:rsidR="00FA3314" w:rsidRPr="00EF6288" w:rsidRDefault="00FA3314">
            <w:pPr>
              <w:rPr>
                <w:rFonts w:ascii="Arial" w:hAnsi="Arial" w:cs="Arial"/>
                <w:sz w:val="20"/>
              </w:rPr>
            </w:pPr>
            <w:r w:rsidRPr="00EF6288">
              <w:rPr>
                <w:rFonts w:ascii="Arial" w:hAnsi="Arial" w:cs="Arial"/>
                <w:sz w:val="20"/>
              </w:rPr>
              <w:t>Does the EL student take state tests?</w:t>
            </w:r>
          </w:p>
        </w:tc>
        <w:tc>
          <w:tcPr>
            <w:tcW w:w="2520" w:type="dxa"/>
            <w:shd w:val="clear" w:color="auto" w:fill="BFBFBF"/>
            <w:vAlign w:val="center"/>
          </w:tcPr>
          <w:p w14:paraId="03FA5753" w14:textId="77777777" w:rsidR="00FA3314" w:rsidRPr="00EF6288" w:rsidRDefault="00FA3314">
            <w:pPr>
              <w:jc w:val="center"/>
              <w:rPr>
                <w:rFonts w:ascii="Arial" w:hAnsi="Arial" w:cs="Arial"/>
                <w:sz w:val="20"/>
              </w:rPr>
            </w:pPr>
            <w:r w:rsidRPr="00EF6288">
              <w:rPr>
                <w:rFonts w:ascii="Arial" w:hAnsi="Arial" w:cs="Arial"/>
                <w:sz w:val="20"/>
              </w:rPr>
              <w:t>Yes</w:t>
            </w:r>
          </w:p>
        </w:tc>
        <w:tc>
          <w:tcPr>
            <w:tcW w:w="2340" w:type="dxa"/>
            <w:shd w:val="clear" w:color="auto" w:fill="D9D9D9"/>
            <w:vAlign w:val="center"/>
          </w:tcPr>
          <w:p w14:paraId="35F4AA8C" w14:textId="77777777" w:rsidR="00FA3314" w:rsidRPr="00EF6288" w:rsidRDefault="00FA3314">
            <w:pPr>
              <w:jc w:val="center"/>
              <w:rPr>
                <w:rFonts w:ascii="Arial" w:hAnsi="Arial" w:cs="Arial"/>
                <w:sz w:val="20"/>
              </w:rPr>
            </w:pPr>
            <w:r w:rsidRPr="00EF6288">
              <w:rPr>
                <w:rFonts w:ascii="Arial" w:hAnsi="Arial" w:cs="Arial"/>
                <w:sz w:val="20"/>
              </w:rPr>
              <w:t>Yes</w:t>
            </w:r>
          </w:p>
        </w:tc>
        <w:tc>
          <w:tcPr>
            <w:tcW w:w="2520" w:type="dxa"/>
            <w:shd w:val="clear" w:color="auto" w:fill="F2F2F2"/>
            <w:vAlign w:val="center"/>
          </w:tcPr>
          <w:p w14:paraId="063F9AD3" w14:textId="77777777" w:rsidR="00FA3314" w:rsidRPr="00EF6288" w:rsidRDefault="00FA3314">
            <w:pPr>
              <w:jc w:val="center"/>
              <w:rPr>
                <w:rFonts w:ascii="Arial" w:hAnsi="Arial" w:cs="Arial"/>
                <w:sz w:val="20"/>
              </w:rPr>
            </w:pPr>
            <w:r w:rsidRPr="00EF6288">
              <w:rPr>
                <w:rFonts w:ascii="Arial" w:hAnsi="Arial" w:cs="Arial"/>
                <w:sz w:val="20"/>
              </w:rPr>
              <w:t>Yes</w:t>
            </w:r>
          </w:p>
        </w:tc>
      </w:tr>
      <w:tr w:rsidR="00FA3314" w:rsidRPr="00EF6288" w14:paraId="52F437F6" w14:textId="77777777" w:rsidTr="00031CB7">
        <w:trPr>
          <w:trHeight w:val="752"/>
        </w:trPr>
        <w:tc>
          <w:tcPr>
            <w:tcW w:w="2245" w:type="dxa"/>
            <w:vAlign w:val="center"/>
          </w:tcPr>
          <w:p w14:paraId="4FB1C667" w14:textId="77777777" w:rsidR="00FA3314" w:rsidRPr="00EF6288" w:rsidRDefault="00FA3314">
            <w:pPr>
              <w:rPr>
                <w:rFonts w:ascii="Arial" w:hAnsi="Arial" w:cs="Arial"/>
                <w:sz w:val="20"/>
              </w:rPr>
            </w:pPr>
            <w:r w:rsidRPr="00EF6288">
              <w:rPr>
                <w:rFonts w:ascii="Arial" w:hAnsi="Arial" w:cs="Arial"/>
                <w:sz w:val="20"/>
              </w:rPr>
              <w:t>Does the EL student receive an Individual Student Report?</w:t>
            </w:r>
          </w:p>
        </w:tc>
        <w:tc>
          <w:tcPr>
            <w:tcW w:w="2520" w:type="dxa"/>
            <w:shd w:val="clear" w:color="auto" w:fill="BFBFBF"/>
            <w:vAlign w:val="center"/>
          </w:tcPr>
          <w:p w14:paraId="7215403F" w14:textId="77777777" w:rsidR="00FA3314" w:rsidRPr="00EF6288" w:rsidRDefault="00FA3314">
            <w:pPr>
              <w:jc w:val="center"/>
              <w:rPr>
                <w:rFonts w:ascii="Arial" w:hAnsi="Arial" w:cs="Arial"/>
                <w:sz w:val="20"/>
              </w:rPr>
            </w:pPr>
            <w:r w:rsidRPr="00EF6288">
              <w:rPr>
                <w:rFonts w:ascii="Arial" w:hAnsi="Arial" w:cs="Arial"/>
                <w:sz w:val="20"/>
              </w:rPr>
              <w:t>Yes</w:t>
            </w:r>
          </w:p>
        </w:tc>
        <w:tc>
          <w:tcPr>
            <w:tcW w:w="2340" w:type="dxa"/>
            <w:shd w:val="clear" w:color="auto" w:fill="D9D9D9"/>
            <w:vAlign w:val="center"/>
          </w:tcPr>
          <w:p w14:paraId="344EA121" w14:textId="77777777" w:rsidR="00FA3314" w:rsidRPr="00EF6288" w:rsidRDefault="00FA3314">
            <w:pPr>
              <w:jc w:val="center"/>
              <w:rPr>
                <w:rFonts w:ascii="Arial" w:hAnsi="Arial" w:cs="Arial"/>
                <w:sz w:val="20"/>
              </w:rPr>
            </w:pPr>
            <w:r w:rsidRPr="00EF6288">
              <w:rPr>
                <w:rFonts w:ascii="Arial" w:hAnsi="Arial" w:cs="Arial"/>
                <w:sz w:val="20"/>
              </w:rPr>
              <w:t>Yes</w:t>
            </w:r>
          </w:p>
        </w:tc>
        <w:tc>
          <w:tcPr>
            <w:tcW w:w="2520" w:type="dxa"/>
            <w:shd w:val="clear" w:color="auto" w:fill="F2F2F2"/>
            <w:vAlign w:val="center"/>
          </w:tcPr>
          <w:p w14:paraId="47884CB9" w14:textId="77777777" w:rsidR="00FA3314" w:rsidRPr="00EF6288" w:rsidRDefault="00FA3314">
            <w:pPr>
              <w:jc w:val="center"/>
              <w:rPr>
                <w:rFonts w:ascii="Arial" w:hAnsi="Arial" w:cs="Arial"/>
                <w:sz w:val="20"/>
              </w:rPr>
            </w:pPr>
            <w:r w:rsidRPr="00EF6288">
              <w:rPr>
                <w:rFonts w:ascii="Arial" w:hAnsi="Arial" w:cs="Arial"/>
                <w:sz w:val="20"/>
              </w:rPr>
              <w:t>Yes</w:t>
            </w:r>
          </w:p>
        </w:tc>
      </w:tr>
      <w:tr w:rsidR="00FA3314" w:rsidRPr="00EF6288" w14:paraId="29A96CFB" w14:textId="77777777" w:rsidTr="00031CB7">
        <w:trPr>
          <w:trHeight w:val="347"/>
        </w:trPr>
        <w:tc>
          <w:tcPr>
            <w:tcW w:w="2245" w:type="dxa"/>
            <w:vAlign w:val="center"/>
          </w:tcPr>
          <w:p w14:paraId="7E13C1A3" w14:textId="77777777" w:rsidR="00FA3314" w:rsidRPr="00EF6288" w:rsidRDefault="00FA3314">
            <w:pPr>
              <w:rPr>
                <w:rFonts w:ascii="Arial" w:hAnsi="Arial" w:cs="Arial"/>
                <w:sz w:val="20"/>
              </w:rPr>
            </w:pPr>
            <w:r w:rsidRPr="00EF6288">
              <w:rPr>
                <w:rFonts w:ascii="Arial" w:hAnsi="Arial" w:cs="Arial"/>
                <w:sz w:val="20"/>
              </w:rPr>
              <w:t>Is the EL student included in the accountability model?</w:t>
            </w:r>
          </w:p>
        </w:tc>
        <w:tc>
          <w:tcPr>
            <w:tcW w:w="2520" w:type="dxa"/>
            <w:shd w:val="clear" w:color="auto" w:fill="BFBFBF"/>
            <w:vAlign w:val="center"/>
          </w:tcPr>
          <w:p w14:paraId="56F89249" w14:textId="77777777" w:rsidR="00FA3314" w:rsidRPr="00EF6288" w:rsidRDefault="00FA3314">
            <w:pPr>
              <w:jc w:val="center"/>
              <w:rPr>
                <w:rFonts w:ascii="Arial" w:hAnsi="Arial" w:cs="Arial"/>
                <w:sz w:val="20"/>
              </w:rPr>
            </w:pPr>
            <w:r w:rsidRPr="00EF6288">
              <w:rPr>
                <w:rFonts w:ascii="Arial" w:hAnsi="Arial" w:cs="Arial"/>
                <w:sz w:val="20"/>
              </w:rPr>
              <w:t>No</w:t>
            </w:r>
          </w:p>
        </w:tc>
        <w:tc>
          <w:tcPr>
            <w:tcW w:w="2340" w:type="dxa"/>
            <w:shd w:val="clear" w:color="auto" w:fill="D9D9D9"/>
            <w:vAlign w:val="center"/>
          </w:tcPr>
          <w:p w14:paraId="1910CEF7" w14:textId="77777777" w:rsidR="00FA3314" w:rsidRPr="00EF6288" w:rsidRDefault="00FA3314">
            <w:pPr>
              <w:jc w:val="center"/>
              <w:rPr>
                <w:rFonts w:ascii="Arial" w:hAnsi="Arial" w:cs="Arial"/>
                <w:sz w:val="20"/>
              </w:rPr>
            </w:pPr>
            <w:r w:rsidRPr="00EF6288">
              <w:rPr>
                <w:rFonts w:ascii="Arial" w:hAnsi="Arial" w:cs="Arial"/>
                <w:sz w:val="20"/>
              </w:rPr>
              <w:t>Included for growth</w:t>
            </w:r>
          </w:p>
        </w:tc>
        <w:tc>
          <w:tcPr>
            <w:tcW w:w="2520" w:type="dxa"/>
            <w:shd w:val="clear" w:color="auto" w:fill="F2F2F2"/>
            <w:vAlign w:val="center"/>
          </w:tcPr>
          <w:p w14:paraId="34E0A868" w14:textId="77777777" w:rsidR="00FA3314" w:rsidRPr="00EF6288" w:rsidRDefault="00FA3314">
            <w:pPr>
              <w:jc w:val="center"/>
              <w:rPr>
                <w:rFonts w:ascii="Arial" w:hAnsi="Arial" w:cs="Arial"/>
                <w:sz w:val="20"/>
              </w:rPr>
            </w:pPr>
            <w:r w:rsidRPr="00EF6288">
              <w:rPr>
                <w:rFonts w:ascii="Arial" w:hAnsi="Arial" w:cs="Arial"/>
                <w:sz w:val="20"/>
              </w:rPr>
              <w:t>Included for proficiency and growth</w:t>
            </w:r>
          </w:p>
        </w:tc>
      </w:tr>
    </w:tbl>
    <w:p w14:paraId="1D8C9B55" w14:textId="77777777" w:rsidR="001A68EF" w:rsidRPr="00EF6288" w:rsidRDefault="001A68EF" w:rsidP="001514C3">
      <w:pPr>
        <w:pStyle w:val="Heading2"/>
      </w:pPr>
      <w:bookmarkStart w:id="975" w:name="_Toc225405030"/>
      <w:r w:rsidRPr="00EF6288">
        <w:lastRenderedPageBreak/>
        <w:t>General Business Rules Applied to Accountability Indicators</w:t>
      </w:r>
      <w:bookmarkEnd w:id="975"/>
    </w:p>
    <w:p w14:paraId="362FD0F7" w14:textId="77777777" w:rsidR="001A68EF" w:rsidRPr="00EF6288" w:rsidRDefault="001A68EF" w:rsidP="001A68EF">
      <w:pPr>
        <w:spacing w:line="240" w:lineRule="auto"/>
        <w:rPr>
          <w:rFonts w:ascii="Arial" w:hAnsi="Arial" w:cs="Arial"/>
          <w:color w:val="auto"/>
          <w:szCs w:val="24"/>
        </w:rPr>
      </w:pPr>
      <w:r w:rsidRPr="00EF6288">
        <w:rPr>
          <w:rFonts w:ascii="Arial" w:hAnsi="Arial" w:cs="Arial"/>
          <w:color w:val="auto"/>
          <w:szCs w:val="24"/>
        </w:rPr>
        <w:t>The following tables provide an overview of the business rules for each accountability indicator. N/A indicates the business rule is not applicable in aggregate calculations. A blank cell indicates the business rule is not used in aggregate calculations. A check mark indicates the business rule is used in aggregate calculations.</w:t>
      </w:r>
    </w:p>
    <w:p w14:paraId="63705956" w14:textId="77777777" w:rsidR="001A68EF" w:rsidRPr="00EF6288" w:rsidRDefault="001A68EF" w:rsidP="001A68EF">
      <w:pPr>
        <w:spacing w:line="240" w:lineRule="auto"/>
        <w:rPr>
          <w:rFonts w:ascii="Arial" w:hAnsi="Arial" w:cs="Arial"/>
          <w:color w:val="auto"/>
          <w:szCs w:val="24"/>
        </w:rPr>
      </w:pPr>
    </w:p>
    <w:p w14:paraId="68202EA0" w14:textId="13DAA963" w:rsidR="001A68EF" w:rsidRPr="00EF6288" w:rsidRDefault="001A68EF" w:rsidP="00CA5853">
      <w:pPr>
        <w:pStyle w:val="ListParagraph"/>
        <w:numPr>
          <w:ilvl w:val="0"/>
          <w:numId w:val="126"/>
        </w:numPr>
        <w:spacing w:line="240" w:lineRule="auto"/>
        <w:rPr>
          <w:rFonts w:ascii="Arial" w:hAnsi="Arial" w:cs="Arial"/>
          <w:color w:val="auto"/>
        </w:rPr>
      </w:pPr>
      <w:hyperlink w:anchor="Table112" w:history="1">
        <w:r w:rsidRPr="00EF6288">
          <w:rPr>
            <w:rStyle w:val="Hyperlink"/>
            <w:rFonts w:ascii="Arial" w:hAnsi="Arial" w:cs="Arial"/>
          </w:rPr>
          <w:t>Table 11.2</w:t>
        </w:r>
      </w:hyperlink>
      <w:r w:rsidRPr="00EF6288">
        <w:rPr>
          <w:rFonts w:ascii="Arial" w:hAnsi="Arial" w:cs="Arial"/>
          <w:color w:val="auto"/>
        </w:rPr>
        <w:t xml:space="preserve"> applies to the reading, mathematics, and science assessment indicators</w:t>
      </w:r>
      <w:r w:rsidR="0082571D">
        <w:rPr>
          <w:rFonts w:ascii="Arial" w:hAnsi="Arial" w:cs="Arial"/>
          <w:color w:val="auto"/>
        </w:rPr>
        <w:t>.</w:t>
      </w:r>
    </w:p>
    <w:p w14:paraId="35A9B007" w14:textId="1AF1D37C" w:rsidR="001A68EF" w:rsidRPr="00EF6288" w:rsidRDefault="001A68EF" w:rsidP="00CA5853">
      <w:pPr>
        <w:pStyle w:val="ListParagraph"/>
        <w:numPr>
          <w:ilvl w:val="0"/>
          <w:numId w:val="126"/>
        </w:numPr>
        <w:spacing w:line="240" w:lineRule="auto"/>
        <w:rPr>
          <w:rFonts w:ascii="Arial" w:hAnsi="Arial" w:cs="Arial"/>
          <w:color w:val="auto"/>
        </w:rPr>
      </w:pPr>
      <w:hyperlink w:anchor="Table1121" w:history="1">
        <w:r w:rsidRPr="00EF6288">
          <w:rPr>
            <w:rStyle w:val="Hyperlink"/>
            <w:rFonts w:ascii="Arial" w:hAnsi="Arial" w:cs="Arial"/>
          </w:rPr>
          <w:t>Table 11.2.1</w:t>
        </w:r>
      </w:hyperlink>
      <w:r w:rsidRPr="00EF6288">
        <w:rPr>
          <w:rFonts w:ascii="Arial" w:hAnsi="Arial" w:cs="Arial"/>
          <w:color w:val="auto"/>
        </w:rPr>
        <w:t xml:space="preserve"> applies to the Math Course Rigor (MCR) and ACT/WorkKeys Assessment (AWA) indicators</w:t>
      </w:r>
      <w:r w:rsidR="0082571D">
        <w:rPr>
          <w:rFonts w:ascii="Arial" w:hAnsi="Arial" w:cs="Arial"/>
          <w:color w:val="auto"/>
        </w:rPr>
        <w:t>.</w:t>
      </w:r>
      <w:r w:rsidRPr="00EF6288">
        <w:rPr>
          <w:rFonts w:ascii="Arial" w:hAnsi="Arial" w:cs="Arial"/>
          <w:color w:val="auto"/>
        </w:rPr>
        <w:t xml:space="preserve"> </w:t>
      </w:r>
    </w:p>
    <w:p w14:paraId="49D2D8B4" w14:textId="709AF94B" w:rsidR="001A68EF" w:rsidRPr="00EF6288" w:rsidRDefault="001A68EF" w:rsidP="00CA5853">
      <w:pPr>
        <w:pStyle w:val="ListParagraph"/>
        <w:numPr>
          <w:ilvl w:val="0"/>
          <w:numId w:val="126"/>
        </w:numPr>
        <w:spacing w:line="240" w:lineRule="auto"/>
        <w:rPr>
          <w:rFonts w:ascii="Arial" w:hAnsi="Arial" w:cs="Arial"/>
          <w:color w:val="auto"/>
        </w:rPr>
      </w:pPr>
      <w:hyperlink w:anchor="Table1122" w:history="1">
        <w:r w:rsidRPr="00EF6288">
          <w:rPr>
            <w:rStyle w:val="Hyperlink"/>
            <w:rFonts w:ascii="Arial" w:hAnsi="Arial" w:cs="Arial"/>
          </w:rPr>
          <w:t>Table 11.2.2</w:t>
        </w:r>
      </w:hyperlink>
      <w:r w:rsidRPr="00EF6288">
        <w:rPr>
          <w:rFonts w:ascii="Arial" w:hAnsi="Arial" w:cs="Arial"/>
          <w:color w:val="auto"/>
        </w:rPr>
        <w:t xml:space="preserve"> applies to the Cohort Graduation Rate (CGR) indicator</w:t>
      </w:r>
      <w:r w:rsidR="0082571D">
        <w:rPr>
          <w:rFonts w:ascii="Arial" w:hAnsi="Arial" w:cs="Arial"/>
          <w:color w:val="auto"/>
        </w:rPr>
        <w:t>.</w:t>
      </w:r>
    </w:p>
    <w:p w14:paraId="38D05B44" w14:textId="368DFF5A" w:rsidR="001A68EF" w:rsidRPr="00EF6288" w:rsidRDefault="001A68EF" w:rsidP="00CA5853">
      <w:pPr>
        <w:pStyle w:val="ListParagraph"/>
        <w:numPr>
          <w:ilvl w:val="0"/>
          <w:numId w:val="126"/>
        </w:numPr>
        <w:spacing w:line="240" w:lineRule="auto"/>
        <w:rPr>
          <w:rFonts w:ascii="Arial" w:hAnsi="Arial" w:cs="Arial"/>
          <w:color w:val="auto"/>
        </w:rPr>
      </w:pPr>
      <w:hyperlink w:anchor="Table1123" w:history="1">
        <w:r w:rsidRPr="00EF6288">
          <w:rPr>
            <w:rStyle w:val="Hyperlink"/>
            <w:rFonts w:ascii="Arial" w:hAnsi="Arial" w:cs="Arial"/>
          </w:rPr>
          <w:t>Table 11.2.3</w:t>
        </w:r>
      </w:hyperlink>
      <w:r w:rsidRPr="00EF6288">
        <w:rPr>
          <w:rFonts w:ascii="Arial" w:hAnsi="Arial" w:cs="Arial"/>
          <w:color w:val="auto"/>
        </w:rPr>
        <w:t xml:space="preserve"> applies to the English Learner (EL) progress indicator</w:t>
      </w:r>
      <w:r w:rsidR="0082571D">
        <w:rPr>
          <w:rFonts w:ascii="Arial" w:hAnsi="Arial" w:cs="Arial"/>
          <w:color w:val="auto"/>
        </w:rPr>
        <w:t>.</w:t>
      </w:r>
    </w:p>
    <w:p w14:paraId="2C4A0C6E" w14:textId="77777777" w:rsidR="001A68EF" w:rsidRPr="00EF6288" w:rsidRDefault="001A68EF" w:rsidP="00CA5853">
      <w:pPr>
        <w:pStyle w:val="ListParagraph"/>
        <w:numPr>
          <w:ilvl w:val="0"/>
          <w:numId w:val="126"/>
        </w:numPr>
        <w:spacing w:line="240" w:lineRule="auto"/>
        <w:rPr>
          <w:rFonts w:ascii="Arial" w:hAnsi="Arial" w:cs="Arial"/>
          <w:color w:val="auto"/>
        </w:rPr>
      </w:pPr>
      <w:hyperlink w:anchor="Table1124" w:history="1">
        <w:r w:rsidRPr="00EF6288">
          <w:rPr>
            <w:rStyle w:val="Hyperlink"/>
            <w:rFonts w:ascii="Arial" w:hAnsi="Arial" w:cs="Arial"/>
          </w:rPr>
          <w:t>Table 11.2.4</w:t>
        </w:r>
      </w:hyperlink>
      <w:r w:rsidRPr="00EF6288">
        <w:rPr>
          <w:rFonts w:ascii="Arial" w:hAnsi="Arial" w:cs="Arial"/>
          <w:color w:val="auto"/>
        </w:rPr>
        <w:t xml:space="preserve"> applies to the growth indicator. </w:t>
      </w:r>
    </w:p>
    <w:p w14:paraId="3BF5E1AB" w14:textId="77777777" w:rsidR="001A68EF" w:rsidRPr="00EF6288" w:rsidRDefault="001A68EF" w:rsidP="005C178C">
      <w:pPr>
        <w:spacing w:line="240" w:lineRule="auto"/>
        <w:rPr>
          <w:rFonts w:ascii="Arial" w:hAnsi="Arial" w:cs="Arial"/>
          <w:color w:val="auto"/>
          <w:szCs w:val="24"/>
        </w:rPr>
      </w:pPr>
    </w:p>
    <w:p w14:paraId="4F50C1FC" w14:textId="60AD63D9" w:rsidR="005C178C" w:rsidRPr="00EF6288" w:rsidRDefault="005C178C" w:rsidP="005C178C">
      <w:pPr>
        <w:spacing w:line="240" w:lineRule="auto"/>
        <w:rPr>
          <w:rFonts w:ascii="Arial" w:hAnsi="Arial" w:cs="Arial"/>
          <w:color w:val="auto"/>
          <w:sz w:val="20"/>
        </w:rPr>
      </w:pPr>
      <w:bookmarkStart w:id="976" w:name="Table112"/>
      <w:r w:rsidRPr="00EF6288">
        <w:rPr>
          <w:rFonts w:ascii="Arial" w:hAnsi="Arial" w:cs="Arial"/>
          <w:color w:val="auto"/>
          <w:sz w:val="20"/>
        </w:rPr>
        <w:t>TABLE 11.</w:t>
      </w:r>
      <w:r w:rsidR="007502D8" w:rsidRPr="00EF6288">
        <w:rPr>
          <w:rFonts w:ascii="Arial" w:hAnsi="Arial" w:cs="Arial"/>
          <w:color w:val="auto"/>
          <w:sz w:val="20"/>
        </w:rPr>
        <w:t>2.</w:t>
      </w:r>
      <w:r w:rsidRPr="00EF6288">
        <w:rPr>
          <w:rFonts w:ascii="Arial" w:hAnsi="Arial" w:cs="Arial"/>
          <w:color w:val="auto"/>
          <w:sz w:val="20"/>
        </w:rPr>
        <w:t xml:space="preserve"> </w:t>
      </w:r>
      <w:bookmarkEnd w:id="976"/>
      <w:r w:rsidRPr="00EF6288">
        <w:rPr>
          <w:rFonts w:ascii="Arial" w:hAnsi="Arial" w:cs="Arial"/>
          <w:color w:val="auto"/>
          <w:sz w:val="20"/>
        </w:rPr>
        <w:t>General rules applied to reading, mathematics, and science indicators </w:t>
      </w:r>
    </w:p>
    <w:tbl>
      <w:tblPr>
        <w:tblW w:w="92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General rules applied to reading, mathematics, and science indicators. The first column lists the common rules. The next four columns of participation, reporting, long-term goals, and school performance grades have a checkmark if the rule applies, are left blank if the rule doesn't apply, have a N/A if it is not applicable, or have a number. The number means that it applies if the subgroup of students meet the mininum number indicated. "/>
      </w:tblPr>
      <w:tblGrid>
        <w:gridCol w:w="4159"/>
        <w:gridCol w:w="1336"/>
        <w:gridCol w:w="1158"/>
        <w:gridCol w:w="1203"/>
        <w:gridCol w:w="1351"/>
      </w:tblGrid>
      <w:tr w:rsidR="005C178C" w:rsidRPr="00A83709" w14:paraId="400A244D" w14:textId="77777777" w:rsidTr="003B4FAE">
        <w:trPr>
          <w:trHeight w:val="707"/>
        </w:trPr>
        <w:tc>
          <w:tcPr>
            <w:tcW w:w="4159" w:type="dxa"/>
            <w:tcBorders>
              <w:top w:val="single" w:sz="6" w:space="0" w:color="auto"/>
              <w:left w:val="single" w:sz="6" w:space="0" w:color="auto"/>
              <w:bottom w:val="single" w:sz="6" w:space="0" w:color="auto"/>
              <w:right w:val="single" w:sz="6" w:space="0" w:color="auto"/>
            </w:tcBorders>
            <w:shd w:val="clear" w:color="auto" w:fill="ACB9CA" w:themeFill="text2" w:themeFillTint="66"/>
            <w:vAlign w:val="center"/>
            <w:hideMark/>
          </w:tcPr>
          <w:p w14:paraId="682ED030" w14:textId="77777777" w:rsidR="005C178C" w:rsidRPr="00A83709" w:rsidRDefault="005C178C">
            <w:pPr>
              <w:spacing w:line="240" w:lineRule="auto"/>
              <w:rPr>
                <w:rFonts w:ascii="Arial" w:hAnsi="Arial" w:cs="Arial"/>
                <w:b/>
                <w:bCs/>
                <w:color w:val="auto"/>
                <w:sz w:val="20"/>
              </w:rPr>
            </w:pPr>
            <w:r w:rsidRPr="00A83709">
              <w:rPr>
                <w:rFonts w:ascii="Arial" w:hAnsi="Arial" w:cs="Arial"/>
                <w:b/>
                <w:bCs/>
                <w:color w:val="auto"/>
                <w:sz w:val="20"/>
              </w:rPr>
              <w:t xml:space="preserve"> Rule </w:t>
            </w:r>
          </w:p>
        </w:tc>
        <w:tc>
          <w:tcPr>
            <w:tcW w:w="1336"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66F5B400" w14:textId="77777777" w:rsidR="005C178C" w:rsidRPr="00A83709" w:rsidRDefault="005C178C">
            <w:pPr>
              <w:spacing w:line="240" w:lineRule="auto"/>
              <w:jc w:val="center"/>
              <w:rPr>
                <w:rFonts w:ascii="Arial" w:hAnsi="Arial" w:cs="Arial"/>
                <w:b/>
                <w:bCs/>
                <w:color w:val="auto"/>
                <w:sz w:val="20"/>
              </w:rPr>
            </w:pPr>
            <w:r w:rsidRPr="00A83709">
              <w:rPr>
                <w:rFonts w:ascii="Arial" w:hAnsi="Arial" w:cs="Arial"/>
                <w:b/>
                <w:bCs/>
                <w:color w:val="auto"/>
                <w:sz w:val="20"/>
              </w:rPr>
              <w:t>Participation</w:t>
            </w:r>
          </w:p>
        </w:tc>
        <w:tc>
          <w:tcPr>
            <w:tcW w:w="1158"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7B0759C9" w14:textId="77777777" w:rsidR="005C178C" w:rsidRPr="00A83709" w:rsidRDefault="005C178C">
            <w:pPr>
              <w:spacing w:line="240" w:lineRule="auto"/>
              <w:jc w:val="center"/>
              <w:rPr>
                <w:rFonts w:ascii="Arial" w:hAnsi="Arial" w:cs="Arial"/>
                <w:b/>
                <w:bCs/>
                <w:color w:val="auto"/>
                <w:sz w:val="20"/>
              </w:rPr>
            </w:pPr>
            <w:r w:rsidRPr="00A83709">
              <w:rPr>
                <w:rFonts w:ascii="Arial" w:hAnsi="Arial" w:cs="Arial"/>
                <w:b/>
                <w:bCs/>
                <w:color w:val="auto"/>
                <w:sz w:val="20"/>
              </w:rPr>
              <w:t>Reporting</w:t>
            </w:r>
          </w:p>
        </w:tc>
        <w:tc>
          <w:tcPr>
            <w:tcW w:w="1203"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640C6289" w14:textId="6184ED6C" w:rsidR="005C178C" w:rsidRPr="00A83709" w:rsidRDefault="005C178C">
            <w:pPr>
              <w:spacing w:line="240" w:lineRule="auto"/>
              <w:jc w:val="center"/>
              <w:rPr>
                <w:rFonts w:ascii="Arial" w:hAnsi="Arial" w:cs="Arial"/>
                <w:b/>
                <w:bCs/>
                <w:color w:val="auto"/>
                <w:sz w:val="20"/>
              </w:rPr>
            </w:pPr>
            <w:r w:rsidRPr="00A83709">
              <w:rPr>
                <w:rFonts w:ascii="Arial" w:hAnsi="Arial" w:cs="Arial"/>
                <w:b/>
                <w:bCs/>
                <w:color w:val="auto"/>
                <w:sz w:val="20"/>
              </w:rPr>
              <w:t>Long-</w:t>
            </w:r>
            <w:r w:rsidR="00675F43" w:rsidRPr="00A83709">
              <w:rPr>
                <w:rFonts w:ascii="Arial" w:hAnsi="Arial" w:cs="Arial"/>
                <w:b/>
                <w:bCs/>
                <w:color w:val="auto"/>
                <w:sz w:val="20"/>
              </w:rPr>
              <w:t>t</w:t>
            </w:r>
            <w:r w:rsidRPr="00A83709">
              <w:rPr>
                <w:rFonts w:ascii="Arial" w:hAnsi="Arial" w:cs="Arial"/>
                <w:b/>
                <w:bCs/>
                <w:color w:val="auto"/>
                <w:sz w:val="20"/>
              </w:rPr>
              <w:t xml:space="preserve">erm </w:t>
            </w:r>
            <w:r w:rsidR="00675F43" w:rsidRPr="00A83709">
              <w:rPr>
                <w:rFonts w:ascii="Arial" w:hAnsi="Arial" w:cs="Arial"/>
                <w:b/>
                <w:bCs/>
                <w:color w:val="auto"/>
                <w:sz w:val="20"/>
              </w:rPr>
              <w:t>g</w:t>
            </w:r>
            <w:r w:rsidRPr="00A83709">
              <w:rPr>
                <w:rFonts w:ascii="Arial" w:hAnsi="Arial" w:cs="Arial"/>
                <w:b/>
                <w:bCs/>
                <w:color w:val="auto"/>
                <w:sz w:val="20"/>
              </w:rPr>
              <w:t>oals</w:t>
            </w:r>
          </w:p>
        </w:tc>
        <w:tc>
          <w:tcPr>
            <w:tcW w:w="1351"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4A2D1EF9" w14:textId="4D6E0BDF" w:rsidR="005C178C" w:rsidRPr="00A83709" w:rsidRDefault="005C178C">
            <w:pPr>
              <w:spacing w:line="240" w:lineRule="auto"/>
              <w:jc w:val="center"/>
              <w:rPr>
                <w:rFonts w:ascii="Arial" w:hAnsi="Arial" w:cs="Arial"/>
                <w:b/>
                <w:bCs/>
                <w:color w:val="auto"/>
                <w:sz w:val="20"/>
              </w:rPr>
            </w:pPr>
            <w:r w:rsidRPr="00A83709">
              <w:rPr>
                <w:rFonts w:ascii="Arial" w:hAnsi="Arial" w:cs="Arial"/>
                <w:b/>
                <w:bCs/>
                <w:color w:val="auto"/>
                <w:sz w:val="20"/>
              </w:rPr>
              <w:t xml:space="preserve">School </w:t>
            </w:r>
            <w:r w:rsidR="00675F43" w:rsidRPr="00A83709">
              <w:rPr>
                <w:rFonts w:ascii="Arial" w:hAnsi="Arial" w:cs="Arial"/>
                <w:b/>
                <w:bCs/>
                <w:color w:val="auto"/>
                <w:sz w:val="20"/>
              </w:rPr>
              <w:t>p</w:t>
            </w:r>
            <w:r w:rsidRPr="00A83709">
              <w:rPr>
                <w:rFonts w:ascii="Arial" w:hAnsi="Arial" w:cs="Arial"/>
                <w:b/>
                <w:bCs/>
                <w:color w:val="auto"/>
                <w:sz w:val="20"/>
              </w:rPr>
              <w:t xml:space="preserve">erformance </w:t>
            </w:r>
            <w:r w:rsidR="00675F43" w:rsidRPr="00A83709">
              <w:rPr>
                <w:rFonts w:ascii="Arial" w:hAnsi="Arial" w:cs="Arial"/>
                <w:b/>
                <w:bCs/>
                <w:color w:val="auto"/>
                <w:sz w:val="20"/>
              </w:rPr>
              <w:t>g</w:t>
            </w:r>
            <w:r w:rsidRPr="00A83709">
              <w:rPr>
                <w:rFonts w:ascii="Arial" w:hAnsi="Arial" w:cs="Arial"/>
                <w:b/>
                <w:bCs/>
                <w:color w:val="auto"/>
                <w:sz w:val="20"/>
              </w:rPr>
              <w:t>rades</w:t>
            </w:r>
          </w:p>
        </w:tc>
      </w:tr>
      <w:tr w:rsidR="00F15222" w:rsidRPr="00A83709" w14:paraId="002CC8E9" w14:textId="77777777" w:rsidTr="003B4FAE">
        <w:trPr>
          <w:trHeight w:val="384"/>
        </w:trPr>
        <w:tc>
          <w:tcPr>
            <w:tcW w:w="4159" w:type="dxa"/>
            <w:tcBorders>
              <w:top w:val="nil"/>
              <w:left w:val="single" w:sz="6" w:space="0" w:color="auto"/>
              <w:bottom w:val="single" w:sz="6" w:space="0" w:color="auto"/>
              <w:right w:val="single" w:sz="6" w:space="0" w:color="auto"/>
            </w:tcBorders>
            <w:vAlign w:val="center"/>
            <w:hideMark/>
          </w:tcPr>
          <w:p w14:paraId="601F82C0" w14:textId="53AB74B0" w:rsidR="00F15222" w:rsidRPr="00A83709" w:rsidRDefault="00F15222" w:rsidP="00F15222">
            <w:pPr>
              <w:spacing w:line="240" w:lineRule="auto"/>
              <w:rPr>
                <w:rFonts w:ascii="Arial" w:hAnsi="Arial" w:cs="Arial"/>
                <w:color w:val="auto"/>
                <w:sz w:val="20"/>
              </w:rPr>
            </w:pPr>
            <w:r w:rsidRPr="00A83709">
              <w:rPr>
                <w:rFonts w:ascii="Arial" w:hAnsi="Arial" w:cs="Arial"/>
                <w:color w:val="auto"/>
                <w:sz w:val="20"/>
              </w:rPr>
              <w:t xml:space="preserve"> Partial enrollment required </w:t>
            </w:r>
          </w:p>
        </w:tc>
        <w:tc>
          <w:tcPr>
            <w:tcW w:w="1336" w:type="dxa"/>
            <w:tcBorders>
              <w:top w:val="nil"/>
              <w:left w:val="nil"/>
              <w:bottom w:val="single" w:sz="6" w:space="0" w:color="auto"/>
              <w:right w:val="single" w:sz="6" w:space="0" w:color="auto"/>
            </w:tcBorders>
            <w:vAlign w:val="center"/>
          </w:tcPr>
          <w:p w14:paraId="33E7E55B" w14:textId="46819945" w:rsidR="00F15222" w:rsidRPr="00A83709" w:rsidRDefault="00F15222" w:rsidP="00F15222">
            <w:pPr>
              <w:spacing w:line="240" w:lineRule="auto"/>
              <w:jc w:val="center"/>
              <w:rPr>
                <w:rFonts w:ascii="Arial" w:hAnsi="Arial" w:cs="Arial"/>
                <w:color w:val="auto"/>
                <w:sz w:val="20"/>
              </w:rPr>
            </w:pPr>
            <w:r>
              <w:rPr>
                <w:rFonts w:ascii="Arial" w:hAnsi="Arial" w:cs="Arial"/>
                <w:color w:val="auto"/>
                <w:sz w:val="20"/>
              </w:rPr>
              <w:t>-</w:t>
            </w:r>
          </w:p>
        </w:tc>
        <w:tc>
          <w:tcPr>
            <w:tcW w:w="1158" w:type="dxa"/>
            <w:tcBorders>
              <w:top w:val="nil"/>
              <w:left w:val="nil"/>
              <w:bottom w:val="single" w:sz="6" w:space="0" w:color="auto"/>
              <w:right w:val="single" w:sz="6" w:space="0" w:color="auto"/>
            </w:tcBorders>
            <w:vAlign w:val="center"/>
          </w:tcPr>
          <w:p w14:paraId="62569339" w14:textId="28C79274" w:rsidR="00F15222" w:rsidRPr="00A83709" w:rsidRDefault="00F15222" w:rsidP="00F15222">
            <w:pPr>
              <w:spacing w:line="240" w:lineRule="auto"/>
              <w:jc w:val="center"/>
              <w:rPr>
                <w:rFonts w:ascii="Arial" w:hAnsi="Arial" w:cs="Arial"/>
                <w:color w:val="auto"/>
                <w:sz w:val="20"/>
              </w:rPr>
            </w:pPr>
            <w:r w:rsidRPr="000D73D9">
              <w:rPr>
                <w:rFonts w:ascii="Arial" w:hAnsi="Arial" w:cs="Arial"/>
                <w:color w:val="auto"/>
                <w:sz w:val="20"/>
              </w:rPr>
              <w:t>-</w:t>
            </w:r>
          </w:p>
        </w:tc>
        <w:tc>
          <w:tcPr>
            <w:tcW w:w="1203" w:type="dxa"/>
            <w:tcBorders>
              <w:top w:val="nil"/>
              <w:left w:val="nil"/>
              <w:bottom w:val="single" w:sz="6" w:space="0" w:color="auto"/>
              <w:right w:val="single" w:sz="6" w:space="0" w:color="auto"/>
            </w:tcBorders>
            <w:vAlign w:val="center"/>
          </w:tcPr>
          <w:p w14:paraId="2E5AD045" w14:textId="0B4A3280" w:rsidR="00F15222" w:rsidRPr="00A83709" w:rsidRDefault="00F15222" w:rsidP="00F15222">
            <w:pPr>
              <w:spacing w:line="240" w:lineRule="auto"/>
              <w:jc w:val="center"/>
              <w:rPr>
                <w:rFonts w:ascii="Arial" w:hAnsi="Arial" w:cs="Arial"/>
                <w:color w:val="auto"/>
                <w:sz w:val="20"/>
              </w:rPr>
            </w:pPr>
            <w:r w:rsidRPr="000D73D9">
              <w:rPr>
                <w:rFonts w:ascii="Arial" w:hAnsi="Arial" w:cs="Arial"/>
                <w:color w:val="auto"/>
                <w:sz w:val="20"/>
              </w:rPr>
              <w:t>-</w:t>
            </w:r>
          </w:p>
        </w:tc>
        <w:tc>
          <w:tcPr>
            <w:tcW w:w="1351" w:type="dxa"/>
            <w:tcBorders>
              <w:top w:val="nil"/>
              <w:left w:val="nil"/>
              <w:bottom w:val="single" w:sz="6" w:space="0" w:color="auto"/>
              <w:right w:val="single" w:sz="6" w:space="0" w:color="auto"/>
            </w:tcBorders>
            <w:vAlign w:val="center"/>
            <w:hideMark/>
          </w:tcPr>
          <w:p w14:paraId="6CF4A362" w14:textId="4C2964FC" w:rsidR="00F15222" w:rsidRPr="00A83709" w:rsidRDefault="00F15222" w:rsidP="00F15222">
            <w:pPr>
              <w:spacing w:line="240" w:lineRule="auto"/>
              <w:jc w:val="center"/>
              <w:rPr>
                <w:rFonts w:ascii="Arial" w:hAnsi="Arial" w:cs="Arial"/>
                <w:color w:val="auto"/>
                <w:sz w:val="20"/>
              </w:rPr>
            </w:pPr>
            <w:r w:rsidRPr="00A83709">
              <w:rPr>
                <w:rFonts w:ascii="Arial" w:hAnsi="Arial" w:cs="Arial"/>
                <w:color w:val="auto"/>
                <w:sz w:val="20"/>
              </w:rPr>
              <w:t>Yes</w:t>
            </w:r>
          </w:p>
        </w:tc>
      </w:tr>
      <w:tr w:rsidR="005C178C" w:rsidRPr="00A83709" w14:paraId="1C58010A" w14:textId="77777777" w:rsidTr="003B4FAE">
        <w:trPr>
          <w:trHeight w:val="461"/>
        </w:trPr>
        <w:tc>
          <w:tcPr>
            <w:tcW w:w="4159" w:type="dxa"/>
            <w:tcBorders>
              <w:top w:val="nil"/>
              <w:left w:val="single" w:sz="6" w:space="0" w:color="auto"/>
              <w:bottom w:val="single" w:sz="6" w:space="0" w:color="auto"/>
              <w:right w:val="single" w:sz="6" w:space="0" w:color="auto"/>
            </w:tcBorders>
            <w:vAlign w:val="center"/>
            <w:hideMark/>
          </w:tcPr>
          <w:p w14:paraId="5124521C" w14:textId="77777777" w:rsidR="005C178C" w:rsidRPr="00A83709" w:rsidRDefault="005C178C">
            <w:pPr>
              <w:spacing w:line="240" w:lineRule="auto"/>
              <w:rPr>
                <w:rFonts w:ascii="Arial" w:hAnsi="Arial" w:cs="Arial"/>
                <w:color w:val="auto"/>
                <w:sz w:val="20"/>
              </w:rPr>
            </w:pPr>
            <w:r w:rsidRPr="00A83709">
              <w:rPr>
                <w:rFonts w:ascii="Arial" w:hAnsi="Arial" w:cs="Arial"/>
                <w:color w:val="auto"/>
                <w:sz w:val="20"/>
              </w:rPr>
              <w:t xml:space="preserve"> Participation rule denominator adjustment   </w:t>
            </w:r>
          </w:p>
          <w:p w14:paraId="13AFDC80" w14:textId="77777777" w:rsidR="00B8724E" w:rsidRPr="00A83709" w:rsidRDefault="005C178C">
            <w:pPr>
              <w:spacing w:line="240" w:lineRule="auto"/>
              <w:rPr>
                <w:rFonts w:ascii="Arial" w:hAnsi="Arial" w:cs="Arial"/>
                <w:color w:val="auto"/>
                <w:sz w:val="20"/>
              </w:rPr>
            </w:pPr>
            <w:r w:rsidRPr="00A83709">
              <w:rPr>
                <w:rFonts w:ascii="Arial" w:hAnsi="Arial" w:cs="Arial"/>
                <w:color w:val="auto"/>
                <w:sz w:val="20"/>
              </w:rPr>
              <w:t xml:space="preserve"> applied (reading/mathematics assessments </w:t>
            </w:r>
            <w:r w:rsidR="00B8724E" w:rsidRPr="00A83709">
              <w:rPr>
                <w:rFonts w:ascii="Arial" w:hAnsi="Arial" w:cs="Arial"/>
                <w:color w:val="auto"/>
                <w:sz w:val="20"/>
              </w:rPr>
              <w:t xml:space="preserve"> </w:t>
            </w:r>
          </w:p>
          <w:p w14:paraId="796ED03D" w14:textId="5CAACA4E" w:rsidR="005C178C" w:rsidRPr="00A83709" w:rsidRDefault="00B8724E">
            <w:pPr>
              <w:spacing w:line="240" w:lineRule="auto"/>
              <w:rPr>
                <w:rFonts w:ascii="Arial" w:hAnsi="Arial" w:cs="Arial"/>
                <w:color w:val="auto"/>
                <w:sz w:val="20"/>
              </w:rPr>
            </w:pPr>
            <w:r w:rsidRPr="00A83709">
              <w:rPr>
                <w:rFonts w:ascii="Arial" w:hAnsi="Arial" w:cs="Arial"/>
                <w:color w:val="auto"/>
                <w:sz w:val="20"/>
              </w:rPr>
              <w:t xml:space="preserve"> </w:t>
            </w:r>
            <w:r w:rsidR="005C178C" w:rsidRPr="00A83709">
              <w:rPr>
                <w:rFonts w:ascii="Arial" w:hAnsi="Arial" w:cs="Arial"/>
                <w:color w:val="auto"/>
                <w:sz w:val="20"/>
              </w:rPr>
              <w:t>only) </w:t>
            </w:r>
          </w:p>
        </w:tc>
        <w:tc>
          <w:tcPr>
            <w:tcW w:w="1336" w:type="dxa"/>
            <w:tcBorders>
              <w:top w:val="nil"/>
              <w:left w:val="nil"/>
              <w:bottom w:val="single" w:sz="6" w:space="0" w:color="auto"/>
              <w:right w:val="single" w:sz="6" w:space="0" w:color="auto"/>
            </w:tcBorders>
            <w:vAlign w:val="center"/>
            <w:hideMark/>
          </w:tcPr>
          <w:p w14:paraId="2B37BB1C" w14:textId="77777777" w:rsidR="005C178C" w:rsidRPr="00A83709" w:rsidRDefault="005C178C">
            <w:pPr>
              <w:spacing w:line="240" w:lineRule="auto"/>
              <w:jc w:val="center"/>
              <w:rPr>
                <w:rFonts w:ascii="Arial" w:hAnsi="Arial" w:cs="Arial"/>
                <w:color w:val="auto"/>
                <w:sz w:val="20"/>
              </w:rPr>
            </w:pPr>
            <w:r w:rsidRPr="00A83709">
              <w:rPr>
                <w:rFonts w:ascii="Arial" w:hAnsi="Arial" w:cs="Arial"/>
                <w:color w:val="auto"/>
                <w:sz w:val="20"/>
              </w:rPr>
              <w:t>N/A</w:t>
            </w:r>
          </w:p>
        </w:tc>
        <w:tc>
          <w:tcPr>
            <w:tcW w:w="1158" w:type="dxa"/>
            <w:tcBorders>
              <w:top w:val="nil"/>
              <w:left w:val="nil"/>
              <w:bottom w:val="single" w:sz="6" w:space="0" w:color="auto"/>
              <w:right w:val="single" w:sz="6" w:space="0" w:color="auto"/>
            </w:tcBorders>
            <w:vAlign w:val="center"/>
            <w:hideMark/>
          </w:tcPr>
          <w:p w14:paraId="1411D9E5" w14:textId="1E8C2F68" w:rsidR="005C178C" w:rsidRPr="00A83709" w:rsidRDefault="00F15222">
            <w:pPr>
              <w:spacing w:line="240" w:lineRule="auto"/>
              <w:jc w:val="center"/>
              <w:rPr>
                <w:rFonts w:ascii="Arial" w:hAnsi="Arial" w:cs="Arial"/>
                <w:color w:val="auto"/>
                <w:sz w:val="20"/>
              </w:rPr>
            </w:pPr>
            <w:r>
              <w:rPr>
                <w:rFonts w:ascii="Arial" w:hAnsi="Arial" w:cs="Arial"/>
                <w:color w:val="auto"/>
                <w:sz w:val="20"/>
              </w:rPr>
              <w:t>-</w:t>
            </w:r>
          </w:p>
        </w:tc>
        <w:tc>
          <w:tcPr>
            <w:tcW w:w="1203" w:type="dxa"/>
            <w:tcBorders>
              <w:top w:val="nil"/>
              <w:left w:val="nil"/>
              <w:bottom w:val="single" w:sz="6" w:space="0" w:color="auto"/>
              <w:right w:val="single" w:sz="6" w:space="0" w:color="auto"/>
            </w:tcBorders>
            <w:vAlign w:val="center"/>
            <w:hideMark/>
          </w:tcPr>
          <w:p w14:paraId="0BE0ECED" w14:textId="2F9A3865"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c>
          <w:tcPr>
            <w:tcW w:w="1351" w:type="dxa"/>
            <w:tcBorders>
              <w:top w:val="nil"/>
              <w:left w:val="nil"/>
              <w:bottom w:val="single" w:sz="6" w:space="0" w:color="auto"/>
              <w:right w:val="single" w:sz="6" w:space="0" w:color="auto"/>
            </w:tcBorders>
            <w:vAlign w:val="center"/>
          </w:tcPr>
          <w:p w14:paraId="4EEE058E" w14:textId="3B60B65C"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r>
      <w:tr w:rsidR="005C178C" w:rsidRPr="00A83709" w14:paraId="74D1A315" w14:textId="77777777" w:rsidTr="003B4FAE">
        <w:trPr>
          <w:trHeight w:val="430"/>
        </w:trPr>
        <w:tc>
          <w:tcPr>
            <w:tcW w:w="4159" w:type="dxa"/>
            <w:tcBorders>
              <w:top w:val="nil"/>
              <w:left w:val="single" w:sz="6" w:space="0" w:color="auto"/>
              <w:bottom w:val="single" w:sz="6" w:space="0" w:color="auto"/>
              <w:right w:val="single" w:sz="6" w:space="0" w:color="auto"/>
            </w:tcBorders>
            <w:vAlign w:val="center"/>
            <w:hideMark/>
          </w:tcPr>
          <w:p w14:paraId="772C980C" w14:textId="77777777" w:rsidR="005C178C" w:rsidRPr="00A83709" w:rsidRDefault="005C178C">
            <w:pPr>
              <w:spacing w:line="240" w:lineRule="auto"/>
              <w:rPr>
                <w:rFonts w:ascii="Arial" w:hAnsi="Arial" w:cs="Arial"/>
                <w:color w:val="auto"/>
                <w:sz w:val="20"/>
              </w:rPr>
            </w:pPr>
            <w:r w:rsidRPr="00A83709">
              <w:rPr>
                <w:rFonts w:ascii="Arial" w:hAnsi="Arial" w:cs="Arial"/>
                <w:color w:val="auto"/>
                <w:sz w:val="20"/>
              </w:rPr>
              <w:t xml:space="preserve"> Uses current year EOC scores  </w:t>
            </w:r>
          </w:p>
        </w:tc>
        <w:tc>
          <w:tcPr>
            <w:tcW w:w="1336" w:type="dxa"/>
            <w:tcBorders>
              <w:top w:val="nil"/>
              <w:left w:val="nil"/>
              <w:bottom w:val="single" w:sz="6" w:space="0" w:color="auto"/>
              <w:right w:val="single" w:sz="6" w:space="0" w:color="auto"/>
            </w:tcBorders>
            <w:vAlign w:val="center"/>
            <w:hideMark/>
          </w:tcPr>
          <w:p w14:paraId="04D20624" w14:textId="19A6EA9A" w:rsidR="005C178C" w:rsidRPr="00A83709" w:rsidRDefault="000F7B68">
            <w:pPr>
              <w:spacing w:line="240" w:lineRule="auto"/>
              <w:jc w:val="center"/>
              <w:rPr>
                <w:rFonts w:ascii="Arial" w:hAnsi="Arial" w:cs="Arial"/>
                <w:color w:val="auto"/>
                <w:sz w:val="20"/>
              </w:rPr>
            </w:pPr>
            <w:r>
              <w:rPr>
                <w:rFonts w:ascii="Arial" w:hAnsi="Arial" w:cs="Arial"/>
                <w:color w:val="auto"/>
                <w:sz w:val="20"/>
              </w:rPr>
              <w:t>-</w:t>
            </w:r>
          </w:p>
        </w:tc>
        <w:tc>
          <w:tcPr>
            <w:tcW w:w="1158" w:type="dxa"/>
            <w:tcBorders>
              <w:top w:val="nil"/>
              <w:left w:val="nil"/>
              <w:bottom w:val="single" w:sz="6" w:space="0" w:color="auto"/>
              <w:right w:val="single" w:sz="6" w:space="0" w:color="auto"/>
            </w:tcBorders>
            <w:vAlign w:val="center"/>
            <w:hideMark/>
          </w:tcPr>
          <w:p w14:paraId="08423746" w14:textId="7E1BA89D"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c>
          <w:tcPr>
            <w:tcW w:w="1203" w:type="dxa"/>
            <w:tcBorders>
              <w:top w:val="nil"/>
              <w:left w:val="nil"/>
              <w:bottom w:val="single" w:sz="6" w:space="0" w:color="auto"/>
              <w:right w:val="single" w:sz="6" w:space="0" w:color="auto"/>
            </w:tcBorders>
            <w:vAlign w:val="center"/>
            <w:hideMark/>
          </w:tcPr>
          <w:p w14:paraId="6F4F21A3" w14:textId="3382D32A" w:rsidR="005C178C" w:rsidRPr="00A83709" w:rsidRDefault="000F7B68">
            <w:pPr>
              <w:spacing w:line="240" w:lineRule="auto"/>
              <w:jc w:val="center"/>
              <w:rPr>
                <w:rFonts w:ascii="Arial" w:hAnsi="Arial" w:cs="Arial"/>
                <w:color w:val="auto"/>
                <w:sz w:val="20"/>
              </w:rPr>
            </w:pPr>
            <w:r>
              <w:rPr>
                <w:rFonts w:ascii="Arial" w:hAnsi="Arial" w:cs="Arial"/>
                <w:color w:val="auto"/>
                <w:sz w:val="20"/>
              </w:rPr>
              <w:t>-</w:t>
            </w:r>
          </w:p>
        </w:tc>
        <w:tc>
          <w:tcPr>
            <w:tcW w:w="1351" w:type="dxa"/>
            <w:tcBorders>
              <w:top w:val="nil"/>
              <w:left w:val="nil"/>
              <w:bottom w:val="single" w:sz="6" w:space="0" w:color="auto"/>
              <w:right w:val="single" w:sz="6" w:space="0" w:color="auto"/>
            </w:tcBorders>
            <w:vAlign w:val="center"/>
            <w:hideMark/>
          </w:tcPr>
          <w:p w14:paraId="49CA66AC" w14:textId="5A1F2015"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 xml:space="preserve"> Yes</w:t>
            </w:r>
            <w:bookmarkStart w:id="977" w:name="_Ref219484091"/>
            <w:r w:rsidR="00DB67EF">
              <w:rPr>
                <w:rFonts w:ascii="ZWAdobeF" w:hAnsi="ZWAdobeF" w:cs="ZWAdobeF"/>
                <w:color w:val="auto"/>
                <w:sz w:val="2"/>
                <w:szCs w:val="2"/>
              </w:rPr>
              <w:t>15F</w:t>
            </w:r>
            <w:r w:rsidR="0067517D" w:rsidRPr="00A83709">
              <w:rPr>
                <w:rStyle w:val="FootnoteReference"/>
                <w:rFonts w:ascii="Arial" w:hAnsi="Arial" w:cs="Arial"/>
                <w:color w:val="auto"/>
                <w:sz w:val="20"/>
              </w:rPr>
              <w:footnoteReference w:customMarkFollows="1" w:id="17"/>
              <w:t>1</w:t>
            </w:r>
            <w:bookmarkEnd w:id="977"/>
          </w:p>
        </w:tc>
      </w:tr>
      <w:tr w:rsidR="00C80A51" w:rsidRPr="00A83709" w14:paraId="4774645B" w14:textId="77777777" w:rsidTr="003B4FAE">
        <w:trPr>
          <w:trHeight w:val="477"/>
        </w:trPr>
        <w:tc>
          <w:tcPr>
            <w:tcW w:w="4159" w:type="dxa"/>
            <w:tcBorders>
              <w:top w:val="nil"/>
              <w:left w:val="single" w:sz="6" w:space="0" w:color="auto"/>
              <w:bottom w:val="single" w:sz="6" w:space="0" w:color="auto"/>
              <w:right w:val="single" w:sz="6" w:space="0" w:color="auto"/>
            </w:tcBorders>
            <w:vAlign w:val="center"/>
          </w:tcPr>
          <w:p w14:paraId="4C1B0B60" w14:textId="4413E896" w:rsidR="00C80A51" w:rsidRPr="00A83709" w:rsidRDefault="00C80A51" w:rsidP="00C80A51">
            <w:pPr>
              <w:spacing w:line="240" w:lineRule="auto"/>
              <w:rPr>
                <w:rFonts w:ascii="Arial" w:hAnsi="Arial" w:cs="Arial"/>
                <w:color w:val="auto"/>
                <w:sz w:val="20"/>
              </w:rPr>
            </w:pPr>
            <w:r w:rsidRPr="00A83709">
              <w:rPr>
                <w:rFonts w:ascii="Arial" w:hAnsi="Arial" w:cs="Arial"/>
                <w:color w:val="auto"/>
                <w:sz w:val="20"/>
              </w:rPr>
              <w:t xml:space="preserve"> Uses retest score, if higher  </w:t>
            </w:r>
          </w:p>
          <w:p w14:paraId="44903E69" w14:textId="4CCB1B82" w:rsidR="00C80A51" w:rsidRPr="00A83709" w:rsidRDefault="00C80A51" w:rsidP="00C80A51">
            <w:pPr>
              <w:spacing w:line="240" w:lineRule="auto"/>
              <w:rPr>
                <w:rFonts w:ascii="Arial" w:hAnsi="Arial" w:cs="Arial"/>
                <w:color w:val="auto"/>
                <w:sz w:val="20"/>
              </w:rPr>
            </w:pPr>
            <w:r w:rsidRPr="00A83709">
              <w:rPr>
                <w:rFonts w:ascii="Arial" w:hAnsi="Arial" w:cs="Arial"/>
                <w:color w:val="auto"/>
                <w:sz w:val="20"/>
              </w:rPr>
              <w:t xml:space="preserve"> than </w:t>
            </w:r>
            <w:r w:rsidR="681442F8" w:rsidRPr="00A83709">
              <w:rPr>
                <w:rFonts w:ascii="Arial" w:hAnsi="Arial" w:cs="Arial"/>
                <w:color w:val="auto"/>
                <w:sz w:val="20"/>
              </w:rPr>
              <w:t>the original</w:t>
            </w:r>
            <w:r w:rsidRPr="00A83709">
              <w:rPr>
                <w:rFonts w:ascii="Arial" w:hAnsi="Arial" w:cs="Arial"/>
                <w:color w:val="auto"/>
                <w:sz w:val="20"/>
              </w:rPr>
              <w:t xml:space="preserve"> test score</w:t>
            </w:r>
            <w:r w:rsidR="007525AC" w:rsidRPr="00A83709">
              <w:rPr>
                <w:rFonts w:ascii="Arial" w:hAnsi="Arial" w:cs="Arial"/>
                <w:color w:val="auto"/>
                <w:sz w:val="20"/>
              </w:rPr>
              <w:t>.</w:t>
            </w:r>
            <w:r w:rsidRPr="00A83709">
              <w:rPr>
                <w:rFonts w:ascii="Arial" w:hAnsi="Arial" w:cs="Arial"/>
                <w:color w:val="auto"/>
                <w:sz w:val="20"/>
              </w:rPr>
              <w:t xml:space="preserve"> </w:t>
            </w:r>
            <w:r w:rsidR="00EA4370" w:rsidRPr="00A83709">
              <w:rPr>
                <w:rFonts w:ascii="Arial" w:hAnsi="Arial" w:cs="Arial"/>
                <w:color w:val="auto"/>
                <w:sz w:val="20"/>
              </w:rPr>
              <w:t>(</w:t>
            </w:r>
            <w:r w:rsidR="004375F0" w:rsidRPr="00A83709">
              <w:rPr>
                <w:rFonts w:ascii="Arial" w:hAnsi="Arial" w:cs="Arial"/>
                <w:color w:val="auto"/>
                <w:sz w:val="20"/>
              </w:rPr>
              <w:t>Includes</w:t>
            </w:r>
            <w:r w:rsidRPr="00A83709">
              <w:rPr>
                <w:rFonts w:ascii="Arial" w:hAnsi="Arial" w:cs="Arial"/>
                <w:color w:val="auto"/>
                <w:sz w:val="20"/>
              </w:rPr>
              <w:t xml:space="preserve"> retest</w:t>
            </w:r>
            <w:r w:rsidR="004375F0" w:rsidRPr="00A83709">
              <w:rPr>
                <w:rFonts w:ascii="Arial" w:hAnsi="Arial" w:cs="Arial"/>
                <w:color w:val="auto"/>
                <w:sz w:val="20"/>
              </w:rPr>
              <w:t>s</w:t>
            </w:r>
            <w:r w:rsidRPr="00A83709">
              <w:rPr>
                <w:rFonts w:ascii="Arial" w:hAnsi="Arial" w:cs="Arial"/>
                <w:color w:val="auto"/>
                <w:sz w:val="20"/>
              </w:rPr>
              <w:t xml:space="preserve">  </w:t>
            </w:r>
          </w:p>
          <w:p w14:paraId="6CB7287F" w14:textId="77777777" w:rsidR="00C80A51" w:rsidRPr="00A83709" w:rsidRDefault="00C80A51" w:rsidP="00C80A51">
            <w:pPr>
              <w:spacing w:line="240" w:lineRule="auto"/>
              <w:rPr>
                <w:rFonts w:ascii="Arial" w:hAnsi="Arial" w:cs="Arial"/>
                <w:color w:val="auto"/>
                <w:sz w:val="20"/>
              </w:rPr>
            </w:pPr>
            <w:r w:rsidRPr="00A83709">
              <w:rPr>
                <w:rFonts w:ascii="Arial" w:hAnsi="Arial" w:cs="Arial"/>
                <w:color w:val="auto"/>
                <w:sz w:val="20"/>
              </w:rPr>
              <w:t xml:space="preserve"> taken during the testing window within  </w:t>
            </w:r>
          </w:p>
          <w:p w14:paraId="1F2692CA" w14:textId="148621EF" w:rsidR="00426C06" w:rsidRPr="00A83709" w:rsidRDefault="00C80A51" w:rsidP="00D527A6">
            <w:pPr>
              <w:spacing w:line="240" w:lineRule="auto"/>
              <w:rPr>
                <w:rFonts w:ascii="Arial" w:hAnsi="Arial" w:cs="Arial"/>
                <w:color w:val="auto"/>
                <w:sz w:val="20"/>
              </w:rPr>
            </w:pPr>
            <w:r w:rsidRPr="00A83709">
              <w:rPr>
                <w:rFonts w:ascii="Arial" w:hAnsi="Arial" w:cs="Arial"/>
                <w:color w:val="auto"/>
                <w:sz w:val="20"/>
              </w:rPr>
              <w:t xml:space="preserve"> the school year</w:t>
            </w:r>
            <w:r w:rsidR="00426C06" w:rsidRPr="00A83709">
              <w:rPr>
                <w:rFonts w:ascii="Arial" w:hAnsi="Arial" w:cs="Arial"/>
                <w:color w:val="auto"/>
                <w:sz w:val="20"/>
              </w:rPr>
              <w:t xml:space="preserve"> </w:t>
            </w:r>
            <w:r w:rsidR="00C27F6D" w:rsidRPr="00A83709">
              <w:rPr>
                <w:rFonts w:ascii="Arial" w:hAnsi="Arial" w:cs="Arial"/>
                <w:color w:val="auto"/>
                <w:sz w:val="20"/>
              </w:rPr>
              <w:t xml:space="preserve">or </w:t>
            </w:r>
            <w:proofErr w:type="gramStart"/>
            <w:r w:rsidR="00631EA8" w:rsidRPr="00A83709">
              <w:rPr>
                <w:rFonts w:ascii="Arial" w:hAnsi="Arial" w:cs="Arial"/>
                <w:color w:val="auto"/>
                <w:sz w:val="20"/>
              </w:rPr>
              <w:t xml:space="preserve">during </w:t>
            </w:r>
            <w:r w:rsidR="00426C06" w:rsidRPr="00A83709">
              <w:rPr>
                <w:rFonts w:ascii="Arial" w:hAnsi="Arial" w:cs="Arial"/>
                <w:color w:val="auto"/>
                <w:sz w:val="20"/>
              </w:rPr>
              <w:t xml:space="preserve"> summer</w:t>
            </w:r>
            <w:proofErr w:type="gramEnd"/>
            <w:r w:rsidR="00426C06" w:rsidRPr="00A83709">
              <w:rPr>
                <w:rFonts w:ascii="Arial" w:hAnsi="Arial" w:cs="Arial"/>
                <w:color w:val="auto"/>
                <w:sz w:val="20"/>
              </w:rPr>
              <w:t xml:space="preserve"> </w:t>
            </w:r>
          </w:p>
          <w:p w14:paraId="482AAA59" w14:textId="40415E18" w:rsidR="00C80A51" w:rsidRPr="00A83709" w:rsidRDefault="00426C06" w:rsidP="00D527A6">
            <w:pPr>
              <w:spacing w:line="240" w:lineRule="auto"/>
              <w:rPr>
                <w:rFonts w:ascii="Arial" w:hAnsi="Arial" w:cs="Arial"/>
                <w:color w:val="auto"/>
                <w:sz w:val="20"/>
              </w:rPr>
            </w:pPr>
            <w:r w:rsidRPr="00A83709">
              <w:rPr>
                <w:rFonts w:ascii="Arial" w:hAnsi="Arial" w:cs="Arial"/>
                <w:color w:val="auto"/>
                <w:sz w:val="20"/>
              </w:rPr>
              <w:t xml:space="preserve"> </w:t>
            </w:r>
            <w:r w:rsidR="426D0E7B" w:rsidRPr="00A83709">
              <w:rPr>
                <w:rFonts w:ascii="Arial" w:hAnsi="Arial" w:cs="Arial"/>
                <w:color w:val="auto"/>
                <w:sz w:val="20"/>
              </w:rPr>
              <w:t>P</w:t>
            </w:r>
            <w:r w:rsidRPr="00A83709">
              <w:rPr>
                <w:rFonts w:ascii="Arial" w:hAnsi="Arial" w:cs="Arial"/>
                <w:color w:val="auto"/>
                <w:sz w:val="20"/>
              </w:rPr>
              <w:t>rogram</w:t>
            </w:r>
            <w:r w:rsidR="426D0E7B" w:rsidRPr="00A83709">
              <w:rPr>
                <w:rFonts w:ascii="Arial" w:hAnsi="Arial" w:cs="Arial"/>
                <w:color w:val="auto"/>
                <w:sz w:val="20"/>
              </w:rPr>
              <w:t xml:space="preserve"> if completed by July 6</w:t>
            </w:r>
            <w:r w:rsidR="004375F0" w:rsidRPr="00A83709">
              <w:rPr>
                <w:rFonts w:ascii="Arial" w:hAnsi="Arial" w:cs="Arial"/>
                <w:color w:val="auto"/>
                <w:sz w:val="20"/>
              </w:rPr>
              <w:t>.</w:t>
            </w:r>
            <w:r w:rsidR="00EA4370" w:rsidRPr="00A83709">
              <w:rPr>
                <w:rFonts w:ascii="Arial" w:hAnsi="Arial" w:cs="Arial"/>
                <w:color w:val="auto"/>
                <w:sz w:val="20"/>
              </w:rPr>
              <w:t>)</w:t>
            </w:r>
          </w:p>
        </w:tc>
        <w:tc>
          <w:tcPr>
            <w:tcW w:w="1336" w:type="dxa"/>
            <w:tcBorders>
              <w:top w:val="nil"/>
              <w:left w:val="nil"/>
              <w:bottom w:val="single" w:sz="6" w:space="0" w:color="auto"/>
              <w:right w:val="single" w:sz="6" w:space="0" w:color="auto"/>
            </w:tcBorders>
            <w:vAlign w:val="center"/>
          </w:tcPr>
          <w:p w14:paraId="27D606A1" w14:textId="3CEBB518" w:rsidR="00C80A51" w:rsidRPr="00A83709" w:rsidRDefault="000F7B68">
            <w:pPr>
              <w:spacing w:line="240" w:lineRule="auto"/>
              <w:jc w:val="center"/>
              <w:rPr>
                <w:rFonts w:ascii="Arial" w:hAnsi="Arial" w:cs="Arial"/>
                <w:noProof/>
                <w:color w:val="auto"/>
                <w:sz w:val="20"/>
              </w:rPr>
            </w:pPr>
            <w:r>
              <w:rPr>
                <w:rFonts w:ascii="Arial" w:hAnsi="Arial" w:cs="Arial"/>
                <w:color w:val="auto"/>
                <w:sz w:val="20"/>
              </w:rPr>
              <w:t>-</w:t>
            </w:r>
          </w:p>
        </w:tc>
        <w:tc>
          <w:tcPr>
            <w:tcW w:w="1158" w:type="dxa"/>
            <w:tcBorders>
              <w:top w:val="nil"/>
              <w:left w:val="nil"/>
              <w:bottom w:val="single" w:sz="6" w:space="0" w:color="auto"/>
              <w:right w:val="single" w:sz="6" w:space="0" w:color="auto"/>
            </w:tcBorders>
            <w:vAlign w:val="center"/>
          </w:tcPr>
          <w:p w14:paraId="58C91059" w14:textId="360AC0E3" w:rsidR="00C80A51"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c>
          <w:tcPr>
            <w:tcW w:w="1203" w:type="dxa"/>
            <w:tcBorders>
              <w:top w:val="nil"/>
              <w:left w:val="nil"/>
              <w:bottom w:val="single" w:sz="6" w:space="0" w:color="auto"/>
              <w:right w:val="single" w:sz="6" w:space="0" w:color="auto"/>
            </w:tcBorders>
            <w:vAlign w:val="center"/>
          </w:tcPr>
          <w:p w14:paraId="34851993" w14:textId="0CCAC611" w:rsidR="00C80A51" w:rsidRPr="00A83709" w:rsidRDefault="005C5479">
            <w:pPr>
              <w:spacing w:line="240" w:lineRule="auto"/>
              <w:jc w:val="center"/>
              <w:rPr>
                <w:rFonts w:ascii="Arial" w:hAnsi="Arial" w:cs="Arial"/>
                <w:noProof/>
                <w:color w:val="auto"/>
                <w:sz w:val="20"/>
              </w:rPr>
            </w:pPr>
            <w:r w:rsidRPr="00A83709">
              <w:rPr>
                <w:rFonts w:ascii="Arial" w:hAnsi="Arial" w:cs="Arial"/>
                <w:noProof/>
                <w:color w:val="auto"/>
                <w:sz w:val="20"/>
              </w:rPr>
              <w:t>Yes</w:t>
            </w:r>
          </w:p>
        </w:tc>
        <w:tc>
          <w:tcPr>
            <w:tcW w:w="1351" w:type="dxa"/>
            <w:tcBorders>
              <w:top w:val="nil"/>
              <w:left w:val="nil"/>
              <w:bottom w:val="single" w:sz="6" w:space="0" w:color="auto"/>
              <w:right w:val="single" w:sz="6" w:space="0" w:color="auto"/>
            </w:tcBorders>
            <w:vAlign w:val="center"/>
          </w:tcPr>
          <w:p w14:paraId="7132DDD0" w14:textId="4388FFD7" w:rsidR="00C80A51" w:rsidRPr="00A83709" w:rsidRDefault="005C5479">
            <w:pPr>
              <w:spacing w:line="240" w:lineRule="auto"/>
              <w:jc w:val="center"/>
              <w:rPr>
                <w:rFonts w:ascii="Arial" w:hAnsi="Arial" w:cs="Arial"/>
                <w:color w:val="auto"/>
                <w:sz w:val="20"/>
              </w:rPr>
            </w:pPr>
            <w:r w:rsidRPr="00A83709">
              <w:rPr>
                <w:rFonts w:ascii="Arial" w:hAnsi="Arial" w:cs="Arial"/>
                <w:noProof/>
                <w:color w:val="auto"/>
                <w:sz w:val="20"/>
              </w:rPr>
              <w:t>Yes</w:t>
            </w:r>
          </w:p>
        </w:tc>
      </w:tr>
      <w:tr w:rsidR="005C178C" w:rsidRPr="00A83709" w14:paraId="23D86528" w14:textId="77777777" w:rsidTr="003B4FAE">
        <w:trPr>
          <w:trHeight w:val="477"/>
        </w:trPr>
        <w:tc>
          <w:tcPr>
            <w:tcW w:w="4159" w:type="dxa"/>
            <w:tcBorders>
              <w:top w:val="nil"/>
              <w:left w:val="single" w:sz="6" w:space="0" w:color="auto"/>
              <w:bottom w:val="single" w:sz="6" w:space="0" w:color="auto"/>
              <w:right w:val="single" w:sz="6" w:space="0" w:color="auto"/>
            </w:tcBorders>
            <w:vAlign w:val="center"/>
            <w:hideMark/>
          </w:tcPr>
          <w:p w14:paraId="5097DA33" w14:textId="77777777" w:rsidR="00B8724E" w:rsidRPr="00A83709" w:rsidRDefault="005C178C">
            <w:pPr>
              <w:spacing w:line="240" w:lineRule="auto"/>
              <w:rPr>
                <w:rFonts w:ascii="Arial" w:hAnsi="Arial" w:cs="Arial"/>
                <w:color w:val="auto"/>
                <w:sz w:val="20"/>
              </w:rPr>
            </w:pPr>
            <w:r w:rsidRPr="00A83709">
              <w:rPr>
                <w:rFonts w:ascii="Arial" w:hAnsi="Arial" w:cs="Arial"/>
                <w:color w:val="auto"/>
                <w:sz w:val="20"/>
              </w:rPr>
              <w:t xml:space="preserve"> Uses scores at a specific grade level for EOC </w:t>
            </w:r>
            <w:r w:rsidR="00B8724E" w:rsidRPr="00A83709">
              <w:rPr>
                <w:rFonts w:ascii="Arial" w:hAnsi="Arial" w:cs="Arial"/>
                <w:color w:val="auto"/>
                <w:sz w:val="20"/>
              </w:rPr>
              <w:t xml:space="preserve"> </w:t>
            </w:r>
          </w:p>
          <w:p w14:paraId="6DD4A771" w14:textId="0AF47F95" w:rsidR="005C178C" w:rsidRPr="00A83709" w:rsidRDefault="00B8724E" w:rsidP="00B8724E">
            <w:pPr>
              <w:spacing w:line="240" w:lineRule="auto"/>
              <w:rPr>
                <w:rFonts w:ascii="Arial" w:hAnsi="Arial" w:cs="Arial"/>
                <w:color w:val="auto"/>
                <w:sz w:val="20"/>
              </w:rPr>
            </w:pPr>
            <w:r w:rsidRPr="00A83709">
              <w:rPr>
                <w:rFonts w:ascii="Arial" w:hAnsi="Arial" w:cs="Arial"/>
                <w:color w:val="auto"/>
                <w:sz w:val="20"/>
              </w:rPr>
              <w:t xml:space="preserve"> </w:t>
            </w:r>
            <w:r w:rsidR="005C178C" w:rsidRPr="00A83709">
              <w:rPr>
                <w:rFonts w:ascii="Arial" w:hAnsi="Arial" w:cs="Arial"/>
                <w:color w:val="auto"/>
                <w:sz w:val="20"/>
              </w:rPr>
              <w:t>(i.e., grade ten or grade eleven)  </w:t>
            </w:r>
          </w:p>
        </w:tc>
        <w:tc>
          <w:tcPr>
            <w:tcW w:w="1336" w:type="dxa"/>
            <w:tcBorders>
              <w:top w:val="nil"/>
              <w:left w:val="nil"/>
              <w:bottom w:val="single" w:sz="6" w:space="0" w:color="auto"/>
              <w:right w:val="single" w:sz="6" w:space="0" w:color="auto"/>
            </w:tcBorders>
            <w:vAlign w:val="center"/>
            <w:hideMark/>
          </w:tcPr>
          <w:p w14:paraId="12287CCF" w14:textId="151891F6"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c>
          <w:tcPr>
            <w:tcW w:w="1158" w:type="dxa"/>
            <w:tcBorders>
              <w:top w:val="nil"/>
              <w:left w:val="nil"/>
              <w:bottom w:val="single" w:sz="6" w:space="0" w:color="auto"/>
              <w:right w:val="single" w:sz="6" w:space="0" w:color="auto"/>
            </w:tcBorders>
            <w:vAlign w:val="center"/>
            <w:hideMark/>
          </w:tcPr>
          <w:p w14:paraId="3648D443" w14:textId="398F3475" w:rsidR="005C178C" w:rsidRPr="00A83709" w:rsidRDefault="000F7B68">
            <w:pPr>
              <w:spacing w:line="240" w:lineRule="auto"/>
              <w:jc w:val="center"/>
              <w:rPr>
                <w:rFonts w:ascii="Arial" w:hAnsi="Arial" w:cs="Arial"/>
                <w:color w:val="auto"/>
                <w:sz w:val="20"/>
              </w:rPr>
            </w:pPr>
            <w:r>
              <w:rPr>
                <w:rFonts w:ascii="Arial" w:hAnsi="Arial" w:cs="Arial"/>
                <w:color w:val="auto"/>
                <w:sz w:val="20"/>
              </w:rPr>
              <w:t>-</w:t>
            </w:r>
          </w:p>
        </w:tc>
        <w:tc>
          <w:tcPr>
            <w:tcW w:w="1203" w:type="dxa"/>
            <w:tcBorders>
              <w:top w:val="nil"/>
              <w:left w:val="nil"/>
              <w:bottom w:val="single" w:sz="6" w:space="0" w:color="auto"/>
              <w:right w:val="single" w:sz="6" w:space="0" w:color="auto"/>
            </w:tcBorders>
            <w:vAlign w:val="center"/>
            <w:hideMark/>
          </w:tcPr>
          <w:p w14:paraId="2303D79F" w14:textId="5EDC8462" w:rsidR="005C178C" w:rsidRPr="00A83709" w:rsidRDefault="005C5479">
            <w:pPr>
              <w:spacing w:line="240" w:lineRule="auto"/>
              <w:jc w:val="center"/>
              <w:rPr>
                <w:rFonts w:ascii="Arial" w:hAnsi="Arial" w:cs="Arial"/>
                <w:color w:val="auto"/>
                <w:sz w:val="20"/>
                <w:vertAlign w:val="superscript"/>
              </w:rPr>
            </w:pPr>
            <w:r w:rsidRPr="00A83709">
              <w:rPr>
                <w:rFonts w:ascii="Arial" w:hAnsi="Arial" w:cs="Arial"/>
                <w:noProof/>
                <w:color w:val="auto"/>
                <w:sz w:val="20"/>
              </w:rPr>
              <w:t xml:space="preserve"> Yes</w:t>
            </w:r>
            <w:r w:rsidR="00C433CC" w:rsidRPr="00A83709">
              <w:rPr>
                <w:rFonts w:ascii="Arial" w:hAnsi="Arial" w:cs="Arial"/>
                <w:noProof/>
                <w:color w:val="auto"/>
                <w:sz w:val="20"/>
              </w:rPr>
              <w:fldChar w:fldCharType="begin"/>
            </w:r>
            <w:r w:rsidR="00C433CC" w:rsidRPr="00A83709">
              <w:rPr>
                <w:rFonts w:ascii="Arial" w:hAnsi="Arial" w:cs="Arial"/>
                <w:noProof/>
                <w:color w:val="auto"/>
                <w:sz w:val="20"/>
              </w:rPr>
              <w:instrText xml:space="preserve"> NOTEREF _Ref219484091 \f \h  \* MERGEFORMAT </w:instrText>
            </w:r>
            <w:r w:rsidR="00C433CC" w:rsidRPr="00A83709">
              <w:rPr>
                <w:rFonts w:ascii="Arial" w:hAnsi="Arial" w:cs="Arial"/>
                <w:noProof/>
                <w:color w:val="auto"/>
                <w:sz w:val="20"/>
              </w:rPr>
            </w:r>
            <w:r w:rsidR="00C433CC" w:rsidRPr="00A83709">
              <w:rPr>
                <w:rFonts w:ascii="Arial" w:hAnsi="Arial" w:cs="Arial"/>
                <w:noProof/>
                <w:color w:val="auto"/>
                <w:sz w:val="20"/>
              </w:rPr>
              <w:fldChar w:fldCharType="separate"/>
            </w:r>
            <w:r w:rsidR="00DB67EF" w:rsidRPr="00DB67EF">
              <w:rPr>
                <w:rStyle w:val="FootnoteReference"/>
                <w:rFonts w:ascii="Arial" w:hAnsi="Arial" w:cs="Arial"/>
                <w:color w:val="auto"/>
                <w:sz w:val="20"/>
              </w:rPr>
              <w:t>1</w:t>
            </w:r>
            <w:r w:rsidR="00C433CC" w:rsidRPr="00A83709">
              <w:rPr>
                <w:rFonts w:ascii="Arial" w:hAnsi="Arial" w:cs="Arial"/>
                <w:noProof/>
                <w:color w:val="auto"/>
                <w:sz w:val="20"/>
              </w:rPr>
              <w:fldChar w:fldCharType="end"/>
            </w:r>
          </w:p>
        </w:tc>
        <w:tc>
          <w:tcPr>
            <w:tcW w:w="1351" w:type="dxa"/>
            <w:tcBorders>
              <w:top w:val="nil"/>
              <w:left w:val="nil"/>
              <w:bottom w:val="single" w:sz="6" w:space="0" w:color="auto"/>
              <w:right w:val="single" w:sz="6" w:space="0" w:color="auto"/>
            </w:tcBorders>
            <w:vAlign w:val="center"/>
            <w:hideMark/>
          </w:tcPr>
          <w:p w14:paraId="6573BAF6" w14:textId="45DC4512" w:rsidR="005C178C" w:rsidRPr="00A83709" w:rsidRDefault="000F7B68">
            <w:pPr>
              <w:spacing w:line="240" w:lineRule="auto"/>
              <w:jc w:val="center"/>
              <w:rPr>
                <w:rFonts w:ascii="Arial" w:hAnsi="Arial" w:cs="Arial"/>
                <w:color w:val="auto"/>
                <w:sz w:val="20"/>
              </w:rPr>
            </w:pPr>
            <w:r>
              <w:rPr>
                <w:rFonts w:ascii="Arial" w:hAnsi="Arial" w:cs="Arial"/>
                <w:color w:val="auto"/>
                <w:sz w:val="20"/>
              </w:rPr>
              <w:t>-</w:t>
            </w:r>
          </w:p>
        </w:tc>
      </w:tr>
      <w:tr w:rsidR="005C178C" w:rsidRPr="00A83709" w14:paraId="01E8CE47" w14:textId="77777777" w:rsidTr="003B4FAE">
        <w:trPr>
          <w:trHeight w:val="461"/>
        </w:trPr>
        <w:tc>
          <w:tcPr>
            <w:tcW w:w="4159" w:type="dxa"/>
            <w:tcBorders>
              <w:top w:val="nil"/>
              <w:left w:val="single" w:sz="6" w:space="0" w:color="auto"/>
              <w:bottom w:val="single" w:sz="6" w:space="0" w:color="auto"/>
              <w:right w:val="single" w:sz="6" w:space="0" w:color="auto"/>
            </w:tcBorders>
            <w:vAlign w:val="center"/>
            <w:hideMark/>
          </w:tcPr>
          <w:p w14:paraId="3FAD77B0" w14:textId="77777777" w:rsidR="005C178C" w:rsidRPr="00A83709" w:rsidRDefault="005C178C">
            <w:pPr>
              <w:spacing w:line="240" w:lineRule="auto"/>
              <w:rPr>
                <w:rFonts w:ascii="Arial" w:hAnsi="Arial" w:cs="Arial"/>
                <w:color w:val="auto"/>
                <w:sz w:val="20"/>
              </w:rPr>
            </w:pPr>
            <w:r w:rsidRPr="00A83709">
              <w:rPr>
                <w:rFonts w:ascii="Arial" w:hAnsi="Arial" w:cs="Arial"/>
                <w:color w:val="auto"/>
                <w:sz w:val="20"/>
              </w:rPr>
              <w:t xml:space="preserve"> Requires a minimum number of students </w:t>
            </w:r>
          </w:p>
          <w:p w14:paraId="7CD571B3" w14:textId="07746011" w:rsidR="005C178C" w:rsidRPr="00A83709" w:rsidRDefault="005C178C">
            <w:pPr>
              <w:spacing w:line="240" w:lineRule="auto"/>
              <w:rPr>
                <w:rFonts w:ascii="Arial" w:hAnsi="Arial" w:cs="Arial"/>
                <w:color w:val="auto"/>
                <w:sz w:val="20"/>
              </w:rPr>
            </w:pPr>
            <w:r w:rsidRPr="00A83709">
              <w:rPr>
                <w:rFonts w:ascii="Arial" w:hAnsi="Arial" w:cs="Arial"/>
                <w:color w:val="auto"/>
                <w:sz w:val="20"/>
              </w:rPr>
              <w:t xml:space="preserve"> (</w:t>
            </w:r>
            <w:r w:rsidR="00C9635C" w:rsidRPr="00A83709">
              <w:rPr>
                <w:rFonts w:ascii="Arial" w:hAnsi="Arial" w:cs="Arial"/>
                <w:color w:val="auto"/>
                <w:sz w:val="20"/>
              </w:rPr>
              <w:t>m</w:t>
            </w:r>
            <w:r w:rsidRPr="00A83709">
              <w:rPr>
                <w:rFonts w:ascii="Arial" w:hAnsi="Arial" w:cs="Arial"/>
                <w:color w:val="auto"/>
                <w:sz w:val="20"/>
              </w:rPr>
              <w:t>inimum-</w:t>
            </w:r>
            <w:r w:rsidR="000B72F0" w:rsidRPr="00A83709">
              <w:rPr>
                <w:rFonts w:ascii="Arial" w:hAnsi="Arial" w:cs="Arial"/>
                <w:color w:val="auto"/>
                <w:sz w:val="20"/>
              </w:rPr>
              <w:t>n</w:t>
            </w:r>
            <w:r w:rsidRPr="00A83709">
              <w:rPr>
                <w:rFonts w:ascii="Arial" w:hAnsi="Arial" w:cs="Arial"/>
                <w:color w:val="auto"/>
                <w:sz w:val="20"/>
              </w:rPr>
              <w:t xml:space="preserve">) </w:t>
            </w:r>
          </w:p>
        </w:tc>
        <w:tc>
          <w:tcPr>
            <w:tcW w:w="1336" w:type="dxa"/>
            <w:tcBorders>
              <w:top w:val="nil"/>
              <w:left w:val="nil"/>
              <w:bottom w:val="single" w:sz="6" w:space="0" w:color="auto"/>
              <w:right w:val="single" w:sz="6" w:space="0" w:color="auto"/>
            </w:tcBorders>
            <w:vAlign w:val="center"/>
            <w:hideMark/>
          </w:tcPr>
          <w:p w14:paraId="2377ED45" w14:textId="77777777" w:rsidR="005C178C" w:rsidRPr="00A83709" w:rsidRDefault="005C178C">
            <w:pPr>
              <w:spacing w:line="240" w:lineRule="auto"/>
              <w:jc w:val="center"/>
              <w:rPr>
                <w:rFonts w:ascii="Arial" w:hAnsi="Arial" w:cs="Arial"/>
                <w:color w:val="auto"/>
                <w:sz w:val="20"/>
              </w:rPr>
            </w:pPr>
            <w:r w:rsidRPr="00A83709">
              <w:rPr>
                <w:rFonts w:ascii="Arial" w:hAnsi="Arial" w:cs="Arial"/>
                <w:color w:val="auto"/>
                <w:sz w:val="20"/>
              </w:rPr>
              <w:t>N/A</w:t>
            </w:r>
          </w:p>
        </w:tc>
        <w:tc>
          <w:tcPr>
            <w:tcW w:w="1158" w:type="dxa"/>
            <w:tcBorders>
              <w:top w:val="nil"/>
              <w:left w:val="nil"/>
              <w:bottom w:val="single" w:sz="6" w:space="0" w:color="auto"/>
              <w:right w:val="single" w:sz="6" w:space="0" w:color="auto"/>
            </w:tcBorders>
            <w:vAlign w:val="center"/>
            <w:hideMark/>
          </w:tcPr>
          <w:p w14:paraId="4AD632AD" w14:textId="77777777" w:rsidR="005C178C" w:rsidRPr="00A83709" w:rsidRDefault="005C178C">
            <w:pPr>
              <w:spacing w:line="240" w:lineRule="auto"/>
              <w:jc w:val="center"/>
              <w:rPr>
                <w:rFonts w:ascii="Arial" w:hAnsi="Arial" w:cs="Arial"/>
                <w:color w:val="auto"/>
                <w:sz w:val="20"/>
              </w:rPr>
            </w:pPr>
            <w:r w:rsidRPr="00A83709">
              <w:rPr>
                <w:rFonts w:ascii="Arial" w:hAnsi="Arial" w:cs="Arial"/>
                <w:color w:val="auto"/>
                <w:sz w:val="20"/>
              </w:rPr>
              <w:t>10</w:t>
            </w:r>
          </w:p>
        </w:tc>
        <w:tc>
          <w:tcPr>
            <w:tcW w:w="1203" w:type="dxa"/>
            <w:tcBorders>
              <w:top w:val="nil"/>
              <w:left w:val="nil"/>
              <w:bottom w:val="single" w:sz="6" w:space="0" w:color="auto"/>
              <w:right w:val="single" w:sz="6" w:space="0" w:color="auto"/>
            </w:tcBorders>
            <w:vAlign w:val="center"/>
            <w:hideMark/>
          </w:tcPr>
          <w:p w14:paraId="1663030C" w14:textId="77777777" w:rsidR="005C178C" w:rsidRPr="00A83709" w:rsidRDefault="005C178C">
            <w:pPr>
              <w:spacing w:line="240" w:lineRule="auto"/>
              <w:jc w:val="center"/>
              <w:rPr>
                <w:rFonts w:ascii="Arial" w:hAnsi="Arial" w:cs="Arial"/>
                <w:color w:val="auto"/>
                <w:sz w:val="20"/>
              </w:rPr>
            </w:pPr>
            <w:r w:rsidRPr="00A83709">
              <w:rPr>
                <w:rFonts w:ascii="Arial" w:hAnsi="Arial" w:cs="Arial"/>
                <w:color w:val="auto"/>
                <w:sz w:val="20"/>
              </w:rPr>
              <w:t>30</w:t>
            </w:r>
          </w:p>
        </w:tc>
        <w:tc>
          <w:tcPr>
            <w:tcW w:w="1351" w:type="dxa"/>
            <w:tcBorders>
              <w:top w:val="nil"/>
              <w:left w:val="nil"/>
              <w:bottom w:val="single" w:sz="6" w:space="0" w:color="auto"/>
              <w:right w:val="single" w:sz="6" w:space="0" w:color="auto"/>
            </w:tcBorders>
            <w:vAlign w:val="center"/>
            <w:hideMark/>
          </w:tcPr>
          <w:p w14:paraId="6F78A1EC" w14:textId="77777777" w:rsidR="005C178C" w:rsidRPr="00A83709" w:rsidRDefault="005C178C">
            <w:pPr>
              <w:spacing w:line="240" w:lineRule="auto"/>
              <w:jc w:val="center"/>
              <w:rPr>
                <w:rFonts w:ascii="Arial" w:hAnsi="Arial" w:cs="Arial"/>
                <w:color w:val="auto"/>
                <w:sz w:val="20"/>
              </w:rPr>
            </w:pPr>
            <w:r w:rsidRPr="00A83709">
              <w:rPr>
                <w:rFonts w:ascii="Arial" w:hAnsi="Arial" w:cs="Arial"/>
                <w:color w:val="auto"/>
                <w:sz w:val="20"/>
              </w:rPr>
              <w:t>30</w:t>
            </w:r>
          </w:p>
        </w:tc>
      </w:tr>
      <w:tr w:rsidR="005C178C" w:rsidRPr="00A83709" w14:paraId="214CD1AF" w14:textId="77777777" w:rsidTr="003B4FAE">
        <w:trPr>
          <w:trHeight w:val="477"/>
        </w:trPr>
        <w:tc>
          <w:tcPr>
            <w:tcW w:w="4159" w:type="dxa"/>
            <w:tcBorders>
              <w:top w:val="nil"/>
              <w:left w:val="single" w:sz="6" w:space="0" w:color="auto"/>
              <w:bottom w:val="single" w:sz="6" w:space="0" w:color="auto"/>
              <w:right w:val="single" w:sz="6" w:space="0" w:color="auto"/>
            </w:tcBorders>
            <w:vAlign w:val="center"/>
            <w:hideMark/>
          </w:tcPr>
          <w:p w14:paraId="5B3E30DD" w14:textId="77777777" w:rsidR="005C178C" w:rsidRPr="00A83709" w:rsidRDefault="005C178C">
            <w:pPr>
              <w:spacing w:line="240" w:lineRule="auto"/>
              <w:rPr>
                <w:rFonts w:ascii="Arial" w:hAnsi="Arial" w:cs="Arial"/>
                <w:color w:val="auto"/>
                <w:sz w:val="20"/>
              </w:rPr>
            </w:pPr>
            <w:r w:rsidRPr="00A83709">
              <w:rPr>
                <w:rFonts w:ascii="Arial" w:hAnsi="Arial" w:cs="Arial"/>
                <w:color w:val="auto"/>
                <w:sz w:val="20"/>
              </w:rPr>
              <w:t xml:space="preserve"> Reading, mathematics, and science tests use  </w:t>
            </w:r>
          </w:p>
          <w:p w14:paraId="7BE57B88" w14:textId="57D8DC27" w:rsidR="005C178C" w:rsidRPr="00A83709" w:rsidRDefault="005C178C">
            <w:pPr>
              <w:spacing w:line="240" w:lineRule="auto"/>
              <w:rPr>
                <w:rFonts w:ascii="Arial" w:hAnsi="Arial" w:cs="Arial"/>
                <w:color w:val="auto"/>
                <w:sz w:val="20"/>
              </w:rPr>
            </w:pPr>
            <w:r w:rsidRPr="00A83709">
              <w:rPr>
                <w:rFonts w:ascii="Arial" w:hAnsi="Arial" w:cs="Arial"/>
                <w:color w:val="auto"/>
                <w:sz w:val="20"/>
              </w:rPr>
              <w:t xml:space="preserve"> Levels 3, 4, and 5 (</w:t>
            </w:r>
            <w:r w:rsidR="00D11592" w:rsidRPr="00A83709">
              <w:rPr>
                <w:rFonts w:ascii="Arial" w:hAnsi="Arial" w:cs="Arial"/>
                <w:color w:val="auto"/>
                <w:sz w:val="20"/>
              </w:rPr>
              <w:t>i.e., g</w:t>
            </w:r>
            <w:r w:rsidRPr="00A83709">
              <w:rPr>
                <w:rFonts w:ascii="Arial" w:hAnsi="Arial" w:cs="Arial"/>
                <w:color w:val="auto"/>
                <w:sz w:val="20"/>
              </w:rPr>
              <w:t>rade-</w:t>
            </w:r>
            <w:r w:rsidR="00D11592" w:rsidRPr="00A83709">
              <w:rPr>
                <w:rFonts w:ascii="Arial" w:hAnsi="Arial" w:cs="Arial"/>
                <w:color w:val="auto"/>
                <w:sz w:val="20"/>
              </w:rPr>
              <w:t>l</w:t>
            </w:r>
            <w:r w:rsidRPr="00A83709">
              <w:rPr>
                <w:rFonts w:ascii="Arial" w:hAnsi="Arial" w:cs="Arial"/>
                <w:color w:val="auto"/>
                <w:sz w:val="20"/>
              </w:rPr>
              <w:t xml:space="preserve">evel </w:t>
            </w:r>
            <w:r w:rsidR="00D11592" w:rsidRPr="00A83709">
              <w:rPr>
                <w:rFonts w:ascii="Arial" w:hAnsi="Arial" w:cs="Arial"/>
                <w:color w:val="auto"/>
                <w:sz w:val="20"/>
              </w:rPr>
              <w:t>p</w:t>
            </w:r>
            <w:r w:rsidRPr="00A83709">
              <w:rPr>
                <w:rFonts w:ascii="Arial" w:hAnsi="Arial" w:cs="Arial"/>
                <w:color w:val="auto"/>
                <w:sz w:val="20"/>
              </w:rPr>
              <w:t>roficient) </w:t>
            </w:r>
          </w:p>
        </w:tc>
        <w:tc>
          <w:tcPr>
            <w:tcW w:w="1336" w:type="dxa"/>
            <w:tcBorders>
              <w:top w:val="nil"/>
              <w:left w:val="nil"/>
              <w:bottom w:val="single" w:sz="6" w:space="0" w:color="auto"/>
              <w:right w:val="single" w:sz="6" w:space="0" w:color="auto"/>
            </w:tcBorders>
            <w:vAlign w:val="center"/>
            <w:hideMark/>
          </w:tcPr>
          <w:p w14:paraId="2DC0FACE" w14:textId="77777777" w:rsidR="005C178C" w:rsidRPr="00A83709" w:rsidRDefault="005C178C">
            <w:pPr>
              <w:spacing w:line="240" w:lineRule="auto"/>
              <w:jc w:val="center"/>
              <w:rPr>
                <w:rFonts w:ascii="Arial" w:hAnsi="Arial" w:cs="Arial"/>
                <w:color w:val="auto"/>
                <w:sz w:val="20"/>
              </w:rPr>
            </w:pPr>
            <w:r w:rsidRPr="00A83709">
              <w:rPr>
                <w:rFonts w:ascii="Arial" w:hAnsi="Arial" w:cs="Arial"/>
                <w:color w:val="auto"/>
                <w:sz w:val="20"/>
              </w:rPr>
              <w:t>N/A</w:t>
            </w:r>
          </w:p>
        </w:tc>
        <w:tc>
          <w:tcPr>
            <w:tcW w:w="1158" w:type="dxa"/>
            <w:tcBorders>
              <w:top w:val="nil"/>
              <w:left w:val="nil"/>
              <w:bottom w:val="single" w:sz="6" w:space="0" w:color="auto"/>
              <w:right w:val="single" w:sz="6" w:space="0" w:color="auto"/>
            </w:tcBorders>
            <w:vAlign w:val="center"/>
            <w:hideMark/>
          </w:tcPr>
          <w:p w14:paraId="5F6287FA" w14:textId="4D2C2E8A"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c>
          <w:tcPr>
            <w:tcW w:w="1203" w:type="dxa"/>
            <w:tcBorders>
              <w:top w:val="nil"/>
              <w:left w:val="nil"/>
              <w:bottom w:val="single" w:sz="6" w:space="0" w:color="auto"/>
              <w:right w:val="single" w:sz="6" w:space="0" w:color="auto"/>
            </w:tcBorders>
            <w:vAlign w:val="center"/>
            <w:hideMark/>
          </w:tcPr>
          <w:p w14:paraId="6207652C" w14:textId="0DD2AA74" w:rsidR="005C178C" w:rsidRPr="00A83709" w:rsidRDefault="005C5479">
            <w:pPr>
              <w:spacing w:line="240" w:lineRule="auto"/>
              <w:jc w:val="center"/>
              <w:rPr>
                <w:rFonts w:ascii="Arial" w:hAnsi="Arial" w:cs="Arial"/>
                <w:color w:val="auto"/>
                <w:sz w:val="20"/>
              </w:rPr>
            </w:pPr>
            <w:r w:rsidRPr="00A83709">
              <w:rPr>
                <w:rFonts w:ascii="Arial" w:hAnsi="Arial" w:cs="Arial"/>
                <w:noProof/>
                <w:color w:val="auto"/>
                <w:sz w:val="20"/>
              </w:rPr>
              <w:t>Yes</w:t>
            </w:r>
          </w:p>
        </w:tc>
        <w:tc>
          <w:tcPr>
            <w:tcW w:w="1351" w:type="dxa"/>
            <w:tcBorders>
              <w:top w:val="nil"/>
              <w:left w:val="nil"/>
              <w:bottom w:val="single" w:sz="6" w:space="0" w:color="auto"/>
              <w:right w:val="single" w:sz="6" w:space="0" w:color="auto"/>
            </w:tcBorders>
            <w:vAlign w:val="center"/>
          </w:tcPr>
          <w:p w14:paraId="50C143A4" w14:textId="265185E5"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r>
      <w:tr w:rsidR="005C178C" w:rsidRPr="00A83709" w14:paraId="042FDE94" w14:textId="77777777" w:rsidTr="003B4FAE">
        <w:trPr>
          <w:trHeight w:val="477"/>
        </w:trPr>
        <w:tc>
          <w:tcPr>
            <w:tcW w:w="4159" w:type="dxa"/>
            <w:tcBorders>
              <w:top w:val="nil"/>
              <w:left w:val="single" w:sz="6" w:space="0" w:color="auto"/>
              <w:bottom w:val="single" w:sz="6" w:space="0" w:color="auto"/>
              <w:right w:val="single" w:sz="6" w:space="0" w:color="auto"/>
            </w:tcBorders>
            <w:vAlign w:val="center"/>
            <w:hideMark/>
          </w:tcPr>
          <w:p w14:paraId="1B14D7A8" w14:textId="3582B802" w:rsidR="005C178C" w:rsidRPr="00A83709" w:rsidRDefault="005C178C">
            <w:pPr>
              <w:spacing w:line="240" w:lineRule="auto"/>
              <w:rPr>
                <w:rFonts w:ascii="Arial" w:hAnsi="Arial" w:cs="Arial"/>
                <w:color w:val="auto"/>
                <w:sz w:val="20"/>
              </w:rPr>
            </w:pPr>
            <w:r w:rsidRPr="00A83709">
              <w:rPr>
                <w:rFonts w:ascii="Arial" w:hAnsi="Arial" w:cs="Arial"/>
                <w:color w:val="auto"/>
                <w:sz w:val="20"/>
              </w:rPr>
              <w:t xml:space="preserve"> Reading, mathematics, and science tests use </w:t>
            </w:r>
          </w:p>
          <w:p w14:paraId="130126D3" w14:textId="77777777" w:rsidR="00127F27" w:rsidRPr="00A83709" w:rsidRDefault="005C178C">
            <w:pPr>
              <w:spacing w:line="240" w:lineRule="auto"/>
              <w:rPr>
                <w:rFonts w:ascii="Arial" w:hAnsi="Arial" w:cs="Arial"/>
                <w:color w:val="auto"/>
                <w:sz w:val="20"/>
              </w:rPr>
            </w:pPr>
            <w:r w:rsidRPr="00A83709">
              <w:rPr>
                <w:rFonts w:ascii="Arial" w:hAnsi="Arial" w:cs="Arial"/>
                <w:color w:val="auto"/>
                <w:sz w:val="20"/>
              </w:rPr>
              <w:t xml:space="preserve"> Levels 4 and 5</w:t>
            </w:r>
            <w:r w:rsidR="00D11592" w:rsidRPr="00A83709">
              <w:rPr>
                <w:rFonts w:ascii="Arial" w:hAnsi="Arial" w:cs="Arial"/>
                <w:color w:val="auto"/>
                <w:sz w:val="20"/>
              </w:rPr>
              <w:t xml:space="preserve"> (i.e.,</w:t>
            </w:r>
            <w:r w:rsidRPr="00A83709" w:rsidDel="00D11592">
              <w:rPr>
                <w:rFonts w:ascii="Arial" w:hAnsi="Arial" w:cs="Arial"/>
                <w:color w:val="auto"/>
                <w:sz w:val="20"/>
              </w:rPr>
              <w:t xml:space="preserve"> </w:t>
            </w:r>
            <w:r w:rsidR="00D11592" w:rsidRPr="00A83709">
              <w:rPr>
                <w:rFonts w:ascii="Arial" w:hAnsi="Arial" w:cs="Arial"/>
                <w:color w:val="auto"/>
                <w:sz w:val="20"/>
              </w:rPr>
              <w:t>c</w:t>
            </w:r>
            <w:r w:rsidRPr="00A83709">
              <w:rPr>
                <w:rFonts w:ascii="Arial" w:hAnsi="Arial" w:cs="Arial"/>
                <w:color w:val="auto"/>
                <w:sz w:val="20"/>
              </w:rPr>
              <w:t>ollege</w:t>
            </w:r>
            <w:r w:rsidR="00976E0D" w:rsidRPr="00A83709">
              <w:rPr>
                <w:rFonts w:ascii="Arial" w:hAnsi="Arial" w:cs="Arial"/>
                <w:color w:val="auto"/>
                <w:sz w:val="20"/>
              </w:rPr>
              <w:t>-and-career</w:t>
            </w:r>
            <w:r w:rsidRPr="00A83709">
              <w:rPr>
                <w:rFonts w:ascii="Arial" w:hAnsi="Arial" w:cs="Arial"/>
                <w:color w:val="auto"/>
                <w:sz w:val="20"/>
              </w:rPr>
              <w:t xml:space="preserve"> </w:t>
            </w:r>
            <w:r w:rsidR="00127F27" w:rsidRPr="00A83709">
              <w:rPr>
                <w:rFonts w:ascii="Arial" w:hAnsi="Arial" w:cs="Arial"/>
                <w:color w:val="auto"/>
                <w:sz w:val="20"/>
              </w:rPr>
              <w:t xml:space="preserve"> </w:t>
            </w:r>
          </w:p>
          <w:p w14:paraId="09A1FA89" w14:textId="2E3B2A65" w:rsidR="005C178C" w:rsidRPr="00A83709" w:rsidRDefault="00127F27">
            <w:pPr>
              <w:spacing w:line="240" w:lineRule="auto"/>
              <w:rPr>
                <w:rFonts w:ascii="Arial" w:hAnsi="Arial" w:cs="Arial"/>
                <w:color w:val="auto"/>
                <w:sz w:val="20"/>
              </w:rPr>
            </w:pPr>
            <w:r w:rsidRPr="00A83709">
              <w:rPr>
                <w:rFonts w:ascii="Arial" w:hAnsi="Arial" w:cs="Arial"/>
                <w:color w:val="auto"/>
                <w:sz w:val="20"/>
              </w:rPr>
              <w:t xml:space="preserve"> </w:t>
            </w:r>
            <w:r w:rsidR="00D11592" w:rsidRPr="00A83709">
              <w:rPr>
                <w:rFonts w:ascii="Arial" w:hAnsi="Arial" w:cs="Arial"/>
                <w:color w:val="auto"/>
                <w:sz w:val="20"/>
              </w:rPr>
              <w:t>r</w:t>
            </w:r>
            <w:r w:rsidR="005C178C" w:rsidRPr="00A83709">
              <w:rPr>
                <w:rFonts w:ascii="Arial" w:hAnsi="Arial" w:cs="Arial"/>
                <w:color w:val="auto"/>
                <w:sz w:val="20"/>
              </w:rPr>
              <w:t>eady) </w:t>
            </w:r>
          </w:p>
        </w:tc>
        <w:tc>
          <w:tcPr>
            <w:tcW w:w="1336" w:type="dxa"/>
            <w:tcBorders>
              <w:top w:val="nil"/>
              <w:left w:val="nil"/>
              <w:bottom w:val="single" w:sz="6" w:space="0" w:color="auto"/>
              <w:right w:val="single" w:sz="6" w:space="0" w:color="auto"/>
            </w:tcBorders>
            <w:vAlign w:val="center"/>
            <w:hideMark/>
          </w:tcPr>
          <w:p w14:paraId="26151D95" w14:textId="77777777" w:rsidR="005C178C" w:rsidRPr="00A83709" w:rsidRDefault="005C178C">
            <w:pPr>
              <w:spacing w:line="240" w:lineRule="auto"/>
              <w:jc w:val="center"/>
              <w:rPr>
                <w:rFonts w:ascii="Arial" w:hAnsi="Arial" w:cs="Arial"/>
                <w:color w:val="auto"/>
                <w:sz w:val="20"/>
              </w:rPr>
            </w:pPr>
            <w:r w:rsidRPr="00A83709">
              <w:rPr>
                <w:rFonts w:ascii="Arial" w:hAnsi="Arial" w:cs="Arial"/>
                <w:color w:val="auto"/>
                <w:sz w:val="20"/>
              </w:rPr>
              <w:t>N/A</w:t>
            </w:r>
          </w:p>
        </w:tc>
        <w:tc>
          <w:tcPr>
            <w:tcW w:w="1158" w:type="dxa"/>
            <w:tcBorders>
              <w:top w:val="nil"/>
              <w:left w:val="nil"/>
              <w:bottom w:val="single" w:sz="6" w:space="0" w:color="auto"/>
              <w:right w:val="single" w:sz="6" w:space="0" w:color="auto"/>
            </w:tcBorders>
            <w:vAlign w:val="center"/>
            <w:hideMark/>
          </w:tcPr>
          <w:p w14:paraId="131C9F5E" w14:textId="23E56DDD"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c>
          <w:tcPr>
            <w:tcW w:w="1203" w:type="dxa"/>
            <w:tcBorders>
              <w:top w:val="nil"/>
              <w:left w:val="nil"/>
              <w:bottom w:val="single" w:sz="6" w:space="0" w:color="auto"/>
              <w:right w:val="single" w:sz="6" w:space="0" w:color="auto"/>
            </w:tcBorders>
            <w:vAlign w:val="center"/>
          </w:tcPr>
          <w:p w14:paraId="4C1AA281" w14:textId="3E00DC2F" w:rsidR="005C178C" w:rsidRPr="00A83709" w:rsidRDefault="005C5479">
            <w:pPr>
              <w:spacing w:line="240" w:lineRule="auto"/>
              <w:jc w:val="center"/>
              <w:rPr>
                <w:rFonts w:ascii="Arial" w:hAnsi="Arial" w:cs="Arial"/>
                <w:color w:val="auto"/>
                <w:sz w:val="20"/>
              </w:rPr>
            </w:pPr>
            <w:r w:rsidRPr="00A83709">
              <w:rPr>
                <w:rFonts w:ascii="Arial" w:hAnsi="Arial" w:cs="Arial"/>
                <w:color w:val="auto"/>
                <w:sz w:val="20"/>
              </w:rPr>
              <w:t>Yes</w:t>
            </w:r>
          </w:p>
        </w:tc>
        <w:tc>
          <w:tcPr>
            <w:tcW w:w="1351" w:type="dxa"/>
            <w:tcBorders>
              <w:top w:val="nil"/>
              <w:left w:val="nil"/>
              <w:bottom w:val="single" w:sz="6" w:space="0" w:color="auto"/>
              <w:right w:val="single" w:sz="6" w:space="0" w:color="auto"/>
            </w:tcBorders>
            <w:vAlign w:val="center"/>
            <w:hideMark/>
          </w:tcPr>
          <w:p w14:paraId="34D90209" w14:textId="2E5291D7" w:rsidR="005C178C" w:rsidRPr="00A83709" w:rsidRDefault="000F7B68">
            <w:pPr>
              <w:spacing w:line="240" w:lineRule="auto"/>
              <w:jc w:val="center"/>
              <w:rPr>
                <w:rFonts w:ascii="Arial" w:hAnsi="Arial" w:cs="Arial"/>
                <w:color w:val="auto"/>
                <w:sz w:val="20"/>
              </w:rPr>
            </w:pPr>
            <w:r>
              <w:rPr>
                <w:rFonts w:ascii="Arial" w:hAnsi="Arial" w:cs="Arial"/>
                <w:color w:val="auto"/>
                <w:sz w:val="20"/>
              </w:rPr>
              <w:t>-</w:t>
            </w:r>
          </w:p>
        </w:tc>
      </w:tr>
      <w:tr w:rsidR="005C178C" w:rsidRPr="00A83709" w14:paraId="5C945E41" w14:textId="77777777" w:rsidTr="003B4FAE">
        <w:trPr>
          <w:trHeight w:val="707"/>
        </w:trPr>
        <w:tc>
          <w:tcPr>
            <w:tcW w:w="4159" w:type="dxa"/>
            <w:tcBorders>
              <w:top w:val="nil"/>
              <w:left w:val="single" w:sz="6" w:space="0" w:color="auto"/>
              <w:bottom w:val="single" w:sz="6" w:space="0" w:color="auto"/>
              <w:right w:val="single" w:sz="6" w:space="0" w:color="auto"/>
            </w:tcBorders>
            <w:vAlign w:val="center"/>
            <w:hideMark/>
          </w:tcPr>
          <w:p w14:paraId="630E5298" w14:textId="77777777" w:rsidR="00127F27" w:rsidRPr="00A83709" w:rsidRDefault="005C178C">
            <w:pPr>
              <w:spacing w:line="240" w:lineRule="auto"/>
              <w:rPr>
                <w:rFonts w:ascii="Arial" w:hAnsi="Arial" w:cs="Arial"/>
                <w:color w:val="auto"/>
                <w:sz w:val="20"/>
              </w:rPr>
            </w:pPr>
            <w:r w:rsidRPr="00A83709">
              <w:rPr>
                <w:rFonts w:ascii="Arial" w:hAnsi="Arial" w:cs="Arial"/>
                <w:color w:val="auto"/>
                <w:sz w:val="20"/>
              </w:rPr>
              <w:t xml:space="preserve"> Accountability subgroup reporting </w:t>
            </w:r>
            <w:r w:rsidR="00127F27" w:rsidRPr="00A83709">
              <w:rPr>
                <w:rFonts w:ascii="Arial" w:hAnsi="Arial" w:cs="Arial"/>
                <w:color w:val="auto"/>
                <w:sz w:val="20"/>
              </w:rPr>
              <w:t xml:space="preserve"> </w:t>
            </w:r>
          </w:p>
          <w:p w14:paraId="63E396B0" w14:textId="77777777" w:rsidR="00127F27" w:rsidRPr="00A83709" w:rsidRDefault="00127F27">
            <w:pPr>
              <w:spacing w:line="240" w:lineRule="auto"/>
              <w:rPr>
                <w:rFonts w:ascii="Arial" w:hAnsi="Arial" w:cs="Arial"/>
                <w:color w:val="auto"/>
                <w:sz w:val="20"/>
              </w:rPr>
            </w:pPr>
            <w:r w:rsidRPr="00A83709">
              <w:rPr>
                <w:rFonts w:ascii="Arial" w:hAnsi="Arial" w:cs="Arial"/>
                <w:color w:val="auto"/>
                <w:sz w:val="20"/>
              </w:rPr>
              <w:t xml:space="preserve"> </w:t>
            </w:r>
            <w:r w:rsidR="005C178C" w:rsidRPr="00A83709">
              <w:rPr>
                <w:rFonts w:ascii="Arial" w:hAnsi="Arial" w:cs="Arial"/>
                <w:color w:val="auto"/>
                <w:sz w:val="20"/>
              </w:rPr>
              <w:t>(Racial/Ethnic,</w:t>
            </w:r>
            <w:r w:rsidRPr="00A83709">
              <w:rPr>
                <w:rFonts w:ascii="Arial" w:hAnsi="Arial" w:cs="Arial"/>
                <w:color w:val="auto"/>
                <w:sz w:val="20"/>
              </w:rPr>
              <w:t xml:space="preserve"> </w:t>
            </w:r>
            <w:r w:rsidR="005C178C" w:rsidRPr="00A83709">
              <w:rPr>
                <w:rFonts w:ascii="Arial" w:hAnsi="Arial" w:cs="Arial"/>
                <w:color w:val="auto"/>
                <w:sz w:val="20"/>
              </w:rPr>
              <w:t xml:space="preserve">Students with Disabilities </w:t>
            </w:r>
            <w:r w:rsidRPr="00A83709">
              <w:rPr>
                <w:rFonts w:ascii="Arial" w:hAnsi="Arial" w:cs="Arial"/>
                <w:color w:val="auto"/>
                <w:sz w:val="20"/>
              </w:rPr>
              <w:t xml:space="preserve"> </w:t>
            </w:r>
          </w:p>
          <w:p w14:paraId="180F59A1" w14:textId="77777777" w:rsidR="00127F27" w:rsidRPr="00A83709" w:rsidRDefault="00127F27" w:rsidP="00127F27">
            <w:pPr>
              <w:spacing w:line="240" w:lineRule="auto"/>
              <w:rPr>
                <w:rFonts w:ascii="Arial" w:hAnsi="Arial" w:cs="Arial"/>
                <w:color w:val="auto"/>
                <w:sz w:val="20"/>
              </w:rPr>
            </w:pPr>
            <w:r w:rsidRPr="00A83709">
              <w:rPr>
                <w:rFonts w:ascii="Arial" w:hAnsi="Arial" w:cs="Arial"/>
                <w:color w:val="auto"/>
                <w:sz w:val="20"/>
              </w:rPr>
              <w:t xml:space="preserve"> </w:t>
            </w:r>
            <w:r w:rsidR="00D11592" w:rsidRPr="00A83709">
              <w:rPr>
                <w:rFonts w:ascii="Arial" w:hAnsi="Arial" w:cs="Arial"/>
                <w:color w:val="auto"/>
                <w:sz w:val="20"/>
              </w:rPr>
              <w:t>[</w:t>
            </w:r>
            <w:r w:rsidR="005C178C" w:rsidRPr="00A83709">
              <w:rPr>
                <w:rFonts w:ascii="Arial" w:hAnsi="Arial" w:cs="Arial"/>
                <w:color w:val="auto"/>
                <w:sz w:val="20"/>
              </w:rPr>
              <w:t>SWD</w:t>
            </w:r>
            <w:r w:rsidR="00D11592" w:rsidRPr="00A83709">
              <w:rPr>
                <w:rFonts w:ascii="Arial" w:hAnsi="Arial" w:cs="Arial"/>
                <w:color w:val="auto"/>
                <w:sz w:val="20"/>
              </w:rPr>
              <w:t>]</w:t>
            </w:r>
            <w:r w:rsidR="005C178C" w:rsidRPr="00A83709">
              <w:rPr>
                <w:rFonts w:ascii="Arial" w:hAnsi="Arial" w:cs="Arial"/>
                <w:color w:val="auto"/>
                <w:sz w:val="20"/>
              </w:rPr>
              <w:t xml:space="preserve">, English Learner </w:t>
            </w:r>
            <w:r w:rsidR="00D11592" w:rsidRPr="00A83709">
              <w:rPr>
                <w:rFonts w:ascii="Arial" w:hAnsi="Arial" w:cs="Arial"/>
                <w:color w:val="auto"/>
                <w:sz w:val="20"/>
              </w:rPr>
              <w:t>[</w:t>
            </w:r>
            <w:r w:rsidR="005C178C" w:rsidRPr="00A83709">
              <w:rPr>
                <w:rFonts w:ascii="Arial" w:hAnsi="Arial" w:cs="Arial"/>
                <w:color w:val="auto"/>
                <w:sz w:val="20"/>
              </w:rPr>
              <w:t>EL</w:t>
            </w:r>
            <w:r w:rsidR="00D11592" w:rsidRPr="00A83709">
              <w:rPr>
                <w:rFonts w:ascii="Arial" w:hAnsi="Arial" w:cs="Arial"/>
                <w:color w:val="auto"/>
                <w:sz w:val="20"/>
              </w:rPr>
              <w:t>]</w:t>
            </w:r>
            <w:r w:rsidR="005C178C" w:rsidRPr="00A83709">
              <w:rPr>
                <w:rFonts w:ascii="Arial" w:hAnsi="Arial" w:cs="Arial"/>
                <w:color w:val="auto"/>
                <w:sz w:val="20"/>
              </w:rPr>
              <w:t xml:space="preserve">, and </w:t>
            </w:r>
            <w:r w:rsidRPr="00A83709">
              <w:rPr>
                <w:rFonts w:ascii="Arial" w:hAnsi="Arial" w:cs="Arial"/>
                <w:color w:val="auto"/>
                <w:sz w:val="20"/>
              </w:rPr>
              <w:t xml:space="preserve"> </w:t>
            </w:r>
          </w:p>
          <w:p w14:paraId="1A99F5D0" w14:textId="1FEE2D16" w:rsidR="005C178C" w:rsidRPr="00A83709" w:rsidRDefault="00127F27" w:rsidP="00127F27">
            <w:pPr>
              <w:spacing w:line="240" w:lineRule="auto"/>
              <w:rPr>
                <w:rFonts w:ascii="Arial" w:hAnsi="Arial" w:cs="Arial"/>
                <w:color w:val="auto"/>
                <w:sz w:val="20"/>
              </w:rPr>
            </w:pPr>
            <w:r w:rsidRPr="00A83709">
              <w:rPr>
                <w:rFonts w:ascii="Arial" w:hAnsi="Arial" w:cs="Arial"/>
                <w:color w:val="auto"/>
                <w:sz w:val="20"/>
              </w:rPr>
              <w:t xml:space="preserve"> </w:t>
            </w:r>
            <w:r w:rsidR="005C178C" w:rsidRPr="00A83709">
              <w:rPr>
                <w:rFonts w:ascii="Arial" w:hAnsi="Arial" w:cs="Arial"/>
                <w:color w:val="auto"/>
                <w:sz w:val="20"/>
              </w:rPr>
              <w:t xml:space="preserve">Economically Disadvantaged </w:t>
            </w:r>
            <w:r w:rsidR="00D11592" w:rsidRPr="00A83709">
              <w:rPr>
                <w:rFonts w:ascii="Arial" w:hAnsi="Arial" w:cs="Arial"/>
                <w:color w:val="auto"/>
                <w:sz w:val="20"/>
              </w:rPr>
              <w:t>[</w:t>
            </w:r>
            <w:r w:rsidR="005C178C" w:rsidRPr="00A83709">
              <w:rPr>
                <w:rFonts w:ascii="Arial" w:hAnsi="Arial" w:cs="Arial"/>
                <w:color w:val="auto"/>
                <w:sz w:val="20"/>
              </w:rPr>
              <w:t>EDS</w:t>
            </w:r>
            <w:r w:rsidR="00D11592" w:rsidRPr="00A83709">
              <w:rPr>
                <w:rFonts w:ascii="Arial" w:hAnsi="Arial" w:cs="Arial"/>
                <w:color w:val="auto"/>
                <w:sz w:val="20"/>
              </w:rPr>
              <w:t>]</w:t>
            </w:r>
            <w:r w:rsidR="005C178C" w:rsidRPr="00A83709">
              <w:rPr>
                <w:rFonts w:ascii="Arial" w:hAnsi="Arial" w:cs="Arial"/>
                <w:color w:val="auto"/>
                <w:sz w:val="20"/>
              </w:rPr>
              <w:t>) </w:t>
            </w:r>
          </w:p>
        </w:tc>
        <w:tc>
          <w:tcPr>
            <w:tcW w:w="1336" w:type="dxa"/>
            <w:tcBorders>
              <w:top w:val="nil"/>
              <w:left w:val="nil"/>
              <w:bottom w:val="single" w:sz="6" w:space="0" w:color="auto"/>
              <w:right w:val="single" w:sz="6" w:space="0" w:color="auto"/>
            </w:tcBorders>
            <w:vAlign w:val="center"/>
            <w:hideMark/>
          </w:tcPr>
          <w:p w14:paraId="1F77F0F9" w14:textId="325C63FD" w:rsidR="005C178C" w:rsidRPr="00A83709" w:rsidRDefault="00CC5098">
            <w:pPr>
              <w:spacing w:line="240" w:lineRule="auto"/>
              <w:jc w:val="center"/>
              <w:rPr>
                <w:rFonts w:ascii="Arial" w:hAnsi="Arial" w:cs="Arial"/>
                <w:color w:val="auto"/>
                <w:sz w:val="20"/>
              </w:rPr>
            </w:pPr>
            <w:r w:rsidRPr="00A83709">
              <w:rPr>
                <w:rFonts w:ascii="Arial" w:hAnsi="Arial" w:cs="Arial"/>
                <w:color w:val="auto"/>
                <w:sz w:val="20"/>
              </w:rPr>
              <w:t>Yes</w:t>
            </w:r>
          </w:p>
        </w:tc>
        <w:tc>
          <w:tcPr>
            <w:tcW w:w="1158" w:type="dxa"/>
            <w:tcBorders>
              <w:top w:val="nil"/>
              <w:left w:val="nil"/>
              <w:bottom w:val="single" w:sz="6" w:space="0" w:color="auto"/>
              <w:right w:val="single" w:sz="6" w:space="0" w:color="auto"/>
            </w:tcBorders>
            <w:vAlign w:val="center"/>
          </w:tcPr>
          <w:p w14:paraId="57645413" w14:textId="4F6DC0A8" w:rsidR="005C178C" w:rsidRPr="00A83709" w:rsidRDefault="00CC5098">
            <w:pPr>
              <w:spacing w:line="240" w:lineRule="auto"/>
              <w:jc w:val="center"/>
              <w:rPr>
                <w:rFonts w:ascii="Arial" w:hAnsi="Arial" w:cs="Arial"/>
                <w:color w:val="auto"/>
                <w:sz w:val="20"/>
              </w:rPr>
            </w:pPr>
            <w:r w:rsidRPr="00A83709">
              <w:rPr>
                <w:rFonts w:ascii="Arial" w:hAnsi="Arial" w:cs="Arial"/>
                <w:noProof/>
                <w:color w:val="auto"/>
                <w:sz w:val="20"/>
              </w:rPr>
              <w:t>Yes</w:t>
            </w:r>
          </w:p>
        </w:tc>
        <w:tc>
          <w:tcPr>
            <w:tcW w:w="1203" w:type="dxa"/>
            <w:tcBorders>
              <w:top w:val="nil"/>
              <w:left w:val="nil"/>
              <w:bottom w:val="single" w:sz="6" w:space="0" w:color="auto"/>
              <w:right w:val="single" w:sz="6" w:space="0" w:color="auto"/>
            </w:tcBorders>
            <w:vAlign w:val="center"/>
          </w:tcPr>
          <w:p w14:paraId="3EFA5204" w14:textId="0DC39BBB" w:rsidR="005C178C" w:rsidRPr="00A83709" w:rsidRDefault="00CC5098">
            <w:pPr>
              <w:spacing w:line="240" w:lineRule="auto"/>
              <w:jc w:val="center"/>
              <w:rPr>
                <w:rFonts w:ascii="Arial" w:hAnsi="Arial" w:cs="Arial"/>
                <w:color w:val="auto"/>
                <w:sz w:val="20"/>
              </w:rPr>
            </w:pPr>
            <w:r w:rsidRPr="00A83709">
              <w:rPr>
                <w:rFonts w:ascii="Arial" w:hAnsi="Arial" w:cs="Arial"/>
                <w:noProof/>
                <w:color w:val="auto"/>
                <w:sz w:val="20"/>
              </w:rPr>
              <w:t>Yes</w:t>
            </w:r>
          </w:p>
        </w:tc>
        <w:tc>
          <w:tcPr>
            <w:tcW w:w="1351" w:type="dxa"/>
            <w:tcBorders>
              <w:top w:val="nil"/>
              <w:left w:val="nil"/>
              <w:bottom w:val="single" w:sz="6" w:space="0" w:color="auto"/>
              <w:right w:val="single" w:sz="6" w:space="0" w:color="auto"/>
            </w:tcBorders>
            <w:vAlign w:val="center"/>
          </w:tcPr>
          <w:p w14:paraId="2429399F" w14:textId="17C37317" w:rsidR="005C178C" w:rsidRPr="00A83709" w:rsidRDefault="00CC5098">
            <w:pPr>
              <w:spacing w:line="240" w:lineRule="auto"/>
              <w:jc w:val="center"/>
              <w:rPr>
                <w:rFonts w:ascii="Arial" w:hAnsi="Arial" w:cs="Arial"/>
                <w:color w:val="auto"/>
                <w:sz w:val="20"/>
              </w:rPr>
            </w:pPr>
            <w:r w:rsidRPr="00A83709">
              <w:rPr>
                <w:rFonts w:ascii="Arial" w:hAnsi="Arial" w:cs="Arial"/>
                <w:noProof/>
                <w:color w:val="auto"/>
                <w:sz w:val="20"/>
              </w:rPr>
              <w:t>Yes</w:t>
            </w:r>
          </w:p>
        </w:tc>
      </w:tr>
      <w:tr w:rsidR="000F7B68" w:rsidRPr="00A83709" w14:paraId="430CA700" w14:textId="77777777" w:rsidTr="003B4FAE">
        <w:trPr>
          <w:trHeight w:val="707"/>
        </w:trPr>
        <w:tc>
          <w:tcPr>
            <w:tcW w:w="4159" w:type="dxa"/>
            <w:tcBorders>
              <w:top w:val="nil"/>
              <w:left w:val="single" w:sz="6" w:space="0" w:color="auto"/>
              <w:bottom w:val="single" w:sz="4" w:space="0" w:color="auto"/>
              <w:right w:val="single" w:sz="6" w:space="0" w:color="auto"/>
            </w:tcBorders>
            <w:vAlign w:val="center"/>
            <w:hideMark/>
          </w:tcPr>
          <w:p w14:paraId="42F0C71E" w14:textId="167FADC3" w:rsidR="000F7B68" w:rsidRPr="00A83709" w:rsidRDefault="000F7B68" w:rsidP="000F7B68">
            <w:pPr>
              <w:spacing w:line="240" w:lineRule="auto"/>
              <w:rPr>
                <w:rFonts w:ascii="Arial" w:hAnsi="Arial" w:cs="Arial"/>
                <w:color w:val="auto"/>
                <w:sz w:val="20"/>
              </w:rPr>
            </w:pPr>
            <w:r w:rsidRPr="00A83709">
              <w:rPr>
                <w:rFonts w:ascii="Arial" w:hAnsi="Arial" w:cs="Arial"/>
                <w:color w:val="auto"/>
                <w:sz w:val="20"/>
              </w:rPr>
              <w:t xml:space="preserve"> Additional subgroups reporting Military</w:t>
            </w:r>
          </w:p>
          <w:p w14:paraId="2A13AC22" w14:textId="42B55F60" w:rsidR="000F7B68" w:rsidRPr="00A83709" w:rsidRDefault="000F7B68" w:rsidP="000F7B68">
            <w:pPr>
              <w:spacing w:line="240" w:lineRule="auto"/>
              <w:rPr>
                <w:rFonts w:ascii="Arial" w:hAnsi="Arial" w:cs="Arial"/>
                <w:color w:val="auto"/>
                <w:sz w:val="20"/>
              </w:rPr>
            </w:pPr>
            <w:r w:rsidRPr="00A83709">
              <w:rPr>
                <w:rFonts w:ascii="Arial" w:hAnsi="Arial" w:cs="Arial"/>
                <w:color w:val="auto"/>
                <w:sz w:val="20"/>
              </w:rPr>
              <w:t xml:space="preserve"> Connected, Academically/Intellectually Gifted  </w:t>
            </w:r>
          </w:p>
          <w:p w14:paraId="4FBF4CD9" w14:textId="728FC067" w:rsidR="000F7B68" w:rsidRPr="00A83709" w:rsidRDefault="000F7B68" w:rsidP="000F7B68">
            <w:pPr>
              <w:spacing w:line="240" w:lineRule="auto"/>
              <w:rPr>
                <w:rFonts w:ascii="Arial" w:hAnsi="Arial" w:cs="Arial"/>
                <w:color w:val="auto"/>
                <w:sz w:val="20"/>
              </w:rPr>
            </w:pPr>
            <w:r w:rsidRPr="00A83709">
              <w:rPr>
                <w:rFonts w:ascii="Arial" w:hAnsi="Arial" w:cs="Arial"/>
                <w:color w:val="auto"/>
                <w:sz w:val="20"/>
              </w:rPr>
              <w:t xml:space="preserve"> (</w:t>
            </w:r>
            <w:bookmarkStart w:id="978" w:name="_Int_XQrssL2N"/>
            <w:r w:rsidRPr="00A83709">
              <w:rPr>
                <w:rFonts w:ascii="Arial" w:hAnsi="Arial" w:cs="Arial"/>
                <w:color w:val="auto"/>
                <w:sz w:val="20"/>
              </w:rPr>
              <w:t>AIG</w:t>
            </w:r>
            <w:bookmarkEnd w:id="978"/>
            <w:r w:rsidRPr="00A83709">
              <w:rPr>
                <w:rFonts w:ascii="Arial" w:hAnsi="Arial" w:cs="Arial"/>
                <w:color w:val="auto"/>
                <w:sz w:val="20"/>
              </w:rPr>
              <w:t>), Homeless, and Foster Care</w:t>
            </w:r>
          </w:p>
        </w:tc>
        <w:tc>
          <w:tcPr>
            <w:tcW w:w="1336" w:type="dxa"/>
            <w:tcBorders>
              <w:top w:val="nil"/>
              <w:left w:val="nil"/>
              <w:bottom w:val="single" w:sz="4" w:space="0" w:color="auto"/>
              <w:right w:val="single" w:sz="6" w:space="0" w:color="auto"/>
            </w:tcBorders>
            <w:vAlign w:val="center"/>
            <w:hideMark/>
          </w:tcPr>
          <w:p w14:paraId="78F3F905" w14:textId="202946FE" w:rsidR="000F7B68" w:rsidRPr="00A83709" w:rsidRDefault="000F7B68" w:rsidP="000F7B68">
            <w:pPr>
              <w:spacing w:line="240" w:lineRule="auto"/>
              <w:jc w:val="center"/>
              <w:rPr>
                <w:rFonts w:ascii="Arial" w:hAnsi="Arial" w:cs="Arial"/>
                <w:color w:val="auto"/>
                <w:sz w:val="20"/>
              </w:rPr>
            </w:pPr>
            <w:r w:rsidRPr="00A83709">
              <w:rPr>
                <w:rFonts w:ascii="Arial" w:hAnsi="Arial" w:cs="Arial"/>
                <w:color w:val="auto"/>
                <w:sz w:val="20"/>
              </w:rPr>
              <w:t>Yes</w:t>
            </w:r>
          </w:p>
        </w:tc>
        <w:tc>
          <w:tcPr>
            <w:tcW w:w="1158" w:type="dxa"/>
            <w:tcBorders>
              <w:top w:val="nil"/>
              <w:left w:val="nil"/>
              <w:bottom w:val="single" w:sz="4" w:space="0" w:color="auto"/>
              <w:right w:val="single" w:sz="6" w:space="0" w:color="auto"/>
            </w:tcBorders>
            <w:vAlign w:val="center"/>
          </w:tcPr>
          <w:p w14:paraId="42A52D00" w14:textId="596FA39E" w:rsidR="000F7B68" w:rsidRPr="00A83709" w:rsidRDefault="000F7B68" w:rsidP="000F7B68">
            <w:pPr>
              <w:spacing w:line="240" w:lineRule="auto"/>
              <w:jc w:val="center"/>
              <w:rPr>
                <w:rFonts w:ascii="Arial" w:hAnsi="Arial" w:cs="Arial"/>
                <w:color w:val="auto"/>
                <w:sz w:val="20"/>
              </w:rPr>
            </w:pPr>
            <w:r w:rsidRPr="00A83709">
              <w:rPr>
                <w:rFonts w:ascii="Arial" w:hAnsi="Arial" w:cs="Arial"/>
                <w:color w:val="auto"/>
                <w:sz w:val="20"/>
              </w:rPr>
              <w:t>Yes</w:t>
            </w:r>
          </w:p>
        </w:tc>
        <w:tc>
          <w:tcPr>
            <w:tcW w:w="1203" w:type="dxa"/>
            <w:tcBorders>
              <w:top w:val="nil"/>
              <w:left w:val="nil"/>
              <w:bottom w:val="single" w:sz="4" w:space="0" w:color="auto"/>
              <w:right w:val="single" w:sz="6" w:space="0" w:color="auto"/>
            </w:tcBorders>
            <w:vAlign w:val="center"/>
          </w:tcPr>
          <w:p w14:paraId="55BC4053" w14:textId="09635567" w:rsidR="000F7B68" w:rsidRPr="00A83709" w:rsidRDefault="000F7B68" w:rsidP="000F7B68">
            <w:pPr>
              <w:spacing w:line="240" w:lineRule="auto"/>
              <w:jc w:val="center"/>
              <w:rPr>
                <w:rFonts w:ascii="Arial" w:hAnsi="Arial" w:cs="Arial"/>
                <w:color w:val="auto"/>
                <w:sz w:val="20"/>
              </w:rPr>
            </w:pPr>
            <w:r w:rsidRPr="005912A3">
              <w:rPr>
                <w:rFonts w:ascii="Arial" w:hAnsi="Arial" w:cs="Arial"/>
                <w:color w:val="auto"/>
                <w:sz w:val="20"/>
              </w:rPr>
              <w:t>-</w:t>
            </w:r>
          </w:p>
        </w:tc>
        <w:tc>
          <w:tcPr>
            <w:tcW w:w="1351" w:type="dxa"/>
            <w:tcBorders>
              <w:top w:val="nil"/>
              <w:left w:val="nil"/>
              <w:bottom w:val="single" w:sz="4" w:space="0" w:color="auto"/>
              <w:right w:val="single" w:sz="6" w:space="0" w:color="auto"/>
            </w:tcBorders>
            <w:vAlign w:val="center"/>
          </w:tcPr>
          <w:p w14:paraId="31FC9C80" w14:textId="42D00A7D" w:rsidR="000F7B68" w:rsidRPr="00A83709" w:rsidRDefault="000F7B68" w:rsidP="000F7B68">
            <w:pPr>
              <w:spacing w:line="240" w:lineRule="auto"/>
              <w:jc w:val="center"/>
              <w:rPr>
                <w:rFonts w:ascii="Arial" w:hAnsi="Arial" w:cs="Arial"/>
                <w:color w:val="auto"/>
                <w:sz w:val="20"/>
              </w:rPr>
            </w:pPr>
            <w:r w:rsidRPr="005912A3">
              <w:rPr>
                <w:rFonts w:ascii="Arial" w:hAnsi="Arial" w:cs="Arial"/>
                <w:color w:val="auto"/>
                <w:sz w:val="20"/>
              </w:rPr>
              <w:t>-</w:t>
            </w:r>
          </w:p>
        </w:tc>
      </w:tr>
      <w:tr w:rsidR="000F7B68" w:rsidRPr="00A83709" w14:paraId="241A9F87" w14:textId="77777777" w:rsidTr="003B4FAE">
        <w:trPr>
          <w:trHeight w:val="461"/>
        </w:trPr>
        <w:tc>
          <w:tcPr>
            <w:tcW w:w="4159" w:type="dxa"/>
            <w:tcBorders>
              <w:top w:val="single" w:sz="4" w:space="0" w:color="auto"/>
              <w:left w:val="single" w:sz="4" w:space="0" w:color="auto"/>
              <w:bottom w:val="single" w:sz="4" w:space="0" w:color="auto"/>
              <w:right w:val="single" w:sz="4" w:space="0" w:color="auto"/>
            </w:tcBorders>
            <w:vAlign w:val="center"/>
            <w:hideMark/>
          </w:tcPr>
          <w:p w14:paraId="6165AC00" w14:textId="77777777" w:rsidR="000F7B68" w:rsidRPr="00A83709" w:rsidRDefault="000F7B68" w:rsidP="000F7B68">
            <w:pPr>
              <w:spacing w:line="240" w:lineRule="auto"/>
              <w:rPr>
                <w:rFonts w:ascii="Arial" w:hAnsi="Arial" w:cs="Arial"/>
                <w:color w:val="auto"/>
                <w:sz w:val="20"/>
              </w:rPr>
            </w:pPr>
            <w:r w:rsidRPr="00A83709">
              <w:rPr>
                <w:rFonts w:ascii="Arial" w:hAnsi="Arial" w:cs="Arial"/>
                <w:color w:val="auto"/>
                <w:sz w:val="20"/>
              </w:rPr>
              <w:t xml:space="preserve"> Inclusion of data for EL students in first or  </w:t>
            </w:r>
          </w:p>
          <w:p w14:paraId="6EE5BFA4" w14:textId="360231B6" w:rsidR="000F7B68" w:rsidRPr="00A83709" w:rsidRDefault="000F7B68" w:rsidP="000F7B68">
            <w:pPr>
              <w:spacing w:line="240" w:lineRule="auto"/>
              <w:rPr>
                <w:rFonts w:ascii="Arial" w:hAnsi="Arial" w:cs="Arial"/>
                <w:color w:val="auto"/>
                <w:sz w:val="20"/>
              </w:rPr>
            </w:pPr>
            <w:r w:rsidRPr="00A83709">
              <w:rPr>
                <w:rFonts w:ascii="Arial" w:hAnsi="Arial" w:cs="Arial"/>
                <w:color w:val="auto"/>
                <w:sz w:val="20"/>
              </w:rPr>
              <w:t xml:space="preserve"> second year in U.S. schools </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EF5F534" w14:textId="2BB07E7A" w:rsidR="000F7B68" w:rsidRPr="00A83709" w:rsidRDefault="000F7B68" w:rsidP="000F7B68">
            <w:pPr>
              <w:spacing w:line="240" w:lineRule="auto"/>
              <w:jc w:val="center"/>
              <w:rPr>
                <w:rFonts w:ascii="Arial" w:hAnsi="Arial" w:cs="Arial"/>
                <w:color w:val="auto"/>
                <w:sz w:val="20"/>
              </w:rPr>
            </w:pPr>
            <w:r w:rsidRPr="00A83709">
              <w:rPr>
                <w:rFonts w:ascii="Arial" w:hAnsi="Arial" w:cs="Arial"/>
                <w:color w:val="auto"/>
                <w:sz w:val="20"/>
              </w:rPr>
              <w:t>Yes</w:t>
            </w:r>
          </w:p>
        </w:tc>
        <w:tc>
          <w:tcPr>
            <w:tcW w:w="1158" w:type="dxa"/>
            <w:tcBorders>
              <w:top w:val="single" w:sz="4" w:space="0" w:color="auto"/>
              <w:left w:val="single" w:sz="4" w:space="0" w:color="auto"/>
              <w:bottom w:val="single" w:sz="4" w:space="0" w:color="auto"/>
              <w:right w:val="single" w:sz="4" w:space="0" w:color="auto"/>
            </w:tcBorders>
            <w:vAlign w:val="center"/>
          </w:tcPr>
          <w:p w14:paraId="3CCCCB32" w14:textId="3EDF96C1" w:rsidR="000F7B68" w:rsidRPr="00A83709" w:rsidRDefault="000F7B68" w:rsidP="000F7B68">
            <w:pPr>
              <w:spacing w:line="240" w:lineRule="auto"/>
              <w:jc w:val="center"/>
              <w:rPr>
                <w:rFonts w:ascii="Arial" w:hAnsi="Arial" w:cs="Arial"/>
                <w:color w:val="auto"/>
                <w:sz w:val="20"/>
              </w:rPr>
            </w:pPr>
            <w:r w:rsidRPr="00A83709">
              <w:rPr>
                <w:rFonts w:ascii="Arial" w:hAnsi="Arial" w:cs="Arial"/>
                <w:color w:val="auto"/>
                <w:sz w:val="20"/>
              </w:rPr>
              <w:t>Yes</w:t>
            </w:r>
          </w:p>
        </w:tc>
        <w:tc>
          <w:tcPr>
            <w:tcW w:w="1203" w:type="dxa"/>
            <w:tcBorders>
              <w:top w:val="single" w:sz="4" w:space="0" w:color="auto"/>
              <w:left w:val="single" w:sz="4" w:space="0" w:color="auto"/>
              <w:bottom w:val="single" w:sz="4" w:space="0" w:color="auto"/>
              <w:right w:val="single" w:sz="4" w:space="0" w:color="auto"/>
            </w:tcBorders>
            <w:vAlign w:val="center"/>
          </w:tcPr>
          <w:p w14:paraId="179C0805" w14:textId="786EBD94" w:rsidR="000F7B68" w:rsidRPr="00A83709" w:rsidRDefault="000F7B68" w:rsidP="000F7B68">
            <w:pPr>
              <w:spacing w:line="240" w:lineRule="auto"/>
              <w:jc w:val="center"/>
              <w:rPr>
                <w:rFonts w:ascii="Arial" w:hAnsi="Arial" w:cs="Arial"/>
                <w:color w:val="auto"/>
                <w:sz w:val="20"/>
              </w:rPr>
            </w:pPr>
            <w:r w:rsidRPr="00297956">
              <w:rPr>
                <w:rFonts w:ascii="Arial" w:hAnsi="Arial" w:cs="Arial"/>
                <w:color w:val="auto"/>
                <w:sz w:val="20"/>
              </w:rPr>
              <w:t>-</w:t>
            </w:r>
          </w:p>
        </w:tc>
        <w:tc>
          <w:tcPr>
            <w:tcW w:w="1351" w:type="dxa"/>
            <w:tcBorders>
              <w:top w:val="single" w:sz="4" w:space="0" w:color="auto"/>
              <w:left w:val="single" w:sz="4" w:space="0" w:color="auto"/>
              <w:bottom w:val="single" w:sz="4" w:space="0" w:color="auto"/>
              <w:right w:val="single" w:sz="4" w:space="0" w:color="auto"/>
            </w:tcBorders>
            <w:vAlign w:val="center"/>
          </w:tcPr>
          <w:p w14:paraId="57EC6CE6" w14:textId="4B6BC00A" w:rsidR="000F7B68" w:rsidRPr="00A83709" w:rsidRDefault="000F7B68" w:rsidP="000F7B68">
            <w:pPr>
              <w:spacing w:line="240" w:lineRule="auto"/>
              <w:jc w:val="center"/>
              <w:rPr>
                <w:rFonts w:ascii="Arial" w:hAnsi="Arial" w:cs="Arial"/>
                <w:color w:val="auto"/>
                <w:sz w:val="20"/>
              </w:rPr>
            </w:pPr>
            <w:r w:rsidRPr="00297956">
              <w:rPr>
                <w:rFonts w:ascii="Arial" w:hAnsi="Arial" w:cs="Arial"/>
                <w:color w:val="auto"/>
                <w:sz w:val="20"/>
              </w:rPr>
              <w:t>-</w:t>
            </w:r>
          </w:p>
        </w:tc>
      </w:tr>
      <w:tr w:rsidR="00216D4F" w:rsidRPr="00A83709" w14:paraId="49526468" w14:textId="77777777" w:rsidTr="003B4FAE">
        <w:trPr>
          <w:trHeight w:val="461"/>
        </w:trPr>
        <w:tc>
          <w:tcPr>
            <w:tcW w:w="4159" w:type="dxa"/>
            <w:tcBorders>
              <w:top w:val="single" w:sz="4" w:space="0" w:color="auto"/>
              <w:left w:val="single" w:sz="6" w:space="0" w:color="auto"/>
              <w:bottom w:val="single" w:sz="6" w:space="0" w:color="auto"/>
              <w:right w:val="single" w:sz="6" w:space="0" w:color="auto"/>
            </w:tcBorders>
            <w:vAlign w:val="center"/>
          </w:tcPr>
          <w:p w14:paraId="3470CA35" w14:textId="77777777" w:rsidR="00127F27" w:rsidRPr="00A83709" w:rsidRDefault="00AB0B5F" w:rsidP="009C65BE">
            <w:pPr>
              <w:spacing w:line="240" w:lineRule="auto"/>
              <w:rPr>
                <w:rFonts w:ascii="Arial" w:hAnsi="Arial" w:cs="Arial"/>
                <w:color w:val="auto"/>
                <w:sz w:val="20"/>
              </w:rPr>
            </w:pPr>
            <w:r w:rsidRPr="00A83709">
              <w:rPr>
                <w:rFonts w:ascii="Arial" w:hAnsi="Arial" w:cs="Arial"/>
                <w:color w:val="auto"/>
                <w:sz w:val="20"/>
              </w:rPr>
              <w:t xml:space="preserve"> </w:t>
            </w:r>
            <w:r w:rsidR="009C65BE" w:rsidRPr="00A83709">
              <w:rPr>
                <w:rFonts w:ascii="Arial" w:hAnsi="Arial" w:cs="Arial"/>
                <w:color w:val="auto"/>
                <w:sz w:val="20"/>
              </w:rPr>
              <w:t xml:space="preserve">Inclusion of data for </w:t>
            </w:r>
            <w:r w:rsidR="003803F8" w:rsidRPr="00A83709">
              <w:rPr>
                <w:rFonts w:ascii="Arial" w:hAnsi="Arial" w:cs="Arial"/>
                <w:color w:val="auto"/>
                <w:sz w:val="20"/>
              </w:rPr>
              <w:t xml:space="preserve">students who </w:t>
            </w:r>
            <w:proofErr w:type="gramStart"/>
            <w:r w:rsidR="003803F8" w:rsidRPr="00A83709">
              <w:rPr>
                <w:rFonts w:ascii="Arial" w:hAnsi="Arial" w:cs="Arial"/>
                <w:color w:val="auto"/>
                <w:sz w:val="20"/>
              </w:rPr>
              <w:t>exited</w:t>
            </w:r>
            <w:proofErr w:type="gramEnd"/>
            <w:r w:rsidR="003803F8" w:rsidRPr="00A83709">
              <w:rPr>
                <w:rFonts w:ascii="Arial" w:hAnsi="Arial" w:cs="Arial"/>
                <w:color w:val="auto"/>
                <w:sz w:val="20"/>
              </w:rPr>
              <w:t xml:space="preserve"> </w:t>
            </w:r>
            <w:r w:rsidR="009C65BE" w:rsidRPr="00A83709">
              <w:rPr>
                <w:rFonts w:ascii="Arial" w:hAnsi="Arial" w:cs="Arial"/>
                <w:color w:val="auto"/>
                <w:sz w:val="20"/>
              </w:rPr>
              <w:t>EL</w:t>
            </w:r>
            <w:r w:rsidR="003803F8" w:rsidRPr="00A83709">
              <w:rPr>
                <w:rFonts w:ascii="Arial" w:hAnsi="Arial" w:cs="Arial"/>
                <w:color w:val="auto"/>
                <w:sz w:val="20"/>
              </w:rPr>
              <w:t xml:space="preserve"> </w:t>
            </w:r>
            <w:r w:rsidR="00127F27" w:rsidRPr="00A83709">
              <w:rPr>
                <w:rFonts w:ascii="Arial" w:hAnsi="Arial" w:cs="Arial"/>
                <w:color w:val="auto"/>
                <w:sz w:val="20"/>
              </w:rPr>
              <w:t xml:space="preserve"> </w:t>
            </w:r>
          </w:p>
          <w:p w14:paraId="2B2E5C07" w14:textId="36FB18CF" w:rsidR="00216D4F" w:rsidRPr="00A83709" w:rsidRDefault="00127F27" w:rsidP="00127F27">
            <w:pPr>
              <w:spacing w:line="240" w:lineRule="auto"/>
              <w:rPr>
                <w:rFonts w:ascii="Arial" w:hAnsi="Arial" w:cs="Arial"/>
                <w:color w:val="auto"/>
                <w:sz w:val="20"/>
              </w:rPr>
            </w:pPr>
            <w:r w:rsidRPr="00A83709">
              <w:rPr>
                <w:rFonts w:ascii="Arial" w:hAnsi="Arial" w:cs="Arial"/>
                <w:color w:val="auto"/>
                <w:sz w:val="20"/>
              </w:rPr>
              <w:t xml:space="preserve"> </w:t>
            </w:r>
            <w:r w:rsidR="006E1B51" w:rsidRPr="00A83709">
              <w:rPr>
                <w:rFonts w:ascii="Arial" w:hAnsi="Arial" w:cs="Arial"/>
                <w:color w:val="auto"/>
                <w:sz w:val="20"/>
              </w:rPr>
              <w:t>status</w:t>
            </w:r>
            <w:r w:rsidR="00AB0B5F" w:rsidRPr="00A83709">
              <w:rPr>
                <w:rFonts w:ascii="Arial" w:hAnsi="Arial" w:cs="Arial"/>
                <w:color w:val="auto"/>
                <w:sz w:val="20"/>
              </w:rPr>
              <w:t xml:space="preserve"> </w:t>
            </w:r>
            <w:r w:rsidR="006E1B51" w:rsidRPr="00A83709">
              <w:rPr>
                <w:rFonts w:ascii="Arial" w:hAnsi="Arial" w:cs="Arial"/>
                <w:color w:val="auto"/>
                <w:sz w:val="20"/>
              </w:rPr>
              <w:t>in</w:t>
            </w:r>
            <w:r w:rsidR="009C65BE" w:rsidRPr="00A83709">
              <w:rPr>
                <w:rFonts w:ascii="Arial" w:hAnsi="Arial" w:cs="Arial"/>
                <w:color w:val="auto"/>
                <w:sz w:val="20"/>
              </w:rPr>
              <w:t xml:space="preserve"> the</w:t>
            </w:r>
            <w:r w:rsidR="00C57CAB" w:rsidRPr="00A83709">
              <w:rPr>
                <w:rFonts w:ascii="Arial" w:hAnsi="Arial" w:cs="Arial"/>
                <w:color w:val="auto"/>
                <w:sz w:val="20"/>
              </w:rPr>
              <w:t xml:space="preserve"> last four years</w:t>
            </w:r>
            <w:r w:rsidR="009C65BE" w:rsidRPr="00A83709">
              <w:rPr>
                <w:rFonts w:ascii="Arial" w:hAnsi="Arial" w:cs="Arial"/>
                <w:color w:val="auto"/>
                <w:sz w:val="20"/>
              </w:rPr>
              <w:t xml:space="preserve">  </w:t>
            </w:r>
          </w:p>
        </w:tc>
        <w:tc>
          <w:tcPr>
            <w:tcW w:w="1336" w:type="dxa"/>
            <w:tcBorders>
              <w:top w:val="single" w:sz="4" w:space="0" w:color="auto"/>
              <w:left w:val="nil"/>
              <w:bottom w:val="single" w:sz="6" w:space="0" w:color="auto"/>
              <w:right w:val="single" w:sz="6" w:space="0" w:color="auto"/>
            </w:tcBorders>
            <w:vAlign w:val="center"/>
          </w:tcPr>
          <w:p w14:paraId="2C8D548E" w14:textId="2EEA78E0" w:rsidR="00216D4F" w:rsidRPr="00A83709" w:rsidRDefault="00CC5098">
            <w:pPr>
              <w:spacing w:line="240" w:lineRule="auto"/>
              <w:jc w:val="center"/>
              <w:rPr>
                <w:rFonts w:ascii="Arial" w:hAnsi="Arial" w:cs="Arial"/>
                <w:noProof/>
                <w:color w:val="auto"/>
                <w:sz w:val="20"/>
              </w:rPr>
            </w:pPr>
            <w:r w:rsidRPr="00A83709">
              <w:rPr>
                <w:rFonts w:ascii="Arial" w:hAnsi="Arial" w:cs="Arial"/>
                <w:noProof/>
                <w:color w:val="auto"/>
                <w:sz w:val="20"/>
              </w:rPr>
              <w:t>Yes</w:t>
            </w:r>
          </w:p>
        </w:tc>
        <w:tc>
          <w:tcPr>
            <w:tcW w:w="1158" w:type="dxa"/>
            <w:tcBorders>
              <w:top w:val="single" w:sz="4" w:space="0" w:color="auto"/>
              <w:left w:val="nil"/>
              <w:bottom w:val="single" w:sz="6" w:space="0" w:color="auto"/>
              <w:right w:val="single" w:sz="6" w:space="0" w:color="auto"/>
            </w:tcBorders>
            <w:vAlign w:val="center"/>
          </w:tcPr>
          <w:p w14:paraId="44F1A786" w14:textId="355E7108" w:rsidR="00216D4F" w:rsidRPr="00A83709" w:rsidRDefault="00831083">
            <w:pPr>
              <w:spacing w:line="240" w:lineRule="auto"/>
              <w:jc w:val="center"/>
              <w:rPr>
                <w:rFonts w:ascii="Arial" w:hAnsi="Arial" w:cs="Arial"/>
                <w:noProof/>
                <w:color w:val="auto"/>
                <w:sz w:val="20"/>
              </w:rPr>
            </w:pPr>
            <w:r>
              <w:rPr>
                <w:rFonts w:ascii="Arial" w:hAnsi="Arial" w:cs="Arial"/>
                <w:color w:val="auto"/>
                <w:sz w:val="20"/>
              </w:rPr>
              <w:t>-</w:t>
            </w:r>
          </w:p>
        </w:tc>
        <w:tc>
          <w:tcPr>
            <w:tcW w:w="1203" w:type="dxa"/>
            <w:tcBorders>
              <w:top w:val="single" w:sz="4" w:space="0" w:color="auto"/>
              <w:left w:val="nil"/>
              <w:bottom w:val="single" w:sz="6" w:space="0" w:color="auto"/>
              <w:right w:val="single" w:sz="6" w:space="0" w:color="auto"/>
            </w:tcBorders>
            <w:vAlign w:val="center"/>
          </w:tcPr>
          <w:p w14:paraId="05B494A7" w14:textId="4B38F797" w:rsidR="00216D4F" w:rsidRPr="00A83709" w:rsidRDefault="00CC5098">
            <w:pPr>
              <w:spacing w:line="240" w:lineRule="auto"/>
              <w:jc w:val="center"/>
              <w:rPr>
                <w:rStyle w:val="CommentReference"/>
                <w:rFonts w:ascii="Arial" w:hAnsi="Arial" w:cs="Arial"/>
                <w:color w:val="auto"/>
                <w:sz w:val="20"/>
                <w:szCs w:val="20"/>
              </w:rPr>
            </w:pPr>
            <w:r w:rsidRPr="00A83709">
              <w:rPr>
                <w:rFonts w:ascii="Arial" w:hAnsi="Arial" w:cs="Arial"/>
                <w:color w:val="auto"/>
                <w:sz w:val="20"/>
              </w:rPr>
              <w:t>Yes</w:t>
            </w:r>
            <w:r w:rsidRPr="00A83709" w:rsidDel="00CC5098">
              <w:rPr>
                <w:rFonts w:ascii="Arial" w:hAnsi="Arial" w:cs="Arial"/>
                <w:noProof/>
                <w:color w:val="auto"/>
                <w:sz w:val="20"/>
              </w:rPr>
              <w:t xml:space="preserve"> </w:t>
            </w:r>
          </w:p>
        </w:tc>
        <w:tc>
          <w:tcPr>
            <w:tcW w:w="1351" w:type="dxa"/>
            <w:tcBorders>
              <w:top w:val="single" w:sz="4" w:space="0" w:color="auto"/>
              <w:left w:val="nil"/>
              <w:bottom w:val="single" w:sz="6" w:space="0" w:color="auto"/>
              <w:right w:val="single" w:sz="6" w:space="0" w:color="auto"/>
            </w:tcBorders>
            <w:vAlign w:val="center"/>
          </w:tcPr>
          <w:p w14:paraId="7BB77D64" w14:textId="36844568" w:rsidR="00216D4F" w:rsidRPr="00A83709" w:rsidRDefault="00CC5098">
            <w:pPr>
              <w:spacing w:line="240" w:lineRule="auto"/>
              <w:jc w:val="center"/>
              <w:rPr>
                <w:rFonts w:ascii="Arial" w:hAnsi="Arial" w:cs="Arial"/>
                <w:color w:val="auto"/>
                <w:sz w:val="20"/>
              </w:rPr>
            </w:pPr>
            <w:r w:rsidRPr="00A83709">
              <w:rPr>
                <w:rFonts w:ascii="Arial" w:hAnsi="Arial" w:cs="Arial"/>
                <w:color w:val="auto"/>
                <w:sz w:val="20"/>
              </w:rPr>
              <w:t>Yes</w:t>
            </w:r>
          </w:p>
        </w:tc>
      </w:tr>
    </w:tbl>
    <w:p w14:paraId="13FD719E" w14:textId="771EB68B" w:rsidR="005C178C" w:rsidRPr="00EF6288" w:rsidRDefault="005C178C" w:rsidP="005C178C">
      <w:pPr>
        <w:spacing w:line="240" w:lineRule="auto"/>
        <w:rPr>
          <w:rFonts w:ascii="Arial" w:hAnsi="Arial" w:cs="Arial"/>
          <w:color w:val="auto"/>
          <w:sz w:val="20"/>
        </w:rPr>
      </w:pPr>
      <w:r w:rsidRPr="00EF6288">
        <w:rPr>
          <w:rFonts w:ascii="Arial" w:hAnsi="Arial" w:cs="Arial"/>
          <w:color w:val="auto"/>
          <w:szCs w:val="24"/>
        </w:rPr>
        <w:lastRenderedPageBreak/>
        <w:t> </w:t>
      </w:r>
      <w:bookmarkStart w:id="979" w:name="Table1121"/>
      <w:r w:rsidRPr="00EF6288">
        <w:rPr>
          <w:rFonts w:ascii="Arial" w:hAnsi="Arial" w:cs="Arial"/>
          <w:color w:val="auto"/>
          <w:sz w:val="20"/>
        </w:rPr>
        <w:t>TABLE 11.</w:t>
      </w:r>
      <w:r w:rsidR="007502D8" w:rsidRPr="00EF6288">
        <w:rPr>
          <w:rFonts w:ascii="Arial" w:hAnsi="Arial" w:cs="Arial"/>
          <w:color w:val="auto"/>
          <w:sz w:val="20"/>
        </w:rPr>
        <w:t>2.</w:t>
      </w:r>
      <w:r w:rsidRPr="00EF6288">
        <w:rPr>
          <w:rFonts w:ascii="Arial" w:hAnsi="Arial" w:cs="Arial"/>
          <w:color w:val="auto"/>
          <w:sz w:val="20"/>
        </w:rPr>
        <w:t>1</w:t>
      </w:r>
      <w:bookmarkEnd w:id="979"/>
      <w:r w:rsidRPr="00EF6288">
        <w:rPr>
          <w:rFonts w:ascii="Arial" w:hAnsi="Arial" w:cs="Arial"/>
          <w:color w:val="auto"/>
          <w:sz w:val="20"/>
        </w:rPr>
        <w:t xml:space="preserve">. General rules applied to Math Course Rigor, and ACT/WorkKeys </w:t>
      </w:r>
      <w:r w:rsidR="00144B71" w:rsidRPr="00EF6288">
        <w:rPr>
          <w:rFonts w:ascii="Arial" w:hAnsi="Arial" w:cs="Arial"/>
          <w:color w:val="auto"/>
          <w:sz w:val="20"/>
        </w:rPr>
        <w:t>a</w:t>
      </w:r>
      <w:r w:rsidRPr="00EF6288">
        <w:rPr>
          <w:rFonts w:ascii="Arial" w:hAnsi="Arial" w:cs="Arial"/>
          <w:color w:val="auto"/>
          <w:sz w:val="20"/>
        </w:rPr>
        <w:t>ssessment indicators</w:t>
      </w:r>
      <w:r w:rsidR="00DB67EF">
        <w:rPr>
          <w:rFonts w:ascii="ZWAdobeF" w:hAnsi="ZWAdobeF" w:cs="ZWAdobeF"/>
          <w:color w:val="auto"/>
          <w:sz w:val="2"/>
          <w:szCs w:val="2"/>
        </w:rPr>
        <w:t>16F</w:t>
      </w:r>
      <w:r w:rsidR="004E4194">
        <w:rPr>
          <w:rStyle w:val="FootnoteReference"/>
          <w:rFonts w:ascii="Arial" w:hAnsi="Arial" w:cs="Arial"/>
          <w:color w:val="auto"/>
          <w:sz w:val="20"/>
        </w:rPr>
        <w:footnoteReference w:customMarkFollows="1" w:id="18"/>
        <w:t>2</w:t>
      </w:r>
      <w:bookmarkStart w:id="980" w:name="T1121"/>
      <w:bookmarkEnd w:id="980"/>
    </w:p>
    <w:tbl>
      <w:tblPr>
        <w:tblW w:w="82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General rules applied to rmath course rigor, The ACT, and ACT WorkKeys. The first column lists the common rules. The next two columns of reporting and school performance grades have a checkmark if the rule applies, are left blank if the rule doesn't apply, or have a number. The number means that it applies if the subgroup of students meet the mininum number indicated. "/>
      </w:tblPr>
      <w:tblGrid>
        <w:gridCol w:w="4312"/>
        <w:gridCol w:w="1620"/>
        <w:gridCol w:w="2340"/>
      </w:tblGrid>
      <w:tr w:rsidR="00144B71" w:rsidRPr="00EF6288" w14:paraId="07DFDB72" w14:textId="77777777" w:rsidTr="000375E8">
        <w:trPr>
          <w:tblHeader/>
        </w:trPr>
        <w:tc>
          <w:tcPr>
            <w:tcW w:w="4312" w:type="dxa"/>
            <w:tcBorders>
              <w:top w:val="single" w:sz="6" w:space="0" w:color="auto"/>
              <w:left w:val="single" w:sz="6" w:space="0" w:color="auto"/>
              <w:bottom w:val="single" w:sz="6" w:space="0" w:color="auto"/>
              <w:right w:val="single" w:sz="6" w:space="0" w:color="auto"/>
            </w:tcBorders>
            <w:shd w:val="clear" w:color="auto" w:fill="ACB9CA" w:themeFill="text2" w:themeFillTint="66"/>
            <w:vAlign w:val="center"/>
            <w:hideMark/>
          </w:tcPr>
          <w:p w14:paraId="7CFC8626" w14:textId="77777777" w:rsidR="00144B71" w:rsidRPr="00EF6288" w:rsidRDefault="00144B71">
            <w:pPr>
              <w:spacing w:line="240" w:lineRule="auto"/>
              <w:rPr>
                <w:rFonts w:ascii="Arial" w:hAnsi="Arial" w:cs="Arial"/>
                <w:b/>
                <w:bCs/>
                <w:color w:val="auto"/>
                <w:sz w:val="20"/>
              </w:rPr>
            </w:pPr>
            <w:r w:rsidRPr="00EF6288">
              <w:rPr>
                <w:rFonts w:ascii="Arial" w:hAnsi="Arial" w:cs="Arial"/>
                <w:b/>
                <w:bCs/>
                <w:color w:val="auto"/>
                <w:sz w:val="20"/>
              </w:rPr>
              <w:t xml:space="preserve"> Rule </w:t>
            </w:r>
          </w:p>
        </w:tc>
        <w:tc>
          <w:tcPr>
            <w:tcW w:w="1620"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7EB36925" w14:textId="77777777" w:rsidR="00144B71" w:rsidRPr="00EF6288" w:rsidRDefault="00144B71">
            <w:pPr>
              <w:spacing w:line="240" w:lineRule="auto"/>
              <w:jc w:val="center"/>
              <w:rPr>
                <w:rFonts w:ascii="Arial" w:hAnsi="Arial" w:cs="Arial"/>
                <w:b/>
                <w:bCs/>
                <w:color w:val="auto"/>
                <w:sz w:val="20"/>
              </w:rPr>
            </w:pPr>
            <w:r w:rsidRPr="00EF6288">
              <w:rPr>
                <w:rFonts w:ascii="Arial" w:hAnsi="Arial" w:cs="Arial"/>
                <w:b/>
                <w:bCs/>
                <w:color w:val="auto"/>
                <w:sz w:val="20"/>
              </w:rPr>
              <w:t>Reporting</w:t>
            </w:r>
          </w:p>
        </w:tc>
        <w:tc>
          <w:tcPr>
            <w:tcW w:w="2340" w:type="dxa"/>
            <w:tcBorders>
              <w:top w:val="single" w:sz="6" w:space="0" w:color="auto"/>
              <w:left w:val="single" w:sz="4" w:space="0" w:color="auto"/>
              <w:bottom w:val="single" w:sz="6" w:space="0" w:color="auto"/>
              <w:right w:val="single" w:sz="6" w:space="0" w:color="auto"/>
            </w:tcBorders>
            <w:shd w:val="clear" w:color="auto" w:fill="ACB9CA" w:themeFill="text2" w:themeFillTint="66"/>
            <w:vAlign w:val="center"/>
            <w:hideMark/>
          </w:tcPr>
          <w:p w14:paraId="2CFD2E24" w14:textId="081B615B" w:rsidR="00144B71" w:rsidRPr="00EF6288" w:rsidRDefault="00144B71">
            <w:pPr>
              <w:spacing w:line="240" w:lineRule="auto"/>
              <w:jc w:val="center"/>
              <w:rPr>
                <w:rFonts w:ascii="Arial" w:hAnsi="Arial" w:cs="Arial"/>
                <w:b/>
                <w:bCs/>
                <w:color w:val="auto"/>
                <w:sz w:val="20"/>
              </w:rPr>
            </w:pPr>
            <w:r w:rsidRPr="00EF6288">
              <w:rPr>
                <w:rFonts w:ascii="Arial" w:hAnsi="Arial" w:cs="Arial"/>
                <w:b/>
                <w:bCs/>
                <w:color w:val="auto"/>
                <w:sz w:val="20"/>
              </w:rPr>
              <w:t xml:space="preserve">School </w:t>
            </w:r>
            <w:r w:rsidR="00D04730" w:rsidRPr="00EF6288">
              <w:rPr>
                <w:rFonts w:ascii="Arial" w:hAnsi="Arial" w:cs="Arial"/>
                <w:b/>
                <w:bCs/>
                <w:color w:val="auto"/>
                <w:sz w:val="20"/>
              </w:rPr>
              <w:t>p</w:t>
            </w:r>
            <w:r w:rsidRPr="00EF6288">
              <w:rPr>
                <w:rFonts w:ascii="Arial" w:hAnsi="Arial" w:cs="Arial"/>
                <w:b/>
                <w:bCs/>
                <w:color w:val="auto"/>
                <w:sz w:val="20"/>
              </w:rPr>
              <w:t xml:space="preserve">erformance </w:t>
            </w:r>
            <w:r w:rsidR="00D04730" w:rsidRPr="00EF6288">
              <w:rPr>
                <w:rFonts w:ascii="Arial" w:hAnsi="Arial" w:cs="Arial"/>
                <w:b/>
                <w:bCs/>
                <w:color w:val="auto"/>
                <w:sz w:val="20"/>
              </w:rPr>
              <w:t>g</w:t>
            </w:r>
            <w:r w:rsidRPr="00EF6288">
              <w:rPr>
                <w:rFonts w:ascii="Arial" w:hAnsi="Arial" w:cs="Arial"/>
                <w:b/>
                <w:bCs/>
                <w:color w:val="auto"/>
                <w:sz w:val="20"/>
              </w:rPr>
              <w:t>rades</w:t>
            </w:r>
          </w:p>
        </w:tc>
      </w:tr>
      <w:tr w:rsidR="00144B71" w:rsidRPr="00EF6288" w14:paraId="723B8E9F" w14:textId="77777777" w:rsidTr="00412CCA">
        <w:tc>
          <w:tcPr>
            <w:tcW w:w="4312" w:type="dxa"/>
            <w:tcBorders>
              <w:top w:val="nil"/>
              <w:left w:val="single" w:sz="6" w:space="0" w:color="auto"/>
              <w:bottom w:val="single" w:sz="6" w:space="0" w:color="auto"/>
              <w:right w:val="single" w:sz="6" w:space="0" w:color="auto"/>
            </w:tcBorders>
            <w:tcMar>
              <w:left w:w="72" w:type="dxa"/>
            </w:tcMar>
            <w:vAlign w:val="center"/>
            <w:hideMark/>
          </w:tcPr>
          <w:p w14:paraId="394DB590" w14:textId="03F091BC" w:rsidR="00144B71" w:rsidRPr="00EF6288" w:rsidRDefault="00144B71" w:rsidP="000F74DD">
            <w:pPr>
              <w:spacing w:line="240" w:lineRule="auto"/>
              <w:rPr>
                <w:rFonts w:ascii="Arial" w:hAnsi="Arial" w:cs="Arial"/>
                <w:color w:val="auto"/>
                <w:sz w:val="20"/>
              </w:rPr>
            </w:pPr>
            <w:r w:rsidRPr="00EF6288">
              <w:rPr>
                <w:rFonts w:ascii="Arial" w:hAnsi="Arial" w:cs="Arial"/>
                <w:color w:val="auto"/>
                <w:sz w:val="20"/>
              </w:rPr>
              <w:t xml:space="preserve">Partial enrollment required </w:t>
            </w:r>
          </w:p>
        </w:tc>
        <w:tc>
          <w:tcPr>
            <w:tcW w:w="1620" w:type="dxa"/>
            <w:tcBorders>
              <w:top w:val="nil"/>
              <w:left w:val="nil"/>
              <w:bottom w:val="single" w:sz="6" w:space="0" w:color="auto"/>
              <w:right w:val="single" w:sz="6" w:space="0" w:color="auto"/>
            </w:tcBorders>
            <w:vAlign w:val="center"/>
            <w:hideMark/>
          </w:tcPr>
          <w:p w14:paraId="753B173F" w14:textId="0322FFAD" w:rsidR="00144B71" w:rsidRPr="00EF6288" w:rsidRDefault="00831083">
            <w:pPr>
              <w:spacing w:line="240" w:lineRule="auto"/>
              <w:jc w:val="center"/>
              <w:rPr>
                <w:rFonts w:ascii="Arial" w:hAnsi="Arial" w:cs="Arial"/>
                <w:color w:val="auto"/>
                <w:sz w:val="20"/>
              </w:rPr>
            </w:pPr>
            <w:r>
              <w:rPr>
                <w:rFonts w:ascii="Arial" w:hAnsi="Arial" w:cs="Arial"/>
                <w:color w:val="auto"/>
                <w:sz w:val="20"/>
              </w:rPr>
              <w:t>-</w:t>
            </w:r>
          </w:p>
        </w:tc>
        <w:tc>
          <w:tcPr>
            <w:tcW w:w="2340" w:type="dxa"/>
            <w:tcBorders>
              <w:top w:val="nil"/>
              <w:left w:val="single" w:sz="4" w:space="0" w:color="auto"/>
              <w:bottom w:val="single" w:sz="6" w:space="0" w:color="auto"/>
              <w:right w:val="single" w:sz="6" w:space="0" w:color="auto"/>
            </w:tcBorders>
            <w:vAlign w:val="center"/>
            <w:hideMark/>
          </w:tcPr>
          <w:p w14:paraId="1A776A73" w14:textId="434E850F" w:rsidR="00144B71" w:rsidRPr="00EF6288" w:rsidRDefault="00CB58D4">
            <w:pPr>
              <w:spacing w:line="240" w:lineRule="auto"/>
              <w:jc w:val="center"/>
              <w:rPr>
                <w:rFonts w:ascii="Arial" w:hAnsi="Arial" w:cs="Arial"/>
                <w:color w:val="auto"/>
                <w:sz w:val="20"/>
              </w:rPr>
            </w:pPr>
            <w:r>
              <w:rPr>
                <w:rFonts w:ascii="Arial" w:hAnsi="Arial" w:cs="Arial"/>
                <w:color w:val="auto"/>
                <w:sz w:val="20"/>
              </w:rPr>
              <w:t>Yes</w:t>
            </w:r>
          </w:p>
        </w:tc>
      </w:tr>
      <w:tr w:rsidR="00144B71" w:rsidRPr="00EF6288" w14:paraId="4AC4E2D2" w14:textId="77777777" w:rsidTr="00412CCA">
        <w:tc>
          <w:tcPr>
            <w:tcW w:w="4312" w:type="dxa"/>
            <w:tcBorders>
              <w:top w:val="nil"/>
              <w:left w:val="single" w:sz="6" w:space="0" w:color="auto"/>
              <w:bottom w:val="single" w:sz="6" w:space="0" w:color="auto"/>
              <w:right w:val="single" w:sz="6" w:space="0" w:color="auto"/>
            </w:tcBorders>
            <w:tcMar>
              <w:left w:w="72" w:type="dxa"/>
            </w:tcMar>
            <w:vAlign w:val="center"/>
            <w:hideMark/>
          </w:tcPr>
          <w:p w14:paraId="096E9B34" w14:textId="62202CA0" w:rsidR="00144B71" w:rsidRPr="00EF6288" w:rsidRDefault="00144B71">
            <w:pPr>
              <w:spacing w:line="240" w:lineRule="auto"/>
              <w:rPr>
                <w:rFonts w:ascii="Arial" w:hAnsi="Arial" w:cs="Arial"/>
                <w:color w:val="auto"/>
                <w:sz w:val="20"/>
              </w:rPr>
            </w:pPr>
            <w:r w:rsidRPr="00EF6288">
              <w:rPr>
                <w:rFonts w:ascii="Arial" w:hAnsi="Arial" w:cs="Arial"/>
                <w:color w:val="auto"/>
                <w:sz w:val="20"/>
              </w:rPr>
              <w:t>Requires a minimum number of students</w:t>
            </w:r>
            <w:r w:rsidR="00031CB7" w:rsidRPr="00BF1F0E">
              <w:rPr>
                <w:rFonts w:ascii="Arial" w:hAnsi="Arial" w:cs="Arial"/>
                <w:color w:val="auto"/>
                <w:sz w:val="20"/>
              </w:rPr>
              <w:t xml:space="preserve"> </w:t>
            </w:r>
            <w:r w:rsidRPr="00EF6288">
              <w:rPr>
                <w:rFonts w:ascii="Arial" w:hAnsi="Arial" w:cs="Arial"/>
                <w:color w:val="auto"/>
                <w:sz w:val="20"/>
              </w:rPr>
              <w:t>(</w:t>
            </w:r>
            <w:bookmarkStart w:id="981" w:name="_Int_QAvutIa1"/>
            <w:r w:rsidR="000F74DD" w:rsidRPr="00EF6288">
              <w:rPr>
                <w:rFonts w:ascii="Arial" w:hAnsi="Arial" w:cs="Arial"/>
                <w:color w:val="auto"/>
                <w:sz w:val="20"/>
              </w:rPr>
              <w:t>m</w:t>
            </w:r>
            <w:r w:rsidRPr="00EF6288">
              <w:rPr>
                <w:rFonts w:ascii="Arial" w:hAnsi="Arial" w:cs="Arial"/>
                <w:color w:val="auto"/>
                <w:sz w:val="20"/>
              </w:rPr>
              <w:t>inimum</w:t>
            </w:r>
            <w:bookmarkEnd w:id="981"/>
            <w:r w:rsidRPr="00EF6288">
              <w:rPr>
                <w:rFonts w:ascii="Arial" w:hAnsi="Arial" w:cs="Arial"/>
                <w:color w:val="auto"/>
                <w:sz w:val="20"/>
              </w:rPr>
              <w:t>-</w:t>
            </w:r>
            <w:r w:rsidR="000B72F0" w:rsidRPr="00EF6288">
              <w:rPr>
                <w:rFonts w:ascii="Arial" w:hAnsi="Arial" w:cs="Arial"/>
                <w:color w:val="auto"/>
                <w:sz w:val="20"/>
              </w:rPr>
              <w:t>n</w:t>
            </w:r>
            <w:r w:rsidRPr="00EF6288">
              <w:rPr>
                <w:rFonts w:ascii="Arial" w:hAnsi="Arial" w:cs="Arial"/>
                <w:color w:val="auto"/>
                <w:sz w:val="20"/>
              </w:rPr>
              <w:t xml:space="preserve">) </w:t>
            </w:r>
          </w:p>
        </w:tc>
        <w:tc>
          <w:tcPr>
            <w:tcW w:w="1620" w:type="dxa"/>
            <w:tcBorders>
              <w:top w:val="nil"/>
              <w:left w:val="nil"/>
              <w:bottom w:val="single" w:sz="6" w:space="0" w:color="auto"/>
              <w:right w:val="single" w:sz="6" w:space="0" w:color="auto"/>
            </w:tcBorders>
            <w:vAlign w:val="center"/>
            <w:hideMark/>
          </w:tcPr>
          <w:p w14:paraId="7344C92B" w14:textId="77777777" w:rsidR="00144B71" w:rsidRPr="00EF6288" w:rsidRDefault="00144B71">
            <w:pPr>
              <w:spacing w:line="240" w:lineRule="auto"/>
              <w:jc w:val="center"/>
              <w:rPr>
                <w:rFonts w:ascii="Arial" w:hAnsi="Arial" w:cs="Arial"/>
                <w:color w:val="auto"/>
                <w:sz w:val="20"/>
              </w:rPr>
            </w:pPr>
            <w:r w:rsidRPr="00EF6288">
              <w:rPr>
                <w:rFonts w:ascii="Arial" w:hAnsi="Arial" w:cs="Arial"/>
                <w:color w:val="auto"/>
                <w:sz w:val="20"/>
              </w:rPr>
              <w:t>10</w:t>
            </w:r>
          </w:p>
        </w:tc>
        <w:tc>
          <w:tcPr>
            <w:tcW w:w="2340" w:type="dxa"/>
            <w:tcBorders>
              <w:top w:val="nil"/>
              <w:left w:val="single" w:sz="4" w:space="0" w:color="auto"/>
              <w:bottom w:val="single" w:sz="6" w:space="0" w:color="auto"/>
              <w:right w:val="single" w:sz="6" w:space="0" w:color="auto"/>
            </w:tcBorders>
            <w:vAlign w:val="center"/>
            <w:hideMark/>
          </w:tcPr>
          <w:p w14:paraId="123307F4" w14:textId="7816FF53" w:rsidR="00144B71" w:rsidRPr="00EF6288" w:rsidRDefault="00144B71">
            <w:pPr>
              <w:spacing w:line="240" w:lineRule="auto"/>
              <w:jc w:val="center"/>
              <w:rPr>
                <w:rFonts w:ascii="Arial" w:hAnsi="Arial" w:cs="Arial"/>
                <w:color w:val="auto"/>
                <w:sz w:val="20"/>
              </w:rPr>
            </w:pPr>
            <w:r w:rsidRPr="00EF6288">
              <w:rPr>
                <w:rFonts w:ascii="Arial" w:hAnsi="Arial" w:cs="Arial"/>
                <w:color w:val="auto"/>
                <w:sz w:val="20"/>
              </w:rPr>
              <w:t>30</w:t>
            </w:r>
          </w:p>
        </w:tc>
      </w:tr>
      <w:tr w:rsidR="00144B71" w:rsidRPr="00EF6288" w14:paraId="563B0ADF" w14:textId="77777777" w:rsidTr="00412CCA">
        <w:tc>
          <w:tcPr>
            <w:tcW w:w="4312" w:type="dxa"/>
            <w:tcBorders>
              <w:top w:val="nil"/>
              <w:left w:val="single" w:sz="6" w:space="0" w:color="auto"/>
              <w:bottom w:val="single" w:sz="6" w:space="0" w:color="auto"/>
              <w:right w:val="single" w:sz="6" w:space="0" w:color="auto"/>
            </w:tcBorders>
            <w:tcMar>
              <w:left w:w="72" w:type="dxa"/>
            </w:tcMar>
            <w:vAlign w:val="center"/>
            <w:hideMark/>
          </w:tcPr>
          <w:p w14:paraId="3EFD1AAC" w14:textId="452A4257" w:rsidR="00144B71" w:rsidRPr="00EF6288" w:rsidRDefault="00144B71">
            <w:pPr>
              <w:spacing w:line="240" w:lineRule="auto"/>
              <w:rPr>
                <w:rFonts w:ascii="Arial" w:hAnsi="Arial" w:cs="Arial"/>
                <w:color w:val="auto"/>
                <w:sz w:val="20"/>
              </w:rPr>
            </w:pPr>
            <w:r w:rsidRPr="00EF6288">
              <w:rPr>
                <w:rFonts w:ascii="Arial" w:hAnsi="Arial" w:cs="Arial"/>
                <w:color w:val="auto"/>
                <w:sz w:val="20"/>
              </w:rPr>
              <w:t>Accountability subgroup designations as noted in table 11</w:t>
            </w:r>
            <w:r w:rsidR="007D76FE">
              <w:rPr>
                <w:rFonts w:ascii="Arial" w:hAnsi="Arial" w:cs="Arial"/>
                <w:color w:val="auto"/>
                <w:sz w:val="20"/>
              </w:rPr>
              <w:t>.2</w:t>
            </w:r>
          </w:p>
        </w:tc>
        <w:tc>
          <w:tcPr>
            <w:tcW w:w="1620" w:type="dxa"/>
            <w:tcBorders>
              <w:top w:val="nil"/>
              <w:left w:val="nil"/>
              <w:bottom w:val="single" w:sz="6" w:space="0" w:color="auto"/>
              <w:right w:val="single" w:sz="6" w:space="0" w:color="auto"/>
            </w:tcBorders>
            <w:vAlign w:val="center"/>
            <w:hideMark/>
          </w:tcPr>
          <w:p w14:paraId="0EF51C84" w14:textId="0EEBDEB1" w:rsidR="00144B71" w:rsidRPr="00EF6288" w:rsidRDefault="00CB58D4">
            <w:pPr>
              <w:spacing w:line="240" w:lineRule="auto"/>
              <w:jc w:val="center"/>
              <w:rPr>
                <w:rFonts w:ascii="Arial" w:hAnsi="Arial" w:cs="Arial"/>
                <w:color w:val="auto"/>
                <w:sz w:val="20"/>
              </w:rPr>
            </w:pPr>
            <w:r>
              <w:rPr>
                <w:rFonts w:ascii="Arial" w:hAnsi="Arial" w:cs="Arial"/>
                <w:color w:val="auto"/>
                <w:sz w:val="20"/>
              </w:rPr>
              <w:t>Yes</w:t>
            </w:r>
          </w:p>
        </w:tc>
        <w:tc>
          <w:tcPr>
            <w:tcW w:w="2340" w:type="dxa"/>
            <w:tcBorders>
              <w:top w:val="nil"/>
              <w:left w:val="single" w:sz="4" w:space="0" w:color="auto"/>
              <w:bottom w:val="single" w:sz="6" w:space="0" w:color="auto"/>
              <w:right w:val="single" w:sz="6" w:space="0" w:color="auto"/>
            </w:tcBorders>
            <w:vAlign w:val="center"/>
            <w:hideMark/>
          </w:tcPr>
          <w:p w14:paraId="631C782C" w14:textId="5718DA17" w:rsidR="00144B71" w:rsidRPr="00EF6288" w:rsidRDefault="00CB58D4">
            <w:pPr>
              <w:spacing w:line="240" w:lineRule="auto"/>
              <w:jc w:val="center"/>
              <w:rPr>
                <w:rFonts w:ascii="Arial" w:hAnsi="Arial" w:cs="Arial"/>
                <w:color w:val="auto"/>
                <w:sz w:val="20"/>
              </w:rPr>
            </w:pPr>
            <w:r>
              <w:rPr>
                <w:rFonts w:ascii="Arial" w:hAnsi="Arial" w:cs="Arial"/>
                <w:noProof/>
                <w:color w:val="auto"/>
                <w:sz w:val="20"/>
              </w:rPr>
              <w:t>Yes</w:t>
            </w:r>
          </w:p>
        </w:tc>
      </w:tr>
      <w:tr w:rsidR="00144B71" w:rsidRPr="00EF6288" w14:paraId="433CAA09" w14:textId="77777777" w:rsidTr="00412CCA">
        <w:tc>
          <w:tcPr>
            <w:tcW w:w="4312" w:type="dxa"/>
            <w:tcBorders>
              <w:top w:val="nil"/>
              <w:left w:val="single" w:sz="6" w:space="0" w:color="auto"/>
              <w:bottom w:val="single" w:sz="6" w:space="0" w:color="auto"/>
              <w:right w:val="single" w:sz="6" w:space="0" w:color="auto"/>
            </w:tcBorders>
            <w:tcMar>
              <w:left w:w="72" w:type="dxa"/>
            </w:tcMar>
            <w:vAlign w:val="center"/>
            <w:hideMark/>
          </w:tcPr>
          <w:p w14:paraId="321CF384" w14:textId="0A6EA937" w:rsidR="00144B71" w:rsidRPr="00EF6288" w:rsidRDefault="00144B71">
            <w:pPr>
              <w:spacing w:line="240" w:lineRule="auto"/>
              <w:rPr>
                <w:rFonts w:ascii="Arial" w:hAnsi="Arial" w:cs="Arial"/>
                <w:color w:val="auto"/>
                <w:sz w:val="20"/>
              </w:rPr>
            </w:pPr>
            <w:r w:rsidRPr="00EF6288">
              <w:rPr>
                <w:rFonts w:ascii="Arial" w:hAnsi="Arial" w:cs="Arial"/>
                <w:color w:val="auto"/>
                <w:sz w:val="20"/>
              </w:rPr>
              <w:t>Additional subgroups as noted in table 11</w:t>
            </w:r>
            <w:r w:rsidR="007D76FE">
              <w:rPr>
                <w:rFonts w:ascii="Arial" w:hAnsi="Arial" w:cs="Arial"/>
                <w:color w:val="auto"/>
                <w:sz w:val="20"/>
              </w:rPr>
              <w:t>.2</w:t>
            </w:r>
            <w:r w:rsidRPr="00EF6288">
              <w:rPr>
                <w:rFonts w:ascii="Arial" w:hAnsi="Arial" w:cs="Arial"/>
                <w:color w:val="auto"/>
                <w:sz w:val="20"/>
              </w:rPr>
              <w:t> </w:t>
            </w:r>
          </w:p>
        </w:tc>
        <w:tc>
          <w:tcPr>
            <w:tcW w:w="1620" w:type="dxa"/>
            <w:tcBorders>
              <w:top w:val="nil"/>
              <w:left w:val="nil"/>
              <w:bottom w:val="single" w:sz="6" w:space="0" w:color="auto"/>
              <w:right w:val="single" w:sz="6" w:space="0" w:color="auto"/>
            </w:tcBorders>
            <w:vAlign w:val="center"/>
            <w:hideMark/>
          </w:tcPr>
          <w:p w14:paraId="1BB6D503" w14:textId="2B31A4E7" w:rsidR="00144B71" w:rsidRPr="00EF6288" w:rsidRDefault="00CB58D4">
            <w:pPr>
              <w:spacing w:line="240" w:lineRule="auto"/>
              <w:jc w:val="center"/>
              <w:rPr>
                <w:rFonts w:ascii="Arial" w:hAnsi="Arial" w:cs="Arial"/>
                <w:color w:val="auto"/>
                <w:sz w:val="20"/>
              </w:rPr>
            </w:pPr>
            <w:r>
              <w:rPr>
                <w:rFonts w:ascii="Arial" w:hAnsi="Arial" w:cs="Arial"/>
                <w:color w:val="auto"/>
                <w:sz w:val="20"/>
              </w:rPr>
              <w:t>Yes</w:t>
            </w:r>
          </w:p>
        </w:tc>
        <w:tc>
          <w:tcPr>
            <w:tcW w:w="2340" w:type="dxa"/>
            <w:tcBorders>
              <w:top w:val="nil"/>
              <w:left w:val="single" w:sz="4" w:space="0" w:color="auto"/>
              <w:bottom w:val="single" w:sz="6" w:space="0" w:color="auto"/>
              <w:right w:val="single" w:sz="6" w:space="0" w:color="auto"/>
            </w:tcBorders>
            <w:vAlign w:val="center"/>
            <w:hideMark/>
          </w:tcPr>
          <w:p w14:paraId="10270021" w14:textId="70B73310" w:rsidR="00144B71" w:rsidRPr="00EF6288" w:rsidRDefault="00831083">
            <w:pPr>
              <w:spacing w:line="240" w:lineRule="auto"/>
              <w:jc w:val="center"/>
              <w:rPr>
                <w:rFonts w:ascii="Arial" w:hAnsi="Arial" w:cs="Arial"/>
                <w:color w:val="auto"/>
                <w:sz w:val="20"/>
              </w:rPr>
            </w:pPr>
            <w:r>
              <w:rPr>
                <w:rFonts w:ascii="Arial" w:hAnsi="Arial" w:cs="Arial"/>
                <w:color w:val="auto"/>
                <w:sz w:val="20"/>
              </w:rPr>
              <w:t>-</w:t>
            </w:r>
          </w:p>
        </w:tc>
      </w:tr>
      <w:tr w:rsidR="00144B71" w:rsidRPr="00EF6288" w14:paraId="103B142F" w14:textId="77777777" w:rsidTr="0071089C">
        <w:tc>
          <w:tcPr>
            <w:tcW w:w="4312" w:type="dxa"/>
            <w:tcBorders>
              <w:top w:val="nil"/>
              <w:left w:val="single" w:sz="6" w:space="0" w:color="auto"/>
              <w:bottom w:val="single" w:sz="6" w:space="0" w:color="auto"/>
              <w:right w:val="single" w:sz="6" w:space="0" w:color="auto"/>
            </w:tcBorders>
            <w:tcMar>
              <w:left w:w="72" w:type="dxa"/>
            </w:tcMar>
            <w:vAlign w:val="center"/>
            <w:hideMark/>
          </w:tcPr>
          <w:p w14:paraId="742B8DA3" w14:textId="581EAC73" w:rsidR="00144B71" w:rsidRPr="00EF6288" w:rsidRDefault="00144B71" w:rsidP="00B37B32">
            <w:pPr>
              <w:spacing w:line="240" w:lineRule="auto"/>
              <w:rPr>
                <w:rFonts w:ascii="Arial" w:hAnsi="Arial" w:cs="Arial"/>
                <w:color w:val="auto"/>
                <w:sz w:val="20"/>
              </w:rPr>
            </w:pPr>
            <w:r w:rsidRPr="00EF6288">
              <w:rPr>
                <w:rFonts w:ascii="Arial" w:hAnsi="Arial" w:cs="Arial"/>
                <w:color w:val="auto"/>
                <w:sz w:val="20"/>
              </w:rPr>
              <w:t xml:space="preserve">Inclusion of EL students </w:t>
            </w:r>
            <w:r w:rsidR="00B37B32" w:rsidRPr="00EF6288">
              <w:rPr>
                <w:rFonts w:ascii="Arial" w:hAnsi="Arial" w:cs="Arial"/>
                <w:color w:val="auto"/>
                <w:sz w:val="20"/>
              </w:rPr>
              <w:t>in their first or second year in U.S. schools (MCR only)</w:t>
            </w:r>
            <w:r w:rsidRPr="00EF6288">
              <w:rPr>
                <w:rFonts w:ascii="Arial" w:hAnsi="Arial" w:cs="Arial"/>
                <w:color w:val="auto"/>
                <w:sz w:val="20"/>
              </w:rPr>
              <w:t> </w:t>
            </w:r>
          </w:p>
        </w:tc>
        <w:tc>
          <w:tcPr>
            <w:tcW w:w="1620" w:type="dxa"/>
            <w:tcBorders>
              <w:top w:val="nil"/>
              <w:left w:val="nil"/>
              <w:bottom w:val="single" w:sz="6" w:space="0" w:color="auto"/>
              <w:right w:val="single" w:sz="6" w:space="0" w:color="auto"/>
            </w:tcBorders>
            <w:vAlign w:val="center"/>
            <w:hideMark/>
          </w:tcPr>
          <w:p w14:paraId="45E58B4B" w14:textId="0CA435AD" w:rsidR="00144B71" w:rsidRPr="00EF6288" w:rsidRDefault="00CB58D4">
            <w:pPr>
              <w:spacing w:line="240" w:lineRule="auto"/>
              <w:jc w:val="center"/>
              <w:rPr>
                <w:rFonts w:ascii="Arial" w:hAnsi="Arial" w:cs="Arial"/>
                <w:color w:val="auto"/>
                <w:sz w:val="20"/>
              </w:rPr>
            </w:pPr>
            <w:r>
              <w:rPr>
                <w:rFonts w:ascii="Arial" w:hAnsi="Arial" w:cs="Arial"/>
                <w:color w:val="auto"/>
                <w:sz w:val="20"/>
              </w:rPr>
              <w:t>Yes</w:t>
            </w:r>
          </w:p>
        </w:tc>
        <w:tc>
          <w:tcPr>
            <w:tcW w:w="2340" w:type="dxa"/>
            <w:tcBorders>
              <w:top w:val="nil"/>
              <w:left w:val="single" w:sz="4" w:space="0" w:color="auto"/>
              <w:bottom w:val="single" w:sz="6" w:space="0" w:color="auto"/>
              <w:right w:val="single" w:sz="6" w:space="0" w:color="auto"/>
            </w:tcBorders>
            <w:vAlign w:val="center"/>
          </w:tcPr>
          <w:p w14:paraId="14475957" w14:textId="1F9D81A0" w:rsidR="00144B71" w:rsidRPr="00EF6288" w:rsidRDefault="00CB58D4">
            <w:pPr>
              <w:spacing w:line="240" w:lineRule="auto"/>
              <w:jc w:val="center"/>
              <w:rPr>
                <w:rFonts w:ascii="Arial" w:hAnsi="Arial" w:cs="Arial"/>
                <w:color w:val="auto"/>
                <w:sz w:val="20"/>
              </w:rPr>
            </w:pPr>
            <w:r>
              <w:rPr>
                <w:rFonts w:ascii="Arial" w:hAnsi="Arial" w:cs="Arial"/>
                <w:color w:val="auto"/>
                <w:sz w:val="20"/>
              </w:rPr>
              <w:t>Yes</w:t>
            </w:r>
          </w:p>
        </w:tc>
      </w:tr>
      <w:tr w:rsidR="00144B71" w:rsidRPr="00EF6288" w14:paraId="5776E09F" w14:textId="77777777" w:rsidTr="00332F52">
        <w:tc>
          <w:tcPr>
            <w:tcW w:w="4312" w:type="dxa"/>
            <w:tcBorders>
              <w:top w:val="nil"/>
              <w:left w:val="single" w:sz="6" w:space="0" w:color="auto"/>
              <w:bottom w:val="single" w:sz="4" w:space="0" w:color="auto"/>
              <w:right w:val="single" w:sz="6" w:space="0" w:color="auto"/>
            </w:tcBorders>
            <w:tcMar>
              <w:left w:w="72" w:type="dxa"/>
            </w:tcMar>
            <w:vAlign w:val="center"/>
            <w:hideMark/>
          </w:tcPr>
          <w:p w14:paraId="26EDD54D" w14:textId="67B47139" w:rsidR="00144B71" w:rsidRPr="00EF6288" w:rsidRDefault="00144B71" w:rsidP="006A1C41">
            <w:pPr>
              <w:spacing w:line="240" w:lineRule="auto"/>
              <w:rPr>
                <w:rFonts w:ascii="Arial" w:hAnsi="Arial" w:cs="Arial"/>
                <w:color w:val="auto"/>
                <w:sz w:val="20"/>
              </w:rPr>
            </w:pPr>
            <w:r w:rsidRPr="00EF6288">
              <w:rPr>
                <w:rFonts w:ascii="Arial" w:hAnsi="Arial" w:cs="Arial"/>
                <w:color w:val="auto"/>
                <w:sz w:val="20"/>
              </w:rPr>
              <w:t xml:space="preserve">Inclusion of </w:t>
            </w:r>
            <w:r w:rsidR="006A1C41" w:rsidRPr="00EF6288">
              <w:rPr>
                <w:rFonts w:ascii="Arial" w:hAnsi="Arial" w:cs="Arial"/>
                <w:color w:val="auto"/>
                <w:sz w:val="20"/>
              </w:rPr>
              <w:t>EL students in their first or second year in U.S. schools (AWA only)</w:t>
            </w:r>
          </w:p>
        </w:tc>
        <w:tc>
          <w:tcPr>
            <w:tcW w:w="1620" w:type="dxa"/>
            <w:tcBorders>
              <w:top w:val="nil"/>
              <w:left w:val="nil"/>
              <w:bottom w:val="single" w:sz="4" w:space="0" w:color="auto"/>
              <w:right w:val="single" w:sz="6" w:space="0" w:color="auto"/>
            </w:tcBorders>
            <w:vAlign w:val="center"/>
            <w:hideMark/>
          </w:tcPr>
          <w:p w14:paraId="0D1CC3B1" w14:textId="7106B4E6" w:rsidR="00144B71" w:rsidRPr="00EF6288" w:rsidRDefault="00CB58D4">
            <w:pPr>
              <w:spacing w:line="240" w:lineRule="auto"/>
              <w:jc w:val="center"/>
              <w:rPr>
                <w:rFonts w:ascii="Arial" w:hAnsi="Arial" w:cs="Arial"/>
                <w:color w:val="auto"/>
                <w:sz w:val="20"/>
              </w:rPr>
            </w:pPr>
            <w:r>
              <w:rPr>
                <w:rFonts w:ascii="Arial" w:hAnsi="Arial" w:cs="Arial"/>
                <w:color w:val="auto"/>
                <w:sz w:val="20"/>
              </w:rPr>
              <w:t>Yes</w:t>
            </w:r>
          </w:p>
        </w:tc>
        <w:tc>
          <w:tcPr>
            <w:tcW w:w="2340" w:type="dxa"/>
            <w:tcBorders>
              <w:top w:val="nil"/>
              <w:left w:val="single" w:sz="4" w:space="0" w:color="auto"/>
              <w:bottom w:val="single" w:sz="4" w:space="0" w:color="auto"/>
              <w:right w:val="single" w:sz="6" w:space="0" w:color="auto"/>
            </w:tcBorders>
            <w:vAlign w:val="center"/>
          </w:tcPr>
          <w:p w14:paraId="4FC86FD3" w14:textId="3F2ED4E4" w:rsidR="00144B71" w:rsidRPr="00EF6288" w:rsidRDefault="00831083">
            <w:pPr>
              <w:spacing w:line="240" w:lineRule="auto"/>
              <w:jc w:val="center"/>
              <w:rPr>
                <w:rFonts w:ascii="Arial" w:hAnsi="Arial" w:cs="Arial"/>
                <w:color w:val="auto"/>
                <w:sz w:val="20"/>
              </w:rPr>
            </w:pPr>
            <w:r>
              <w:rPr>
                <w:rFonts w:ascii="Arial" w:hAnsi="Arial" w:cs="Arial"/>
                <w:color w:val="auto"/>
                <w:sz w:val="20"/>
              </w:rPr>
              <w:t>-</w:t>
            </w:r>
          </w:p>
        </w:tc>
      </w:tr>
      <w:tr w:rsidR="00144B71" w:rsidRPr="00EF6288" w14:paraId="3D2934D8" w14:textId="77777777" w:rsidTr="00412CCA">
        <w:tc>
          <w:tcPr>
            <w:tcW w:w="4312" w:type="dxa"/>
            <w:tcBorders>
              <w:top w:val="single" w:sz="4" w:space="0" w:color="auto"/>
              <w:left w:val="single" w:sz="4" w:space="0" w:color="auto"/>
              <w:bottom w:val="single" w:sz="4" w:space="0" w:color="auto"/>
              <w:right w:val="single" w:sz="4" w:space="0" w:color="auto"/>
            </w:tcBorders>
            <w:tcMar>
              <w:left w:w="72" w:type="dxa"/>
            </w:tcMar>
            <w:vAlign w:val="center"/>
          </w:tcPr>
          <w:p w14:paraId="2A2763C1" w14:textId="065ABAFA" w:rsidR="00144B71" w:rsidRPr="00EF6288" w:rsidRDefault="00144B71" w:rsidP="000F6493">
            <w:pPr>
              <w:spacing w:line="240" w:lineRule="auto"/>
              <w:rPr>
                <w:rFonts w:ascii="Arial" w:hAnsi="Arial" w:cs="Arial"/>
                <w:color w:val="auto"/>
                <w:sz w:val="20"/>
              </w:rPr>
            </w:pPr>
            <w:r w:rsidRPr="00EF6288">
              <w:rPr>
                <w:rFonts w:ascii="Arial" w:hAnsi="Arial" w:cs="Arial"/>
                <w:color w:val="auto"/>
                <w:sz w:val="20"/>
              </w:rPr>
              <w:t xml:space="preserve">Inclusion </w:t>
            </w:r>
            <w:r w:rsidR="000F6493" w:rsidRPr="00EF6288">
              <w:rPr>
                <w:rFonts w:ascii="Arial" w:hAnsi="Arial" w:cs="Arial"/>
                <w:color w:val="auto"/>
                <w:sz w:val="20"/>
              </w:rPr>
              <w:t>in the EL subgroup, students who exited EL status in the last four years</w:t>
            </w:r>
            <w:r w:rsidRPr="00EF6288">
              <w:rPr>
                <w:rFonts w:ascii="Arial" w:hAnsi="Arial" w:cs="Arial"/>
                <w:color w:val="auto"/>
                <w:sz w:val="20"/>
              </w:rPr>
              <w:t> </w:t>
            </w:r>
          </w:p>
        </w:tc>
        <w:tc>
          <w:tcPr>
            <w:tcW w:w="1620" w:type="dxa"/>
            <w:tcBorders>
              <w:top w:val="single" w:sz="4" w:space="0" w:color="auto"/>
              <w:left w:val="single" w:sz="4" w:space="0" w:color="auto"/>
              <w:bottom w:val="single" w:sz="4" w:space="0" w:color="auto"/>
              <w:right w:val="single" w:sz="4" w:space="0" w:color="auto"/>
            </w:tcBorders>
            <w:vAlign w:val="center"/>
          </w:tcPr>
          <w:p w14:paraId="442AB443" w14:textId="02AA04C6" w:rsidR="00144B71" w:rsidRPr="00EF6288" w:rsidRDefault="00831083">
            <w:pPr>
              <w:spacing w:line="240" w:lineRule="auto"/>
              <w:jc w:val="center"/>
              <w:rPr>
                <w:rFonts w:ascii="Arial" w:hAnsi="Arial" w:cs="Arial"/>
                <w:noProof/>
                <w:color w:val="auto"/>
                <w:sz w:val="20"/>
              </w:rPr>
            </w:pPr>
            <w:r>
              <w:rPr>
                <w:rFonts w:ascii="Arial" w:hAnsi="Arial" w:cs="Arial"/>
                <w:color w:val="auto"/>
                <w:sz w:val="20"/>
              </w:rPr>
              <w:t>-</w:t>
            </w:r>
          </w:p>
        </w:tc>
        <w:tc>
          <w:tcPr>
            <w:tcW w:w="2340" w:type="dxa"/>
            <w:tcBorders>
              <w:top w:val="single" w:sz="4" w:space="0" w:color="auto"/>
              <w:left w:val="single" w:sz="4" w:space="0" w:color="auto"/>
              <w:bottom w:val="single" w:sz="4" w:space="0" w:color="auto"/>
              <w:right w:val="single" w:sz="4" w:space="0" w:color="auto"/>
            </w:tcBorders>
            <w:vAlign w:val="center"/>
          </w:tcPr>
          <w:p w14:paraId="2F071123" w14:textId="48D9AE46" w:rsidR="00144B71" w:rsidRPr="00EF6288" w:rsidRDefault="00CB58D4">
            <w:pPr>
              <w:spacing w:line="240" w:lineRule="auto"/>
              <w:jc w:val="center"/>
              <w:rPr>
                <w:rFonts w:ascii="Arial" w:hAnsi="Arial" w:cs="Arial"/>
                <w:color w:val="auto"/>
                <w:sz w:val="20"/>
              </w:rPr>
            </w:pPr>
            <w:r>
              <w:rPr>
                <w:rFonts w:ascii="Arial" w:hAnsi="Arial" w:cs="Arial"/>
                <w:color w:val="auto"/>
                <w:sz w:val="20"/>
              </w:rPr>
              <w:t>Yes</w:t>
            </w:r>
          </w:p>
        </w:tc>
      </w:tr>
    </w:tbl>
    <w:p w14:paraId="18B2AF91" w14:textId="77777777" w:rsidR="005C178C" w:rsidRPr="00EF6288" w:rsidRDefault="005C178C" w:rsidP="004115F4">
      <w:pPr>
        <w:spacing w:line="240" w:lineRule="auto"/>
        <w:rPr>
          <w:rFonts w:ascii="Arial" w:hAnsi="Arial" w:cs="Arial"/>
          <w:sz w:val="20"/>
        </w:rPr>
      </w:pPr>
    </w:p>
    <w:p w14:paraId="3F2A66D4" w14:textId="21017A49" w:rsidR="001D73F7" w:rsidRPr="00EF6288" w:rsidRDefault="001D73F7" w:rsidP="001D73F7">
      <w:pPr>
        <w:spacing w:line="240" w:lineRule="auto"/>
        <w:rPr>
          <w:rFonts w:ascii="Arial" w:hAnsi="Arial" w:cs="Arial"/>
          <w:color w:val="auto"/>
          <w:sz w:val="20"/>
        </w:rPr>
      </w:pPr>
      <w:bookmarkStart w:id="982" w:name="Table1122"/>
      <w:r w:rsidRPr="00EF6288">
        <w:rPr>
          <w:rFonts w:ascii="Arial" w:hAnsi="Arial" w:cs="Arial"/>
          <w:color w:val="auto"/>
          <w:sz w:val="20"/>
        </w:rPr>
        <w:t>TABLE 11.</w:t>
      </w:r>
      <w:r w:rsidR="007502D8" w:rsidRPr="00EF6288">
        <w:rPr>
          <w:rFonts w:ascii="Arial" w:hAnsi="Arial" w:cs="Arial"/>
          <w:color w:val="auto"/>
          <w:sz w:val="20"/>
        </w:rPr>
        <w:t>2.</w:t>
      </w:r>
      <w:r w:rsidRPr="00EF6288">
        <w:rPr>
          <w:rFonts w:ascii="Arial" w:hAnsi="Arial" w:cs="Arial"/>
          <w:color w:val="auto"/>
          <w:sz w:val="20"/>
        </w:rPr>
        <w:t xml:space="preserve">2. </w:t>
      </w:r>
      <w:bookmarkEnd w:id="982"/>
      <w:r w:rsidRPr="00EF6288">
        <w:rPr>
          <w:rFonts w:ascii="Arial" w:hAnsi="Arial" w:cs="Arial"/>
          <w:color w:val="auto"/>
          <w:sz w:val="20"/>
        </w:rPr>
        <w:t>General rules applied to the Cohort Graduation Rate indicator </w:t>
      </w:r>
    </w:p>
    <w:tbl>
      <w:tblPr>
        <w:tblW w:w="8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General rules applied to the cohort graduation rate indicator. The first column lists the common rules. The next three columns of reporting, long-term goals, and school performance grades have a checkmark if the rule applies, are left blank if the rule doesn't apply, or have a number. The number means that it applies if the subgroup of students meet the mininum number indicated. "/>
      </w:tblPr>
      <w:tblGrid>
        <w:gridCol w:w="3600"/>
        <w:gridCol w:w="1452"/>
        <w:gridCol w:w="1525"/>
        <w:gridCol w:w="1675"/>
      </w:tblGrid>
      <w:tr w:rsidR="004E70DE" w:rsidRPr="00EF6288" w14:paraId="41FB2AC7" w14:textId="77777777" w:rsidTr="001F60C0">
        <w:trPr>
          <w:trHeight w:val="669"/>
        </w:trPr>
        <w:tc>
          <w:tcPr>
            <w:tcW w:w="3600" w:type="dxa"/>
            <w:tcBorders>
              <w:top w:val="single" w:sz="6" w:space="0" w:color="auto"/>
              <w:left w:val="single" w:sz="6" w:space="0" w:color="auto"/>
              <w:bottom w:val="single" w:sz="6" w:space="0" w:color="auto"/>
              <w:right w:val="single" w:sz="6" w:space="0" w:color="auto"/>
            </w:tcBorders>
            <w:shd w:val="clear" w:color="auto" w:fill="ACB9CA" w:themeFill="text2" w:themeFillTint="66"/>
            <w:vAlign w:val="center"/>
            <w:hideMark/>
          </w:tcPr>
          <w:p w14:paraId="58B7B52C" w14:textId="77777777" w:rsidR="001D73F7" w:rsidRPr="00EF6288" w:rsidRDefault="001D73F7">
            <w:pPr>
              <w:spacing w:line="240" w:lineRule="auto"/>
              <w:rPr>
                <w:rFonts w:ascii="Arial" w:hAnsi="Arial" w:cs="Arial"/>
                <w:b/>
                <w:bCs/>
                <w:color w:val="auto"/>
                <w:sz w:val="20"/>
              </w:rPr>
            </w:pPr>
            <w:r w:rsidRPr="00EF6288">
              <w:rPr>
                <w:rFonts w:ascii="Arial" w:hAnsi="Arial" w:cs="Arial"/>
                <w:b/>
                <w:bCs/>
                <w:color w:val="auto"/>
                <w:sz w:val="20"/>
              </w:rPr>
              <w:t xml:space="preserve"> Rule </w:t>
            </w:r>
          </w:p>
        </w:tc>
        <w:tc>
          <w:tcPr>
            <w:tcW w:w="1452"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1AAE30E1" w14:textId="77777777" w:rsidR="001D73F7" w:rsidRPr="00EF6288" w:rsidRDefault="001D73F7">
            <w:pPr>
              <w:spacing w:line="240" w:lineRule="auto"/>
              <w:jc w:val="center"/>
              <w:rPr>
                <w:rFonts w:ascii="Arial" w:hAnsi="Arial" w:cs="Arial"/>
                <w:b/>
                <w:bCs/>
                <w:color w:val="auto"/>
                <w:sz w:val="20"/>
              </w:rPr>
            </w:pPr>
            <w:r w:rsidRPr="00EF6288">
              <w:rPr>
                <w:rFonts w:ascii="Arial" w:hAnsi="Arial" w:cs="Arial"/>
                <w:b/>
                <w:bCs/>
                <w:color w:val="auto"/>
                <w:sz w:val="20"/>
              </w:rPr>
              <w:t>Reporting</w:t>
            </w:r>
          </w:p>
        </w:tc>
        <w:tc>
          <w:tcPr>
            <w:tcW w:w="1525"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2795DDB0" w14:textId="02B6B342" w:rsidR="001D73F7" w:rsidRPr="00EF6288" w:rsidDel="00693D80" w:rsidRDefault="001D73F7">
            <w:pPr>
              <w:spacing w:line="240" w:lineRule="auto"/>
              <w:jc w:val="center"/>
              <w:rPr>
                <w:rFonts w:ascii="Arial" w:hAnsi="Arial" w:cs="Arial"/>
                <w:b/>
                <w:bCs/>
                <w:color w:val="auto"/>
                <w:sz w:val="20"/>
              </w:rPr>
            </w:pPr>
            <w:r w:rsidRPr="00EF6288">
              <w:rPr>
                <w:rFonts w:ascii="Arial" w:hAnsi="Arial" w:cs="Arial"/>
                <w:b/>
                <w:bCs/>
                <w:color w:val="auto"/>
                <w:sz w:val="20"/>
              </w:rPr>
              <w:t>Long-</w:t>
            </w:r>
            <w:r w:rsidR="00465CF3" w:rsidRPr="00EF6288">
              <w:rPr>
                <w:rFonts w:ascii="Arial" w:hAnsi="Arial" w:cs="Arial"/>
                <w:b/>
                <w:bCs/>
                <w:color w:val="auto"/>
                <w:sz w:val="20"/>
              </w:rPr>
              <w:t>t</w:t>
            </w:r>
            <w:r w:rsidRPr="00EF6288">
              <w:rPr>
                <w:rFonts w:ascii="Arial" w:hAnsi="Arial" w:cs="Arial"/>
                <w:b/>
                <w:bCs/>
                <w:color w:val="auto"/>
                <w:sz w:val="20"/>
              </w:rPr>
              <w:t xml:space="preserve">erm </w:t>
            </w:r>
            <w:r w:rsidR="00465CF3" w:rsidRPr="00EF6288">
              <w:rPr>
                <w:rFonts w:ascii="Arial" w:hAnsi="Arial" w:cs="Arial"/>
                <w:b/>
                <w:bCs/>
                <w:color w:val="auto"/>
                <w:sz w:val="20"/>
              </w:rPr>
              <w:t>g</w:t>
            </w:r>
            <w:r w:rsidRPr="00EF6288">
              <w:rPr>
                <w:rFonts w:ascii="Arial" w:hAnsi="Arial" w:cs="Arial"/>
                <w:b/>
                <w:bCs/>
                <w:color w:val="auto"/>
                <w:sz w:val="20"/>
              </w:rPr>
              <w:t>oals</w:t>
            </w:r>
          </w:p>
          <w:p w14:paraId="3B667A63" w14:textId="77777777" w:rsidR="001D73F7" w:rsidRPr="00EF6288" w:rsidRDefault="001D73F7">
            <w:pPr>
              <w:spacing w:line="240" w:lineRule="auto"/>
              <w:jc w:val="center"/>
              <w:rPr>
                <w:rFonts w:ascii="Arial" w:hAnsi="Arial" w:cs="Arial"/>
                <w:b/>
                <w:bCs/>
                <w:color w:val="auto"/>
                <w:sz w:val="20"/>
              </w:rPr>
            </w:pPr>
          </w:p>
        </w:tc>
        <w:tc>
          <w:tcPr>
            <w:tcW w:w="1675" w:type="dxa"/>
            <w:tcBorders>
              <w:top w:val="single" w:sz="6" w:space="0" w:color="auto"/>
              <w:left w:val="nil"/>
              <w:bottom w:val="single" w:sz="6" w:space="0" w:color="auto"/>
              <w:right w:val="single" w:sz="4" w:space="0" w:color="auto"/>
            </w:tcBorders>
            <w:shd w:val="clear" w:color="auto" w:fill="ACB9CA" w:themeFill="text2" w:themeFillTint="66"/>
          </w:tcPr>
          <w:p w14:paraId="5E88D25D" w14:textId="550B7F64" w:rsidR="001D73F7" w:rsidRPr="00EF6288" w:rsidRDefault="001D73F7" w:rsidP="004E70DE">
            <w:pPr>
              <w:spacing w:line="240" w:lineRule="auto"/>
              <w:jc w:val="center"/>
              <w:rPr>
                <w:rFonts w:ascii="Arial" w:hAnsi="Arial" w:cs="Arial"/>
                <w:b/>
                <w:bCs/>
                <w:color w:val="auto"/>
                <w:sz w:val="20"/>
              </w:rPr>
            </w:pPr>
            <w:r w:rsidRPr="00EF6288">
              <w:rPr>
                <w:rFonts w:ascii="Arial" w:hAnsi="Arial" w:cs="Arial"/>
                <w:b/>
                <w:bCs/>
                <w:color w:val="auto"/>
                <w:sz w:val="20"/>
              </w:rPr>
              <w:t xml:space="preserve">School </w:t>
            </w:r>
            <w:r w:rsidR="00465CF3" w:rsidRPr="00EF6288">
              <w:rPr>
                <w:rFonts w:ascii="Arial" w:hAnsi="Arial" w:cs="Arial"/>
                <w:b/>
                <w:bCs/>
                <w:color w:val="auto"/>
                <w:sz w:val="20"/>
              </w:rPr>
              <w:t>p</w:t>
            </w:r>
            <w:r w:rsidRPr="00EF6288">
              <w:rPr>
                <w:rFonts w:ascii="Arial" w:hAnsi="Arial" w:cs="Arial"/>
                <w:b/>
                <w:bCs/>
                <w:color w:val="auto"/>
                <w:sz w:val="20"/>
              </w:rPr>
              <w:t xml:space="preserve">erformance </w:t>
            </w:r>
            <w:r w:rsidR="00465CF3" w:rsidRPr="00EF6288">
              <w:rPr>
                <w:rFonts w:ascii="Arial" w:hAnsi="Arial" w:cs="Arial"/>
                <w:b/>
                <w:bCs/>
                <w:color w:val="auto"/>
                <w:sz w:val="20"/>
              </w:rPr>
              <w:t>g</w:t>
            </w:r>
            <w:r w:rsidRPr="00EF6288">
              <w:rPr>
                <w:rFonts w:ascii="Arial" w:hAnsi="Arial" w:cs="Arial"/>
                <w:b/>
                <w:bCs/>
                <w:color w:val="auto"/>
                <w:sz w:val="20"/>
              </w:rPr>
              <w:t>rades</w:t>
            </w:r>
          </w:p>
        </w:tc>
      </w:tr>
      <w:tr w:rsidR="004E70DE" w:rsidRPr="00EF6288" w14:paraId="5F75E299" w14:textId="77777777" w:rsidTr="004E70DE">
        <w:trPr>
          <w:trHeight w:val="453"/>
        </w:trPr>
        <w:tc>
          <w:tcPr>
            <w:tcW w:w="3600" w:type="dxa"/>
            <w:tcBorders>
              <w:top w:val="nil"/>
              <w:left w:val="single" w:sz="6" w:space="0" w:color="auto"/>
              <w:bottom w:val="single" w:sz="6" w:space="0" w:color="auto"/>
              <w:right w:val="single" w:sz="6" w:space="0" w:color="auto"/>
            </w:tcBorders>
            <w:tcMar>
              <w:left w:w="72" w:type="dxa"/>
            </w:tcMar>
            <w:vAlign w:val="center"/>
            <w:hideMark/>
          </w:tcPr>
          <w:p w14:paraId="60D1E5B6" w14:textId="16F534AD" w:rsidR="001D73F7" w:rsidRPr="00EF6288" w:rsidRDefault="001D73F7" w:rsidP="008A3DBA">
            <w:pPr>
              <w:spacing w:line="240" w:lineRule="auto"/>
              <w:rPr>
                <w:rFonts w:ascii="Arial" w:hAnsi="Arial" w:cs="Arial"/>
                <w:color w:val="auto"/>
                <w:sz w:val="20"/>
              </w:rPr>
            </w:pPr>
            <w:r w:rsidRPr="00EF6288">
              <w:rPr>
                <w:rFonts w:ascii="Arial" w:hAnsi="Arial" w:cs="Arial"/>
                <w:color w:val="auto"/>
                <w:sz w:val="20"/>
              </w:rPr>
              <w:t>Requires a minimum number of students (</w:t>
            </w:r>
            <w:r w:rsidR="008A3DBA" w:rsidRPr="00EF6288">
              <w:rPr>
                <w:rFonts w:ascii="Arial" w:hAnsi="Arial" w:cs="Arial"/>
                <w:color w:val="auto"/>
                <w:sz w:val="20"/>
              </w:rPr>
              <w:t>m</w:t>
            </w:r>
            <w:r w:rsidRPr="00EF6288">
              <w:rPr>
                <w:rFonts w:ascii="Arial" w:hAnsi="Arial" w:cs="Arial"/>
                <w:color w:val="auto"/>
                <w:sz w:val="20"/>
              </w:rPr>
              <w:t>inimum-</w:t>
            </w:r>
            <w:r w:rsidR="000B72F0" w:rsidRPr="00EF6288">
              <w:rPr>
                <w:rFonts w:ascii="Arial" w:hAnsi="Arial" w:cs="Arial"/>
                <w:color w:val="auto"/>
                <w:sz w:val="20"/>
              </w:rPr>
              <w:t>n</w:t>
            </w:r>
            <w:r w:rsidRPr="00EF6288">
              <w:rPr>
                <w:rFonts w:ascii="Arial" w:hAnsi="Arial" w:cs="Arial"/>
                <w:color w:val="auto"/>
                <w:sz w:val="20"/>
              </w:rPr>
              <w:t xml:space="preserve">) </w:t>
            </w:r>
          </w:p>
        </w:tc>
        <w:tc>
          <w:tcPr>
            <w:tcW w:w="1452" w:type="dxa"/>
            <w:tcBorders>
              <w:top w:val="nil"/>
              <w:left w:val="nil"/>
              <w:bottom w:val="single" w:sz="6" w:space="0" w:color="auto"/>
              <w:right w:val="single" w:sz="6" w:space="0" w:color="auto"/>
            </w:tcBorders>
            <w:vAlign w:val="center"/>
            <w:hideMark/>
          </w:tcPr>
          <w:p w14:paraId="6F666C61" w14:textId="77777777" w:rsidR="001D73F7" w:rsidRPr="00EF6288" w:rsidRDefault="001D73F7">
            <w:pPr>
              <w:spacing w:line="240" w:lineRule="auto"/>
              <w:jc w:val="center"/>
              <w:rPr>
                <w:rFonts w:ascii="Arial" w:hAnsi="Arial" w:cs="Arial"/>
                <w:color w:val="auto"/>
                <w:sz w:val="20"/>
              </w:rPr>
            </w:pPr>
            <w:r w:rsidRPr="00EF6288">
              <w:rPr>
                <w:rFonts w:ascii="Arial" w:hAnsi="Arial" w:cs="Arial"/>
                <w:color w:val="auto"/>
                <w:sz w:val="20"/>
              </w:rPr>
              <w:t>10</w:t>
            </w:r>
          </w:p>
        </w:tc>
        <w:tc>
          <w:tcPr>
            <w:tcW w:w="1525" w:type="dxa"/>
            <w:tcBorders>
              <w:top w:val="nil"/>
              <w:left w:val="nil"/>
              <w:bottom w:val="single" w:sz="6" w:space="0" w:color="auto"/>
              <w:right w:val="single" w:sz="6" w:space="0" w:color="auto"/>
            </w:tcBorders>
            <w:vAlign w:val="center"/>
            <w:hideMark/>
          </w:tcPr>
          <w:p w14:paraId="4758A958" w14:textId="77777777" w:rsidR="001D73F7" w:rsidRPr="00EF6288" w:rsidRDefault="001D73F7">
            <w:pPr>
              <w:spacing w:line="240" w:lineRule="auto"/>
              <w:jc w:val="center"/>
              <w:rPr>
                <w:rFonts w:ascii="Arial" w:hAnsi="Arial" w:cs="Arial"/>
                <w:color w:val="auto"/>
                <w:sz w:val="20"/>
              </w:rPr>
            </w:pPr>
            <w:r w:rsidRPr="00EF6288">
              <w:rPr>
                <w:rFonts w:ascii="Arial" w:hAnsi="Arial" w:cs="Arial"/>
                <w:color w:val="auto"/>
                <w:sz w:val="20"/>
              </w:rPr>
              <w:t>30</w:t>
            </w:r>
          </w:p>
        </w:tc>
        <w:tc>
          <w:tcPr>
            <w:tcW w:w="1675" w:type="dxa"/>
            <w:tcBorders>
              <w:top w:val="nil"/>
              <w:left w:val="nil"/>
              <w:bottom w:val="single" w:sz="6" w:space="0" w:color="auto"/>
              <w:right w:val="single" w:sz="4" w:space="0" w:color="auto"/>
            </w:tcBorders>
            <w:vAlign w:val="center"/>
          </w:tcPr>
          <w:p w14:paraId="2F656239" w14:textId="77777777" w:rsidR="001D73F7" w:rsidRPr="00EF6288" w:rsidRDefault="001D73F7">
            <w:pPr>
              <w:spacing w:line="240" w:lineRule="auto"/>
              <w:jc w:val="center"/>
              <w:rPr>
                <w:rFonts w:ascii="Arial" w:hAnsi="Arial" w:cs="Arial"/>
                <w:color w:val="auto"/>
                <w:sz w:val="20"/>
              </w:rPr>
            </w:pPr>
            <w:r w:rsidRPr="00EF6288">
              <w:rPr>
                <w:rFonts w:ascii="Arial" w:hAnsi="Arial" w:cs="Arial"/>
                <w:color w:val="auto"/>
                <w:sz w:val="20"/>
              </w:rPr>
              <w:t>30</w:t>
            </w:r>
          </w:p>
        </w:tc>
      </w:tr>
      <w:tr w:rsidR="004E70DE" w:rsidRPr="00EF6288" w14:paraId="76AFF0A9" w14:textId="77777777" w:rsidTr="007B6141">
        <w:trPr>
          <w:trHeight w:val="460"/>
        </w:trPr>
        <w:tc>
          <w:tcPr>
            <w:tcW w:w="3600" w:type="dxa"/>
            <w:tcBorders>
              <w:top w:val="nil"/>
              <w:left w:val="single" w:sz="6" w:space="0" w:color="auto"/>
              <w:bottom w:val="single" w:sz="6" w:space="0" w:color="auto"/>
              <w:right w:val="single" w:sz="6" w:space="0" w:color="auto"/>
            </w:tcBorders>
            <w:tcMar>
              <w:left w:w="72" w:type="dxa"/>
            </w:tcMar>
            <w:vAlign w:val="center"/>
            <w:hideMark/>
          </w:tcPr>
          <w:p w14:paraId="4882E2C5" w14:textId="1E338CF3" w:rsidR="001D73F7" w:rsidRPr="00EF6288" w:rsidRDefault="001D73F7">
            <w:pPr>
              <w:spacing w:line="240" w:lineRule="auto"/>
              <w:rPr>
                <w:rFonts w:ascii="Arial" w:hAnsi="Arial" w:cs="Arial"/>
                <w:color w:val="auto"/>
                <w:sz w:val="20"/>
              </w:rPr>
            </w:pPr>
            <w:r w:rsidRPr="00EF6288">
              <w:rPr>
                <w:rFonts w:ascii="Arial" w:hAnsi="Arial" w:cs="Arial"/>
                <w:color w:val="auto"/>
                <w:sz w:val="20"/>
              </w:rPr>
              <w:t>Accountability subgroup designations as noted in table 11</w:t>
            </w:r>
            <w:r w:rsidR="00A92E27">
              <w:rPr>
                <w:rFonts w:ascii="Arial" w:hAnsi="Arial" w:cs="Arial"/>
                <w:color w:val="auto"/>
                <w:sz w:val="20"/>
              </w:rPr>
              <w:t>.2</w:t>
            </w:r>
          </w:p>
        </w:tc>
        <w:tc>
          <w:tcPr>
            <w:tcW w:w="1452" w:type="dxa"/>
            <w:tcBorders>
              <w:top w:val="nil"/>
              <w:left w:val="nil"/>
              <w:bottom w:val="single" w:sz="6" w:space="0" w:color="auto"/>
              <w:right w:val="single" w:sz="6" w:space="0" w:color="auto"/>
            </w:tcBorders>
            <w:vAlign w:val="center"/>
            <w:hideMark/>
          </w:tcPr>
          <w:p w14:paraId="60427B94" w14:textId="591855C5" w:rsidR="001D73F7"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1525" w:type="dxa"/>
            <w:tcBorders>
              <w:top w:val="nil"/>
              <w:left w:val="nil"/>
              <w:bottom w:val="single" w:sz="6" w:space="0" w:color="auto"/>
              <w:right w:val="single" w:sz="6" w:space="0" w:color="auto"/>
            </w:tcBorders>
            <w:vAlign w:val="center"/>
          </w:tcPr>
          <w:p w14:paraId="718BB8B3" w14:textId="2B891A4D" w:rsidR="001D73F7"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1675" w:type="dxa"/>
            <w:tcBorders>
              <w:top w:val="nil"/>
              <w:left w:val="nil"/>
              <w:bottom w:val="single" w:sz="6" w:space="0" w:color="auto"/>
              <w:right w:val="single" w:sz="4" w:space="0" w:color="auto"/>
            </w:tcBorders>
            <w:vAlign w:val="center"/>
          </w:tcPr>
          <w:p w14:paraId="1839A65D" w14:textId="30AF4304" w:rsidR="001D73F7" w:rsidRPr="00EF6288" w:rsidRDefault="005B36B5">
            <w:pPr>
              <w:spacing w:line="240" w:lineRule="auto"/>
              <w:jc w:val="center"/>
              <w:rPr>
                <w:rFonts w:ascii="Arial" w:hAnsi="Arial" w:cs="Arial"/>
                <w:noProof/>
                <w:color w:val="auto"/>
                <w:sz w:val="20"/>
              </w:rPr>
            </w:pPr>
            <w:r>
              <w:rPr>
                <w:rFonts w:ascii="Arial" w:hAnsi="Arial" w:cs="Arial"/>
                <w:noProof/>
                <w:color w:val="auto"/>
                <w:sz w:val="20"/>
              </w:rPr>
              <w:t>Yes</w:t>
            </w:r>
          </w:p>
        </w:tc>
      </w:tr>
      <w:tr w:rsidR="00304595" w:rsidRPr="00EF6288" w14:paraId="355C0D43" w14:textId="77777777" w:rsidTr="00304595">
        <w:trPr>
          <w:trHeight w:val="453"/>
        </w:trPr>
        <w:tc>
          <w:tcPr>
            <w:tcW w:w="3600" w:type="dxa"/>
            <w:tcBorders>
              <w:top w:val="nil"/>
              <w:left w:val="single" w:sz="6" w:space="0" w:color="auto"/>
              <w:bottom w:val="single" w:sz="6" w:space="0" w:color="auto"/>
              <w:right w:val="single" w:sz="6" w:space="0" w:color="auto"/>
            </w:tcBorders>
            <w:tcMar>
              <w:left w:w="72" w:type="dxa"/>
            </w:tcMar>
            <w:vAlign w:val="center"/>
            <w:hideMark/>
          </w:tcPr>
          <w:p w14:paraId="56B06A0C" w14:textId="108760C5" w:rsidR="00304595" w:rsidRPr="00EF6288" w:rsidRDefault="00304595" w:rsidP="00304595">
            <w:pPr>
              <w:spacing w:line="240" w:lineRule="auto"/>
              <w:rPr>
                <w:rFonts w:ascii="Arial" w:hAnsi="Arial" w:cs="Arial"/>
                <w:color w:val="auto"/>
                <w:sz w:val="20"/>
              </w:rPr>
            </w:pPr>
            <w:r w:rsidRPr="00EF6288">
              <w:rPr>
                <w:rFonts w:ascii="Arial" w:hAnsi="Arial" w:cs="Arial"/>
                <w:color w:val="auto"/>
                <w:sz w:val="20"/>
              </w:rPr>
              <w:t>Additional subgroups as noted in table 11</w:t>
            </w:r>
            <w:r>
              <w:rPr>
                <w:rFonts w:ascii="Arial" w:hAnsi="Arial" w:cs="Arial"/>
                <w:color w:val="auto"/>
                <w:sz w:val="20"/>
              </w:rPr>
              <w:t>.2</w:t>
            </w:r>
            <w:r w:rsidRPr="00EF6288">
              <w:rPr>
                <w:rFonts w:ascii="Arial" w:hAnsi="Arial" w:cs="Arial"/>
                <w:color w:val="auto"/>
                <w:sz w:val="20"/>
              </w:rPr>
              <w:t> </w:t>
            </w:r>
          </w:p>
        </w:tc>
        <w:tc>
          <w:tcPr>
            <w:tcW w:w="1452" w:type="dxa"/>
            <w:tcBorders>
              <w:top w:val="nil"/>
              <w:left w:val="nil"/>
              <w:bottom w:val="single" w:sz="6" w:space="0" w:color="auto"/>
              <w:right w:val="single" w:sz="6" w:space="0" w:color="auto"/>
            </w:tcBorders>
            <w:vAlign w:val="center"/>
            <w:hideMark/>
          </w:tcPr>
          <w:p w14:paraId="48E12281" w14:textId="47B42C7D" w:rsidR="00304595" w:rsidRPr="00EF6288" w:rsidRDefault="00304595" w:rsidP="00304595">
            <w:pPr>
              <w:spacing w:line="240" w:lineRule="auto"/>
              <w:jc w:val="center"/>
              <w:rPr>
                <w:rFonts w:ascii="Arial" w:hAnsi="Arial" w:cs="Arial"/>
                <w:color w:val="auto"/>
                <w:sz w:val="20"/>
              </w:rPr>
            </w:pPr>
            <w:r>
              <w:rPr>
                <w:rFonts w:ascii="Arial" w:hAnsi="Arial" w:cs="Arial"/>
                <w:color w:val="auto"/>
                <w:sz w:val="20"/>
              </w:rPr>
              <w:t>Yes</w:t>
            </w:r>
          </w:p>
        </w:tc>
        <w:tc>
          <w:tcPr>
            <w:tcW w:w="1525" w:type="dxa"/>
            <w:tcBorders>
              <w:top w:val="nil"/>
              <w:left w:val="nil"/>
              <w:bottom w:val="single" w:sz="6" w:space="0" w:color="auto"/>
              <w:right w:val="single" w:sz="6" w:space="0" w:color="auto"/>
            </w:tcBorders>
            <w:vAlign w:val="center"/>
          </w:tcPr>
          <w:p w14:paraId="7FF58806" w14:textId="09DA9AA6" w:rsidR="00304595" w:rsidRPr="00E14634" w:rsidRDefault="00304595" w:rsidP="00304595">
            <w:pPr>
              <w:spacing w:line="240" w:lineRule="auto"/>
              <w:jc w:val="center"/>
              <w:rPr>
                <w:rFonts w:ascii="Arial" w:hAnsi="Arial" w:cs="Arial"/>
                <w:color w:val="FFFFFF" w:themeColor="background1"/>
                <w:sz w:val="20"/>
              </w:rPr>
            </w:pPr>
            <w:r w:rsidRPr="00AD7A38">
              <w:rPr>
                <w:rFonts w:ascii="Arial" w:hAnsi="Arial" w:cs="Arial"/>
                <w:color w:val="auto"/>
                <w:sz w:val="20"/>
              </w:rPr>
              <w:t>-</w:t>
            </w:r>
          </w:p>
        </w:tc>
        <w:tc>
          <w:tcPr>
            <w:tcW w:w="1675" w:type="dxa"/>
            <w:tcBorders>
              <w:top w:val="nil"/>
              <w:left w:val="nil"/>
              <w:bottom w:val="single" w:sz="6" w:space="0" w:color="auto"/>
              <w:right w:val="single" w:sz="4" w:space="0" w:color="auto"/>
            </w:tcBorders>
            <w:vAlign w:val="center"/>
          </w:tcPr>
          <w:p w14:paraId="0970543B" w14:textId="226B80FD" w:rsidR="00304595" w:rsidRPr="00E14634" w:rsidRDefault="00304595" w:rsidP="00304595">
            <w:pPr>
              <w:spacing w:line="240" w:lineRule="auto"/>
              <w:jc w:val="center"/>
              <w:rPr>
                <w:rFonts w:ascii="Arial" w:hAnsi="Arial" w:cs="Arial"/>
                <w:color w:val="FFFFFF" w:themeColor="background1"/>
                <w:sz w:val="20"/>
              </w:rPr>
            </w:pPr>
            <w:r w:rsidRPr="00AD7A38">
              <w:rPr>
                <w:rFonts w:ascii="Arial" w:hAnsi="Arial" w:cs="Arial"/>
                <w:color w:val="auto"/>
                <w:sz w:val="20"/>
              </w:rPr>
              <w:t>-</w:t>
            </w:r>
          </w:p>
        </w:tc>
      </w:tr>
      <w:tr w:rsidR="004E70DE" w:rsidRPr="00EF6288" w14:paraId="711D1EC4" w14:textId="77777777" w:rsidTr="00A44BB3">
        <w:trPr>
          <w:trHeight w:val="683"/>
        </w:trPr>
        <w:tc>
          <w:tcPr>
            <w:tcW w:w="3600" w:type="dxa"/>
            <w:tcBorders>
              <w:top w:val="nil"/>
              <w:left w:val="single" w:sz="6" w:space="0" w:color="auto"/>
              <w:bottom w:val="single" w:sz="6" w:space="0" w:color="auto"/>
              <w:right w:val="single" w:sz="6" w:space="0" w:color="auto"/>
            </w:tcBorders>
            <w:tcMar>
              <w:left w:w="72" w:type="dxa"/>
            </w:tcMar>
            <w:vAlign w:val="center"/>
            <w:hideMark/>
          </w:tcPr>
          <w:p w14:paraId="2775952A" w14:textId="77777777" w:rsidR="001D73F7" w:rsidRPr="00EF6288" w:rsidRDefault="001D73F7">
            <w:pPr>
              <w:spacing w:line="240" w:lineRule="auto"/>
              <w:rPr>
                <w:rFonts w:ascii="Arial" w:hAnsi="Arial" w:cs="Arial"/>
                <w:color w:val="auto"/>
                <w:sz w:val="20"/>
              </w:rPr>
            </w:pPr>
            <w:r w:rsidRPr="00EF6288">
              <w:rPr>
                <w:rFonts w:ascii="Arial" w:hAnsi="Arial" w:cs="Arial"/>
                <w:color w:val="auto"/>
                <w:sz w:val="20"/>
              </w:rPr>
              <w:t>Inclusion in the EL subgroup students who were EL at any point during grades 9–12</w:t>
            </w:r>
          </w:p>
        </w:tc>
        <w:tc>
          <w:tcPr>
            <w:tcW w:w="1452" w:type="dxa"/>
            <w:tcBorders>
              <w:top w:val="nil"/>
              <w:left w:val="nil"/>
              <w:bottom w:val="single" w:sz="6" w:space="0" w:color="auto"/>
              <w:right w:val="single" w:sz="6" w:space="0" w:color="auto"/>
            </w:tcBorders>
            <w:vAlign w:val="center"/>
            <w:hideMark/>
          </w:tcPr>
          <w:p w14:paraId="64E82D38" w14:textId="3BB3E039" w:rsidR="001D73F7"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1525" w:type="dxa"/>
            <w:tcBorders>
              <w:top w:val="nil"/>
              <w:left w:val="nil"/>
              <w:bottom w:val="single" w:sz="6" w:space="0" w:color="auto"/>
              <w:right w:val="single" w:sz="6" w:space="0" w:color="auto"/>
            </w:tcBorders>
            <w:vAlign w:val="center"/>
          </w:tcPr>
          <w:p w14:paraId="3A1BA9B1" w14:textId="62ECABC7" w:rsidR="001D73F7"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1675" w:type="dxa"/>
            <w:tcBorders>
              <w:top w:val="nil"/>
              <w:left w:val="nil"/>
              <w:bottom w:val="single" w:sz="6" w:space="0" w:color="auto"/>
              <w:right w:val="single" w:sz="4" w:space="0" w:color="auto"/>
            </w:tcBorders>
            <w:vAlign w:val="center"/>
          </w:tcPr>
          <w:p w14:paraId="5249B7CD" w14:textId="0B3DF143" w:rsidR="001D73F7" w:rsidRPr="00EF6288" w:rsidRDefault="005B36B5" w:rsidP="001D73F7">
            <w:pPr>
              <w:spacing w:line="240" w:lineRule="auto"/>
              <w:jc w:val="center"/>
              <w:rPr>
                <w:rFonts w:ascii="Arial" w:hAnsi="Arial" w:cs="Arial"/>
                <w:noProof/>
                <w:color w:val="auto"/>
                <w:sz w:val="20"/>
              </w:rPr>
            </w:pPr>
            <w:r>
              <w:rPr>
                <w:rFonts w:ascii="Arial" w:hAnsi="Arial" w:cs="Arial"/>
                <w:noProof/>
                <w:color w:val="auto"/>
                <w:sz w:val="20"/>
              </w:rPr>
              <w:t>Yes</w:t>
            </w:r>
          </w:p>
        </w:tc>
      </w:tr>
      <w:tr w:rsidR="001D73F7" w:rsidRPr="00EF6288" w14:paraId="661DC424" w14:textId="77777777" w:rsidTr="004F374B">
        <w:trPr>
          <w:trHeight w:val="677"/>
        </w:trPr>
        <w:tc>
          <w:tcPr>
            <w:tcW w:w="3600" w:type="dxa"/>
            <w:tcBorders>
              <w:top w:val="single" w:sz="4" w:space="0" w:color="auto"/>
              <w:left w:val="single" w:sz="4" w:space="0" w:color="auto"/>
              <w:bottom w:val="single" w:sz="4" w:space="0" w:color="auto"/>
              <w:right w:val="single" w:sz="4" w:space="0" w:color="auto"/>
            </w:tcBorders>
            <w:tcMar>
              <w:left w:w="72" w:type="dxa"/>
            </w:tcMar>
            <w:vAlign w:val="center"/>
          </w:tcPr>
          <w:p w14:paraId="0532499B" w14:textId="77777777" w:rsidR="001D73F7" w:rsidRPr="00EF6288" w:rsidRDefault="001D73F7">
            <w:pPr>
              <w:spacing w:line="240" w:lineRule="auto"/>
              <w:rPr>
                <w:rFonts w:ascii="Arial" w:hAnsi="Arial" w:cs="Arial"/>
                <w:color w:val="auto"/>
                <w:sz w:val="20"/>
              </w:rPr>
            </w:pPr>
            <w:r w:rsidRPr="00EF6288">
              <w:rPr>
                <w:rFonts w:ascii="Arial" w:hAnsi="Arial" w:cs="Arial"/>
                <w:color w:val="auto"/>
                <w:sz w:val="20"/>
              </w:rPr>
              <w:t>Inclusion in the SWD subgroup students who were SWD at any point during grades 9–12</w:t>
            </w:r>
          </w:p>
        </w:tc>
        <w:tc>
          <w:tcPr>
            <w:tcW w:w="1452" w:type="dxa"/>
            <w:tcBorders>
              <w:top w:val="single" w:sz="4" w:space="0" w:color="auto"/>
              <w:left w:val="single" w:sz="4" w:space="0" w:color="auto"/>
              <w:bottom w:val="single" w:sz="4" w:space="0" w:color="auto"/>
              <w:right w:val="single" w:sz="4" w:space="0" w:color="auto"/>
            </w:tcBorders>
            <w:vAlign w:val="center"/>
          </w:tcPr>
          <w:p w14:paraId="753E7148" w14:textId="4223B43E" w:rsidR="001D73F7" w:rsidRPr="00EF6288" w:rsidRDefault="005B36B5">
            <w:pPr>
              <w:spacing w:line="240" w:lineRule="auto"/>
              <w:jc w:val="center"/>
              <w:rPr>
                <w:rFonts w:ascii="Arial" w:hAnsi="Arial" w:cs="Arial"/>
                <w:noProof/>
                <w:color w:val="auto"/>
                <w:sz w:val="20"/>
              </w:rPr>
            </w:pPr>
            <w:r>
              <w:rPr>
                <w:rFonts w:ascii="Arial" w:hAnsi="Arial" w:cs="Arial"/>
                <w:noProof/>
                <w:color w:val="auto"/>
                <w:sz w:val="20"/>
              </w:rPr>
              <w:t>Yes</w:t>
            </w:r>
          </w:p>
        </w:tc>
        <w:tc>
          <w:tcPr>
            <w:tcW w:w="1525" w:type="dxa"/>
            <w:tcBorders>
              <w:top w:val="single" w:sz="4" w:space="0" w:color="auto"/>
              <w:left w:val="single" w:sz="4" w:space="0" w:color="auto"/>
              <w:bottom w:val="single" w:sz="4" w:space="0" w:color="auto"/>
              <w:right w:val="single" w:sz="4" w:space="0" w:color="auto"/>
            </w:tcBorders>
            <w:vAlign w:val="center"/>
          </w:tcPr>
          <w:p w14:paraId="778CDD46" w14:textId="78031047" w:rsidR="001D73F7"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1675" w:type="dxa"/>
            <w:tcBorders>
              <w:top w:val="single" w:sz="4" w:space="0" w:color="auto"/>
              <w:left w:val="single" w:sz="4" w:space="0" w:color="auto"/>
              <w:bottom w:val="single" w:sz="4" w:space="0" w:color="auto"/>
              <w:right w:val="single" w:sz="4" w:space="0" w:color="auto"/>
            </w:tcBorders>
            <w:vAlign w:val="center"/>
          </w:tcPr>
          <w:p w14:paraId="2FCCFD4A" w14:textId="7B81B8F5" w:rsidR="001D73F7" w:rsidRPr="00EF6288" w:rsidRDefault="005B36B5">
            <w:pPr>
              <w:spacing w:line="240" w:lineRule="auto"/>
              <w:jc w:val="center"/>
              <w:rPr>
                <w:rFonts w:ascii="Arial" w:hAnsi="Arial" w:cs="Arial"/>
                <w:color w:val="auto"/>
                <w:sz w:val="20"/>
              </w:rPr>
            </w:pPr>
            <w:r>
              <w:rPr>
                <w:rFonts w:ascii="Arial" w:hAnsi="Arial" w:cs="Arial"/>
                <w:color w:val="auto"/>
                <w:sz w:val="20"/>
              </w:rPr>
              <w:t>Yes</w:t>
            </w:r>
          </w:p>
        </w:tc>
      </w:tr>
    </w:tbl>
    <w:p w14:paraId="3FE395BC" w14:textId="77777777" w:rsidR="003773E4" w:rsidRPr="00EF6288" w:rsidRDefault="003773E4" w:rsidP="005C178C">
      <w:pPr>
        <w:spacing w:line="240" w:lineRule="auto"/>
        <w:rPr>
          <w:rFonts w:ascii="Arial" w:hAnsi="Arial" w:cs="Arial"/>
          <w:color w:val="auto"/>
          <w:sz w:val="20"/>
        </w:rPr>
      </w:pPr>
    </w:p>
    <w:p w14:paraId="78E8FDF8" w14:textId="7F6384B5" w:rsidR="005C178C" w:rsidRPr="00EF6288" w:rsidRDefault="005C178C" w:rsidP="005C178C">
      <w:pPr>
        <w:spacing w:line="240" w:lineRule="auto"/>
        <w:rPr>
          <w:rFonts w:ascii="Arial" w:hAnsi="Arial" w:cs="Arial"/>
          <w:color w:val="auto"/>
          <w:sz w:val="20"/>
        </w:rPr>
      </w:pPr>
      <w:bookmarkStart w:id="983" w:name="Table1123"/>
      <w:r w:rsidRPr="00EF6288">
        <w:rPr>
          <w:rFonts w:ascii="Arial" w:hAnsi="Arial" w:cs="Arial"/>
          <w:color w:val="auto"/>
          <w:sz w:val="20"/>
        </w:rPr>
        <w:t>TABLE 11.</w:t>
      </w:r>
      <w:r w:rsidR="007502D8" w:rsidRPr="00EF6288">
        <w:rPr>
          <w:rFonts w:ascii="Arial" w:hAnsi="Arial" w:cs="Arial"/>
          <w:color w:val="auto"/>
          <w:sz w:val="20"/>
        </w:rPr>
        <w:t>2.</w:t>
      </w:r>
      <w:r w:rsidR="005F1EF2" w:rsidRPr="00EF6288">
        <w:rPr>
          <w:rFonts w:ascii="Arial" w:hAnsi="Arial" w:cs="Arial"/>
          <w:color w:val="auto"/>
          <w:sz w:val="20"/>
        </w:rPr>
        <w:t>3</w:t>
      </w:r>
      <w:r w:rsidRPr="00EF6288">
        <w:rPr>
          <w:rFonts w:ascii="Arial" w:hAnsi="Arial" w:cs="Arial"/>
          <w:color w:val="auto"/>
          <w:sz w:val="20"/>
        </w:rPr>
        <w:t xml:space="preserve">. </w:t>
      </w:r>
      <w:bookmarkEnd w:id="983"/>
      <w:r w:rsidRPr="00EF6288">
        <w:rPr>
          <w:rFonts w:ascii="Arial" w:hAnsi="Arial" w:cs="Arial"/>
          <w:color w:val="auto"/>
          <w:sz w:val="20"/>
        </w:rPr>
        <w:t>General rules applied to the English Learner Progress indicator </w:t>
      </w:r>
    </w:p>
    <w:tbl>
      <w:tblPr>
        <w:tblW w:w="82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General rules applied to the English learner progress indicator. The first column lists the common rules. The next three columns of reporting, long-term goals, and school performance grades have a checkmark if the rule applies, are left blank if the rule doesn't apply, or have a number. The number means that it applies if the subgroup of students meet the mininum number indicated. The last row provides the grade levels that are included for each area. For example k through 13 equals grades kindergarten through grade 13. "/>
      </w:tblPr>
      <w:tblGrid>
        <w:gridCol w:w="3886"/>
        <w:gridCol w:w="1180"/>
        <w:gridCol w:w="1496"/>
        <w:gridCol w:w="1686"/>
      </w:tblGrid>
      <w:tr w:rsidR="005C178C" w:rsidRPr="00EF6288" w14:paraId="0FD7E065" w14:textId="77777777" w:rsidTr="00E50C05">
        <w:trPr>
          <w:trHeight w:val="440"/>
        </w:trPr>
        <w:tc>
          <w:tcPr>
            <w:tcW w:w="3886" w:type="dxa"/>
            <w:tcBorders>
              <w:top w:val="single" w:sz="6" w:space="0" w:color="auto"/>
              <w:left w:val="single" w:sz="6" w:space="0" w:color="auto"/>
              <w:bottom w:val="single" w:sz="6" w:space="0" w:color="auto"/>
              <w:right w:val="single" w:sz="6" w:space="0" w:color="auto"/>
            </w:tcBorders>
            <w:shd w:val="clear" w:color="auto" w:fill="ACB9CA" w:themeFill="text2" w:themeFillTint="66"/>
            <w:vAlign w:val="center"/>
            <w:hideMark/>
          </w:tcPr>
          <w:p w14:paraId="1D63FE3E" w14:textId="77777777" w:rsidR="005C178C" w:rsidRPr="00EF6288" w:rsidRDefault="005C178C">
            <w:pPr>
              <w:spacing w:line="240" w:lineRule="auto"/>
              <w:rPr>
                <w:rFonts w:ascii="Arial" w:hAnsi="Arial" w:cs="Arial"/>
                <w:b/>
                <w:color w:val="auto"/>
                <w:sz w:val="20"/>
              </w:rPr>
            </w:pPr>
            <w:r w:rsidRPr="00EF6288">
              <w:rPr>
                <w:rFonts w:ascii="Arial" w:hAnsi="Arial" w:cs="Arial"/>
                <w:b/>
                <w:color w:val="auto"/>
                <w:sz w:val="20"/>
              </w:rPr>
              <w:t xml:space="preserve"> Rule </w:t>
            </w:r>
          </w:p>
        </w:tc>
        <w:tc>
          <w:tcPr>
            <w:tcW w:w="1180"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201D60C6" w14:textId="77777777" w:rsidR="005C178C" w:rsidRPr="00EF6288" w:rsidRDefault="005C178C">
            <w:pPr>
              <w:spacing w:line="240" w:lineRule="auto"/>
              <w:jc w:val="center"/>
              <w:rPr>
                <w:rFonts w:ascii="Arial" w:hAnsi="Arial" w:cs="Arial"/>
                <w:b/>
                <w:color w:val="auto"/>
                <w:sz w:val="20"/>
              </w:rPr>
            </w:pPr>
            <w:r w:rsidRPr="00EF6288">
              <w:rPr>
                <w:rFonts w:ascii="Arial" w:hAnsi="Arial" w:cs="Arial"/>
                <w:b/>
                <w:color w:val="auto"/>
                <w:sz w:val="20"/>
              </w:rPr>
              <w:t>Reporting</w:t>
            </w:r>
          </w:p>
        </w:tc>
        <w:tc>
          <w:tcPr>
            <w:tcW w:w="1496"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22165403" w14:textId="31391A5C" w:rsidR="005C178C" w:rsidRPr="00EF6288" w:rsidRDefault="005C178C">
            <w:pPr>
              <w:spacing w:line="240" w:lineRule="auto"/>
              <w:jc w:val="center"/>
              <w:rPr>
                <w:rFonts w:ascii="Arial" w:hAnsi="Arial" w:cs="Arial"/>
                <w:b/>
                <w:color w:val="auto"/>
                <w:sz w:val="20"/>
              </w:rPr>
            </w:pPr>
            <w:r w:rsidRPr="00EF6288">
              <w:rPr>
                <w:rFonts w:ascii="Arial" w:hAnsi="Arial" w:cs="Arial"/>
                <w:b/>
                <w:color w:val="auto"/>
                <w:sz w:val="20"/>
              </w:rPr>
              <w:t>Long-</w:t>
            </w:r>
            <w:r w:rsidR="008B0E6B" w:rsidRPr="00EF6288">
              <w:rPr>
                <w:rFonts w:ascii="Arial" w:hAnsi="Arial" w:cs="Arial"/>
                <w:b/>
                <w:color w:val="auto"/>
                <w:sz w:val="20"/>
              </w:rPr>
              <w:t>t</w:t>
            </w:r>
            <w:r w:rsidRPr="00EF6288">
              <w:rPr>
                <w:rFonts w:ascii="Arial" w:hAnsi="Arial" w:cs="Arial"/>
                <w:b/>
                <w:color w:val="auto"/>
                <w:sz w:val="20"/>
              </w:rPr>
              <w:t xml:space="preserve">erm </w:t>
            </w:r>
            <w:r w:rsidR="008B0E6B" w:rsidRPr="00EF6288">
              <w:rPr>
                <w:rFonts w:ascii="Arial" w:hAnsi="Arial" w:cs="Arial"/>
                <w:b/>
                <w:color w:val="auto"/>
                <w:sz w:val="20"/>
              </w:rPr>
              <w:t>g</w:t>
            </w:r>
            <w:r w:rsidRPr="00EF6288">
              <w:rPr>
                <w:rFonts w:ascii="Arial" w:hAnsi="Arial" w:cs="Arial"/>
                <w:b/>
                <w:color w:val="auto"/>
                <w:sz w:val="20"/>
              </w:rPr>
              <w:t>oals</w:t>
            </w:r>
          </w:p>
        </w:tc>
        <w:tc>
          <w:tcPr>
            <w:tcW w:w="1686"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4DA1C6E3" w14:textId="76B4F8B6" w:rsidR="005C178C" w:rsidRPr="00EF6288" w:rsidRDefault="005C178C">
            <w:pPr>
              <w:spacing w:line="240" w:lineRule="auto"/>
              <w:jc w:val="center"/>
              <w:rPr>
                <w:rFonts w:ascii="Arial" w:hAnsi="Arial" w:cs="Arial"/>
                <w:b/>
                <w:color w:val="auto"/>
                <w:sz w:val="20"/>
              </w:rPr>
            </w:pPr>
            <w:r w:rsidRPr="00EF6288">
              <w:rPr>
                <w:rFonts w:ascii="Arial" w:hAnsi="Arial" w:cs="Arial"/>
                <w:b/>
                <w:color w:val="auto"/>
                <w:sz w:val="20"/>
              </w:rPr>
              <w:t xml:space="preserve">School </w:t>
            </w:r>
            <w:r w:rsidR="008B0E6B" w:rsidRPr="00EF6288">
              <w:rPr>
                <w:rFonts w:ascii="Arial" w:hAnsi="Arial" w:cs="Arial"/>
                <w:b/>
                <w:color w:val="auto"/>
                <w:sz w:val="20"/>
              </w:rPr>
              <w:t>p</w:t>
            </w:r>
            <w:r w:rsidRPr="00EF6288">
              <w:rPr>
                <w:rFonts w:ascii="Arial" w:hAnsi="Arial" w:cs="Arial"/>
                <w:b/>
                <w:color w:val="auto"/>
                <w:sz w:val="20"/>
              </w:rPr>
              <w:t>erformance</w:t>
            </w:r>
          </w:p>
          <w:p w14:paraId="5257DD76" w14:textId="17B64E4A" w:rsidR="005C178C" w:rsidRPr="00EF6288" w:rsidRDefault="008B0E6B">
            <w:pPr>
              <w:spacing w:line="240" w:lineRule="auto"/>
              <w:jc w:val="center"/>
              <w:rPr>
                <w:rFonts w:ascii="Arial" w:hAnsi="Arial" w:cs="Arial"/>
                <w:b/>
                <w:color w:val="auto"/>
                <w:sz w:val="20"/>
              </w:rPr>
            </w:pPr>
            <w:r w:rsidRPr="00EF6288">
              <w:rPr>
                <w:rFonts w:ascii="Arial" w:hAnsi="Arial" w:cs="Arial"/>
                <w:b/>
                <w:color w:val="auto"/>
                <w:sz w:val="20"/>
              </w:rPr>
              <w:t>g</w:t>
            </w:r>
            <w:r w:rsidR="005C178C" w:rsidRPr="00EF6288">
              <w:rPr>
                <w:rFonts w:ascii="Arial" w:hAnsi="Arial" w:cs="Arial"/>
                <w:b/>
                <w:color w:val="auto"/>
                <w:sz w:val="20"/>
              </w:rPr>
              <w:t>rades</w:t>
            </w:r>
          </w:p>
        </w:tc>
      </w:tr>
      <w:tr w:rsidR="00581CDF" w:rsidRPr="00EF6288" w14:paraId="727B3F3B" w14:textId="77777777" w:rsidTr="00581CDF">
        <w:trPr>
          <w:trHeight w:val="356"/>
        </w:trPr>
        <w:tc>
          <w:tcPr>
            <w:tcW w:w="3886" w:type="dxa"/>
            <w:tcBorders>
              <w:top w:val="nil"/>
              <w:left w:val="single" w:sz="6" w:space="0" w:color="auto"/>
              <w:bottom w:val="single" w:sz="6" w:space="0" w:color="auto"/>
              <w:right w:val="single" w:sz="6" w:space="0" w:color="auto"/>
            </w:tcBorders>
            <w:vAlign w:val="center"/>
            <w:hideMark/>
          </w:tcPr>
          <w:p w14:paraId="67C84513" w14:textId="087E81B4" w:rsidR="00581CDF" w:rsidRPr="00EF6288" w:rsidRDefault="00581CDF" w:rsidP="00581CDF">
            <w:pPr>
              <w:spacing w:line="240" w:lineRule="auto"/>
              <w:rPr>
                <w:rFonts w:ascii="Arial" w:hAnsi="Arial" w:cs="Arial"/>
                <w:color w:val="auto"/>
                <w:sz w:val="20"/>
              </w:rPr>
            </w:pPr>
            <w:r w:rsidRPr="00EF6288">
              <w:rPr>
                <w:rFonts w:ascii="Arial" w:hAnsi="Arial" w:cs="Arial"/>
                <w:color w:val="auto"/>
                <w:sz w:val="20"/>
              </w:rPr>
              <w:t xml:space="preserve"> Partial enrollment required </w:t>
            </w:r>
          </w:p>
        </w:tc>
        <w:tc>
          <w:tcPr>
            <w:tcW w:w="1180" w:type="dxa"/>
            <w:tcBorders>
              <w:top w:val="nil"/>
              <w:left w:val="nil"/>
              <w:bottom w:val="single" w:sz="6" w:space="0" w:color="auto"/>
              <w:right w:val="single" w:sz="6" w:space="0" w:color="auto"/>
            </w:tcBorders>
            <w:vAlign w:val="center"/>
          </w:tcPr>
          <w:p w14:paraId="090EE790" w14:textId="5662CF5D" w:rsidR="00581CDF" w:rsidRPr="009460F0" w:rsidRDefault="00581CDF" w:rsidP="00581CDF">
            <w:pPr>
              <w:spacing w:line="240" w:lineRule="auto"/>
              <w:jc w:val="center"/>
              <w:rPr>
                <w:rFonts w:ascii="Arial" w:hAnsi="Arial" w:cs="Arial"/>
                <w:color w:val="FFFFFF" w:themeColor="background1"/>
                <w:sz w:val="20"/>
              </w:rPr>
            </w:pPr>
            <w:r w:rsidRPr="007E0BC6">
              <w:rPr>
                <w:rFonts w:ascii="Arial" w:hAnsi="Arial" w:cs="Arial"/>
                <w:color w:val="auto"/>
                <w:sz w:val="20"/>
              </w:rPr>
              <w:t>-</w:t>
            </w:r>
          </w:p>
        </w:tc>
        <w:tc>
          <w:tcPr>
            <w:tcW w:w="1496" w:type="dxa"/>
            <w:tcBorders>
              <w:top w:val="nil"/>
              <w:left w:val="nil"/>
              <w:bottom w:val="single" w:sz="6" w:space="0" w:color="auto"/>
              <w:right w:val="single" w:sz="6" w:space="0" w:color="auto"/>
            </w:tcBorders>
            <w:vAlign w:val="center"/>
          </w:tcPr>
          <w:p w14:paraId="1BD623E1" w14:textId="27BA18A6" w:rsidR="00581CDF" w:rsidRPr="009460F0" w:rsidRDefault="00581CDF" w:rsidP="00581CDF">
            <w:pPr>
              <w:spacing w:line="240" w:lineRule="auto"/>
              <w:jc w:val="center"/>
              <w:rPr>
                <w:rFonts w:ascii="Arial" w:hAnsi="Arial" w:cs="Arial"/>
                <w:color w:val="FFFFFF" w:themeColor="background1"/>
                <w:sz w:val="20"/>
              </w:rPr>
            </w:pPr>
            <w:r w:rsidRPr="007E0BC6">
              <w:rPr>
                <w:rFonts w:ascii="Arial" w:hAnsi="Arial" w:cs="Arial"/>
                <w:color w:val="auto"/>
                <w:sz w:val="20"/>
              </w:rPr>
              <w:t>-</w:t>
            </w:r>
          </w:p>
        </w:tc>
        <w:tc>
          <w:tcPr>
            <w:tcW w:w="1686" w:type="dxa"/>
            <w:tcBorders>
              <w:top w:val="nil"/>
              <w:left w:val="nil"/>
              <w:bottom w:val="single" w:sz="6" w:space="0" w:color="auto"/>
              <w:right w:val="single" w:sz="6" w:space="0" w:color="auto"/>
            </w:tcBorders>
            <w:vAlign w:val="center"/>
            <w:hideMark/>
          </w:tcPr>
          <w:p w14:paraId="012B3ACB" w14:textId="7710C0A9" w:rsidR="00581CDF" w:rsidRPr="00EF6288" w:rsidRDefault="00581CDF" w:rsidP="00581CDF">
            <w:pPr>
              <w:spacing w:line="240" w:lineRule="auto"/>
              <w:jc w:val="center"/>
              <w:rPr>
                <w:rFonts w:ascii="Arial" w:hAnsi="Arial" w:cs="Arial"/>
                <w:color w:val="auto"/>
                <w:sz w:val="20"/>
              </w:rPr>
            </w:pPr>
            <w:r>
              <w:rPr>
                <w:rFonts w:ascii="Arial" w:hAnsi="Arial" w:cs="Arial"/>
                <w:color w:val="auto"/>
                <w:sz w:val="20"/>
              </w:rPr>
              <w:t>Yes</w:t>
            </w:r>
          </w:p>
        </w:tc>
      </w:tr>
      <w:tr w:rsidR="005C178C" w:rsidRPr="00EF6288" w14:paraId="5F52F9D5" w14:textId="77777777" w:rsidTr="00E50C05">
        <w:trPr>
          <w:trHeight w:val="440"/>
        </w:trPr>
        <w:tc>
          <w:tcPr>
            <w:tcW w:w="3886" w:type="dxa"/>
            <w:tcBorders>
              <w:top w:val="nil"/>
              <w:left w:val="single" w:sz="6" w:space="0" w:color="auto"/>
              <w:bottom w:val="single" w:sz="6" w:space="0" w:color="auto"/>
              <w:right w:val="single" w:sz="6" w:space="0" w:color="auto"/>
            </w:tcBorders>
            <w:vAlign w:val="center"/>
            <w:hideMark/>
          </w:tcPr>
          <w:p w14:paraId="0FDBACCD" w14:textId="4B734C79" w:rsidR="005C178C" w:rsidRPr="00EF6288" w:rsidRDefault="005C178C">
            <w:pPr>
              <w:spacing w:line="240" w:lineRule="auto"/>
              <w:rPr>
                <w:rFonts w:ascii="Arial" w:hAnsi="Arial" w:cs="Arial"/>
                <w:color w:val="auto"/>
                <w:sz w:val="20"/>
              </w:rPr>
            </w:pPr>
            <w:r w:rsidRPr="00EF6288">
              <w:rPr>
                <w:rFonts w:ascii="Arial" w:hAnsi="Arial" w:cs="Arial"/>
                <w:color w:val="auto"/>
                <w:sz w:val="20"/>
              </w:rPr>
              <w:t xml:space="preserve"> Requires a minimum number of students (</w:t>
            </w:r>
            <w:bookmarkStart w:id="984" w:name="_Int_1dNck6sL"/>
            <w:r w:rsidR="00030165" w:rsidRPr="00EF6288">
              <w:rPr>
                <w:rFonts w:ascii="Arial" w:hAnsi="Arial" w:cs="Arial"/>
                <w:color w:val="auto"/>
                <w:sz w:val="20"/>
              </w:rPr>
              <w:t>m</w:t>
            </w:r>
            <w:r w:rsidRPr="00EF6288">
              <w:rPr>
                <w:rFonts w:ascii="Arial" w:hAnsi="Arial" w:cs="Arial"/>
                <w:color w:val="auto"/>
                <w:sz w:val="20"/>
              </w:rPr>
              <w:t>inimum</w:t>
            </w:r>
            <w:bookmarkEnd w:id="984"/>
            <w:r w:rsidRPr="00EF6288">
              <w:rPr>
                <w:rFonts w:ascii="Arial" w:hAnsi="Arial" w:cs="Arial"/>
                <w:color w:val="auto"/>
                <w:sz w:val="20"/>
              </w:rPr>
              <w:t>-</w:t>
            </w:r>
            <w:r w:rsidR="000B72F0" w:rsidRPr="00EF6288">
              <w:rPr>
                <w:rFonts w:ascii="Arial" w:hAnsi="Arial" w:cs="Arial"/>
                <w:color w:val="auto"/>
                <w:sz w:val="20"/>
              </w:rPr>
              <w:t>n</w:t>
            </w:r>
            <w:r w:rsidRPr="00EF6288">
              <w:rPr>
                <w:rFonts w:ascii="Arial" w:hAnsi="Arial" w:cs="Arial"/>
                <w:color w:val="auto"/>
                <w:sz w:val="20"/>
              </w:rPr>
              <w:t xml:space="preserve">) </w:t>
            </w:r>
          </w:p>
        </w:tc>
        <w:tc>
          <w:tcPr>
            <w:tcW w:w="1180" w:type="dxa"/>
            <w:tcBorders>
              <w:top w:val="nil"/>
              <w:left w:val="nil"/>
              <w:bottom w:val="single" w:sz="6" w:space="0" w:color="auto"/>
              <w:right w:val="single" w:sz="6" w:space="0" w:color="auto"/>
            </w:tcBorders>
            <w:vAlign w:val="center"/>
            <w:hideMark/>
          </w:tcPr>
          <w:p w14:paraId="7980DBA8" w14:textId="77777777"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10</w:t>
            </w:r>
          </w:p>
        </w:tc>
        <w:tc>
          <w:tcPr>
            <w:tcW w:w="1496" w:type="dxa"/>
            <w:tcBorders>
              <w:top w:val="nil"/>
              <w:left w:val="nil"/>
              <w:bottom w:val="single" w:sz="6" w:space="0" w:color="auto"/>
              <w:right w:val="single" w:sz="6" w:space="0" w:color="auto"/>
            </w:tcBorders>
            <w:vAlign w:val="center"/>
            <w:hideMark/>
          </w:tcPr>
          <w:p w14:paraId="5F77BC28" w14:textId="77777777"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30</w:t>
            </w:r>
          </w:p>
        </w:tc>
        <w:tc>
          <w:tcPr>
            <w:tcW w:w="1686" w:type="dxa"/>
            <w:tcBorders>
              <w:top w:val="nil"/>
              <w:left w:val="nil"/>
              <w:bottom w:val="single" w:sz="6" w:space="0" w:color="auto"/>
              <w:right w:val="single" w:sz="6" w:space="0" w:color="auto"/>
            </w:tcBorders>
            <w:vAlign w:val="center"/>
            <w:hideMark/>
          </w:tcPr>
          <w:p w14:paraId="0F7A3BC0" w14:textId="77777777"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30</w:t>
            </w:r>
          </w:p>
        </w:tc>
      </w:tr>
      <w:tr w:rsidR="005C178C" w:rsidRPr="00EF6288" w14:paraId="353BB281" w14:textId="77777777" w:rsidTr="00E50C05">
        <w:trPr>
          <w:trHeight w:val="440"/>
        </w:trPr>
        <w:tc>
          <w:tcPr>
            <w:tcW w:w="3886" w:type="dxa"/>
            <w:tcBorders>
              <w:top w:val="nil"/>
              <w:left w:val="single" w:sz="6" w:space="0" w:color="auto"/>
              <w:bottom w:val="single" w:sz="6" w:space="0" w:color="auto"/>
              <w:right w:val="single" w:sz="6" w:space="0" w:color="auto"/>
            </w:tcBorders>
            <w:vAlign w:val="center"/>
            <w:hideMark/>
          </w:tcPr>
          <w:p w14:paraId="0348E8B9" w14:textId="0CA1547C" w:rsidR="005C178C" w:rsidRPr="00EF6288" w:rsidRDefault="005C178C" w:rsidP="00B8724E">
            <w:pPr>
              <w:spacing w:line="240" w:lineRule="auto"/>
              <w:rPr>
                <w:rFonts w:ascii="Arial" w:hAnsi="Arial" w:cs="Arial"/>
                <w:color w:val="auto"/>
                <w:sz w:val="20"/>
              </w:rPr>
            </w:pPr>
            <w:r w:rsidRPr="00EF6288">
              <w:rPr>
                <w:rFonts w:ascii="Arial" w:hAnsi="Arial" w:cs="Arial"/>
                <w:color w:val="auto"/>
                <w:sz w:val="20"/>
              </w:rPr>
              <w:t xml:space="preserve"> Accountability subgroup designations as noted</w:t>
            </w:r>
            <w:r w:rsidR="00B6782E" w:rsidRPr="00EF6288">
              <w:rPr>
                <w:rFonts w:ascii="Arial" w:hAnsi="Arial" w:cs="Arial"/>
                <w:color w:val="auto"/>
                <w:sz w:val="20"/>
              </w:rPr>
              <w:t xml:space="preserve"> </w:t>
            </w:r>
            <w:r w:rsidRPr="00EF6288">
              <w:rPr>
                <w:rFonts w:ascii="Arial" w:hAnsi="Arial" w:cs="Arial"/>
                <w:color w:val="auto"/>
                <w:sz w:val="20"/>
              </w:rPr>
              <w:t xml:space="preserve">in </w:t>
            </w:r>
            <w:r w:rsidR="00C41B17" w:rsidRPr="00EF6288">
              <w:rPr>
                <w:rFonts w:ascii="Arial" w:hAnsi="Arial" w:cs="Arial"/>
                <w:color w:val="auto"/>
                <w:sz w:val="20"/>
              </w:rPr>
              <w:t>t</w:t>
            </w:r>
            <w:r w:rsidRPr="00EF6288">
              <w:rPr>
                <w:rFonts w:ascii="Arial" w:hAnsi="Arial" w:cs="Arial"/>
                <w:color w:val="auto"/>
                <w:sz w:val="20"/>
              </w:rPr>
              <w:t>able 11</w:t>
            </w:r>
            <w:r w:rsidR="00A92E27">
              <w:rPr>
                <w:rFonts w:ascii="Arial" w:hAnsi="Arial" w:cs="Arial"/>
                <w:color w:val="auto"/>
                <w:sz w:val="20"/>
              </w:rPr>
              <w:t>.2</w:t>
            </w:r>
            <w:r w:rsidRPr="00EF6288">
              <w:rPr>
                <w:rFonts w:ascii="Arial" w:hAnsi="Arial" w:cs="Arial"/>
                <w:color w:val="auto"/>
                <w:sz w:val="20"/>
              </w:rPr>
              <w:t> </w:t>
            </w:r>
          </w:p>
        </w:tc>
        <w:tc>
          <w:tcPr>
            <w:tcW w:w="1180" w:type="dxa"/>
            <w:tcBorders>
              <w:top w:val="nil"/>
              <w:left w:val="nil"/>
              <w:bottom w:val="single" w:sz="6" w:space="0" w:color="auto"/>
              <w:right w:val="single" w:sz="6" w:space="0" w:color="auto"/>
            </w:tcBorders>
            <w:vAlign w:val="center"/>
            <w:hideMark/>
          </w:tcPr>
          <w:p w14:paraId="1F14B463" w14:textId="70713360"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1496" w:type="dxa"/>
            <w:tcBorders>
              <w:top w:val="nil"/>
              <w:left w:val="nil"/>
              <w:bottom w:val="single" w:sz="6" w:space="0" w:color="auto"/>
              <w:right w:val="single" w:sz="6" w:space="0" w:color="auto"/>
            </w:tcBorders>
            <w:vAlign w:val="center"/>
            <w:hideMark/>
          </w:tcPr>
          <w:p w14:paraId="7858EFC3" w14:textId="2CD7D5FE"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1686" w:type="dxa"/>
            <w:tcBorders>
              <w:top w:val="nil"/>
              <w:left w:val="nil"/>
              <w:bottom w:val="single" w:sz="6" w:space="0" w:color="auto"/>
              <w:right w:val="single" w:sz="6" w:space="0" w:color="auto"/>
            </w:tcBorders>
            <w:vAlign w:val="center"/>
            <w:hideMark/>
          </w:tcPr>
          <w:p w14:paraId="06F30CB8" w14:textId="25B398DD"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r>
      <w:tr w:rsidR="00581CDF" w:rsidRPr="00EF6288" w14:paraId="2CC9E6B6" w14:textId="77777777" w:rsidTr="00581CDF">
        <w:trPr>
          <w:trHeight w:val="356"/>
        </w:trPr>
        <w:tc>
          <w:tcPr>
            <w:tcW w:w="3886" w:type="dxa"/>
            <w:tcBorders>
              <w:top w:val="nil"/>
              <w:left w:val="single" w:sz="6" w:space="0" w:color="auto"/>
              <w:bottom w:val="single" w:sz="6" w:space="0" w:color="auto"/>
              <w:right w:val="single" w:sz="6" w:space="0" w:color="auto"/>
            </w:tcBorders>
            <w:vAlign w:val="center"/>
            <w:hideMark/>
          </w:tcPr>
          <w:p w14:paraId="4E3BD987" w14:textId="15B9B835" w:rsidR="00581CDF" w:rsidRPr="00EF6288" w:rsidRDefault="00581CDF" w:rsidP="00581CDF">
            <w:pPr>
              <w:spacing w:line="240" w:lineRule="auto"/>
              <w:rPr>
                <w:rFonts w:ascii="Arial" w:hAnsi="Arial" w:cs="Arial"/>
                <w:color w:val="auto"/>
                <w:sz w:val="20"/>
              </w:rPr>
            </w:pPr>
            <w:r w:rsidRPr="00EF6288">
              <w:rPr>
                <w:rFonts w:ascii="Arial" w:hAnsi="Arial" w:cs="Arial"/>
                <w:color w:val="auto"/>
                <w:sz w:val="20"/>
              </w:rPr>
              <w:t xml:space="preserve"> Additional subgroups as noted in table 11</w:t>
            </w:r>
            <w:r>
              <w:rPr>
                <w:rFonts w:ascii="Arial" w:hAnsi="Arial" w:cs="Arial"/>
                <w:color w:val="auto"/>
                <w:sz w:val="20"/>
              </w:rPr>
              <w:t>.2</w:t>
            </w:r>
            <w:r w:rsidRPr="00EF6288">
              <w:rPr>
                <w:rFonts w:ascii="Arial" w:hAnsi="Arial" w:cs="Arial"/>
                <w:color w:val="auto"/>
                <w:sz w:val="20"/>
              </w:rPr>
              <w:t> </w:t>
            </w:r>
          </w:p>
        </w:tc>
        <w:tc>
          <w:tcPr>
            <w:tcW w:w="1180" w:type="dxa"/>
            <w:tcBorders>
              <w:top w:val="nil"/>
              <w:left w:val="nil"/>
              <w:bottom w:val="single" w:sz="6" w:space="0" w:color="auto"/>
              <w:right w:val="single" w:sz="6" w:space="0" w:color="auto"/>
            </w:tcBorders>
            <w:vAlign w:val="center"/>
            <w:hideMark/>
          </w:tcPr>
          <w:p w14:paraId="6914E1A3" w14:textId="3802693F" w:rsidR="00581CDF" w:rsidRPr="00EF6288" w:rsidRDefault="00581CDF" w:rsidP="00581CDF">
            <w:pPr>
              <w:spacing w:line="240" w:lineRule="auto"/>
              <w:jc w:val="center"/>
              <w:rPr>
                <w:rFonts w:ascii="Arial" w:hAnsi="Arial" w:cs="Arial"/>
                <w:color w:val="auto"/>
                <w:sz w:val="20"/>
              </w:rPr>
            </w:pPr>
            <w:r>
              <w:rPr>
                <w:rFonts w:ascii="Arial" w:hAnsi="Arial" w:cs="Arial"/>
                <w:color w:val="auto"/>
                <w:sz w:val="20"/>
              </w:rPr>
              <w:t xml:space="preserve"> Yes</w:t>
            </w:r>
          </w:p>
        </w:tc>
        <w:tc>
          <w:tcPr>
            <w:tcW w:w="1496" w:type="dxa"/>
            <w:tcBorders>
              <w:top w:val="nil"/>
              <w:left w:val="nil"/>
              <w:bottom w:val="single" w:sz="6" w:space="0" w:color="auto"/>
              <w:right w:val="single" w:sz="6" w:space="0" w:color="auto"/>
            </w:tcBorders>
            <w:vAlign w:val="center"/>
          </w:tcPr>
          <w:p w14:paraId="612122FF" w14:textId="3E9D0A4C" w:rsidR="00581CDF" w:rsidRPr="00A405B0" w:rsidRDefault="00581CDF" w:rsidP="00581CDF">
            <w:pPr>
              <w:spacing w:line="240" w:lineRule="auto"/>
              <w:jc w:val="center"/>
              <w:rPr>
                <w:rFonts w:ascii="Arial" w:hAnsi="Arial" w:cs="Arial"/>
                <w:color w:val="FFFFFF" w:themeColor="background1"/>
                <w:sz w:val="20"/>
              </w:rPr>
            </w:pPr>
            <w:r w:rsidRPr="001578BC">
              <w:rPr>
                <w:rFonts w:ascii="Arial" w:hAnsi="Arial" w:cs="Arial"/>
                <w:color w:val="auto"/>
                <w:sz w:val="20"/>
              </w:rPr>
              <w:t>-</w:t>
            </w:r>
          </w:p>
        </w:tc>
        <w:tc>
          <w:tcPr>
            <w:tcW w:w="1686" w:type="dxa"/>
            <w:tcBorders>
              <w:top w:val="nil"/>
              <w:left w:val="nil"/>
              <w:bottom w:val="single" w:sz="6" w:space="0" w:color="auto"/>
              <w:right w:val="single" w:sz="6" w:space="0" w:color="auto"/>
            </w:tcBorders>
            <w:vAlign w:val="center"/>
          </w:tcPr>
          <w:p w14:paraId="4F488958" w14:textId="29A0D5C9" w:rsidR="00581CDF" w:rsidRPr="00A405B0" w:rsidRDefault="00581CDF" w:rsidP="00581CDF">
            <w:pPr>
              <w:spacing w:line="240" w:lineRule="auto"/>
              <w:jc w:val="center"/>
              <w:rPr>
                <w:rFonts w:ascii="Arial" w:hAnsi="Arial" w:cs="Arial"/>
                <w:color w:val="FFFFFF" w:themeColor="background1"/>
                <w:sz w:val="20"/>
              </w:rPr>
            </w:pPr>
            <w:r w:rsidRPr="001578BC">
              <w:rPr>
                <w:rFonts w:ascii="Arial" w:hAnsi="Arial" w:cs="Arial"/>
                <w:color w:val="auto"/>
                <w:sz w:val="20"/>
              </w:rPr>
              <w:t>-</w:t>
            </w:r>
          </w:p>
        </w:tc>
      </w:tr>
      <w:tr w:rsidR="005C178C" w:rsidRPr="00EF6288" w14:paraId="5F2FCDCB" w14:textId="77777777" w:rsidTr="00E50C05">
        <w:trPr>
          <w:trHeight w:val="222"/>
        </w:trPr>
        <w:tc>
          <w:tcPr>
            <w:tcW w:w="3886" w:type="dxa"/>
            <w:tcBorders>
              <w:top w:val="nil"/>
              <w:left w:val="single" w:sz="6" w:space="0" w:color="auto"/>
              <w:bottom w:val="single" w:sz="6" w:space="0" w:color="auto"/>
              <w:right w:val="single" w:sz="6" w:space="0" w:color="auto"/>
            </w:tcBorders>
            <w:vAlign w:val="center"/>
            <w:hideMark/>
          </w:tcPr>
          <w:p w14:paraId="58A4A39D" w14:textId="77777777" w:rsidR="005C178C" w:rsidRPr="00EF6288" w:rsidRDefault="005C178C">
            <w:pPr>
              <w:spacing w:line="240" w:lineRule="auto"/>
              <w:rPr>
                <w:rFonts w:ascii="Arial" w:hAnsi="Arial" w:cs="Arial"/>
                <w:color w:val="auto"/>
                <w:sz w:val="20"/>
              </w:rPr>
            </w:pPr>
            <w:r w:rsidRPr="00EF6288">
              <w:rPr>
                <w:rFonts w:ascii="Arial" w:hAnsi="Arial" w:cs="Arial"/>
                <w:color w:val="auto"/>
                <w:sz w:val="20"/>
              </w:rPr>
              <w:t xml:space="preserve"> Grade levels included</w:t>
            </w:r>
          </w:p>
        </w:tc>
        <w:tc>
          <w:tcPr>
            <w:tcW w:w="1180" w:type="dxa"/>
            <w:tcBorders>
              <w:top w:val="nil"/>
              <w:left w:val="nil"/>
              <w:bottom w:val="single" w:sz="6" w:space="0" w:color="auto"/>
              <w:right w:val="single" w:sz="6" w:space="0" w:color="auto"/>
            </w:tcBorders>
            <w:vAlign w:val="center"/>
            <w:hideMark/>
          </w:tcPr>
          <w:p w14:paraId="3F25B386" w14:textId="32844F14"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K</w:t>
            </w:r>
            <w:r w:rsidR="00D11592" w:rsidRPr="00EF6288">
              <w:rPr>
                <w:rFonts w:ascii="Arial" w:hAnsi="Arial" w:cs="Arial"/>
                <w:color w:val="auto"/>
                <w:sz w:val="20"/>
              </w:rPr>
              <w:t>–</w:t>
            </w:r>
            <w:r w:rsidRPr="00EF6288">
              <w:rPr>
                <w:rFonts w:ascii="Arial" w:hAnsi="Arial" w:cs="Arial"/>
                <w:color w:val="auto"/>
                <w:sz w:val="20"/>
              </w:rPr>
              <w:t>13</w:t>
            </w:r>
          </w:p>
        </w:tc>
        <w:tc>
          <w:tcPr>
            <w:tcW w:w="1496" w:type="dxa"/>
            <w:tcBorders>
              <w:top w:val="nil"/>
              <w:left w:val="nil"/>
              <w:bottom w:val="single" w:sz="6" w:space="0" w:color="auto"/>
              <w:right w:val="single" w:sz="6" w:space="0" w:color="auto"/>
            </w:tcBorders>
            <w:vAlign w:val="center"/>
            <w:hideMark/>
          </w:tcPr>
          <w:p w14:paraId="2464EE54" w14:textId="18DA70C2"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K</w:t>
            </w:r>
            <w:r w:rsidR="00D11592" w:rsidRPr="00EF6288">
              <w:rPr>
                <w:rFonts w:ascii="Arial" w:hAnsi="Arial" w:cs="Arial"/>
                <w:color w:val="auto"/>
                <w:sz w:val="20"/>
              </w:rPr>
              <w:t>–</w:t>
            </w:r>
            <w:r w:rsidRPr="00EF6288">
              <w:rPr>
                <w:rFonts w:ascii="Arial" w:hAnsi="Arial" w:cs="Arial"/>
                <w:color w:val="auto"/>
                <w:sz w:val="20"/>
              </w:rPr>
              <w:t>13</w:t>
            </w:r>
          </w:p>
        </w:tc>
        <w:tc>
          <w:tcPr>
            <w:tcW w:w="1686" w:type="dxa"/>
            <w:tcBorders>
              <w:top w:val="nil"/>
              <w:left w:val="nil"/>
              <w:bottom w:val="single" w:sz="6" w:space="0" w:color="auto"/>
              <w:right w:val="single" w:sz="6" w:space="0" w:color="auto"/>
            </w:tcBorders>
            <w:vAlign w:val="center"/>
            <w:hideMark/>
          </w:tcPr>
          <w:p w14:paraId="4F17CD67" w14:textId="0F2488B0"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3</w:t>
            </w:r>
            <w:r w:rsidR="00D11592" w:rsidRPr="00EF6288">
              <w:rPr>
                <w:rFonts w:ascii="Arial" w:hAnsi="Arial" w:cs="Arial"/>
                <w:color w:val="auto"/>
                <w:sz w:val="20"/>
              </w:rPr>
              <w:t>–</w:t>
            </w:r>
            <w:r w:rsidRPr="00EF6288">
              <w:rPr>
                <w:rFonts w:ascii="Arial" w:hAnsi="Arial" w:cs="Arial"/>
                <w:color w:val="auto"/>
                <w:sz w:val="20"/>
              </w:rPr>
              <w:t>8, 10</w:t>
            </w:r>
          </w:p>
        </w:tc>
      </w:tr>
    </w:tbl>
    <w:p w14:paraId="47F6DBBB" w14:textId="77777777" w:rsidR="005C178C" w:rsidRDefault="005C178C" w:rsidP="005C178C">
      <w:pPr>
        <w:spacing w:line="240" w:lineRule="auto"/>
        <w:rPr>
          <w:rFonts w:ascii="Arial" w:hAnsi="Arial" w:cs="Arial"/>
          <w:color w:val="auto"/>
          <w:szCs w:val="24"/>
        </w:rPr>
      </w:pPr>
      <w:r w:rsidRPr="00EF6288">
        <w:rPr>
          <w:rFonts w:ascii="Arial" w:hAnsi="Arial" w:cs="Arial"/>
          <w:color w:val="auto"/>
          <w:szCs w:val="24"/>
        </w:rPr>
        <w:t> </w:t>
      </w:r>
    </w:p>
    <w:p w14:paraId="7B180E54" w14:textId="77777777" w:rsidR="004D416C" w:rsidRDefault="004D416C" w:rsidP="005C178C">
      <w:pPr>
        <w:spacing w:line="240" w:lineRule="auto"/>
        <w:rPr>
          <w:rFonts w:ascii="Arial" w:hAnsi="Arial" w:cs="Arial"/>
          <w:color w:val="auto"/>
          <w:szCs w:val="24"/>
        </w:rPr>
      </w:pPr>
    </w:p>
    <w:p w14:paraId="45F81FCF" w14:textId="77777777" w:rsidR="004D416C" w:rsidRDefault="004D416C" w:rsidP="005C178C">
      <w:pPr>
        <w:spacing w:line="240" w:lineRule="auto"/>
        <w:rPr>
          <w:rFonts w:ascii="Arial" w:hAnsi="Arial" w:cs="Arial"/>
          <w:color w:val="auto"/>
          <w:szCs w:val="24"/>
        </w:rPr>
      </w:pPr>
    </w:p>
    <w:p w14:paraId="54D1A765" w14:textId="77777777" w:rsidR="00067727" w:rsidRDefault="00067727" w:rsidP="005C178C">
      <w:pPr>
        <w:spacing w:line="240" w:lineRule="auto"/>
        <w:rPr>
          <w:rFonts w:ascii="Arial" w:hAnsi="Arial" w:cs="Arial"/>
          <w:color w:val="auto"/>
          <w:sz w:val="20"/>
        </w:rPr>
      </w:pPr>
      <w:bookmarkStart w:id="985" w:name="Table1124"/>
    </w:p>
    <w:p w14:paraId="64587FDB" w14:textId="326B2E08" w:rsidR="005C178C" w:rsidRPr="00EF6288" w:rsidRDefault="005C178C" w:rsidP="005C178C">
      <w:pPr>
        <w:spacing w:line="240" w:lineRule="auto"/>
        <w:rPr>
          <w:rFonts w:ascii="Arial" w:hAnsi="Arial" w:cs="Arial"/>
          <w:color w:val="auto"/>
          <w:sz w:val="20"/>
        </w:rPr>
      </w:pPr>
      <w:r w:rsidRPr="00EF6288">
        <w:rPr>
          <w:rFonts w:ascii="Arial" w:hAnsi="Arial" w:cs="Arial"/>
          <w:color w:val="auto"/>
          <w:sz w:val="20"/>
        </w:rPr>
        <w:lastRenderedPageBreak/>
        <w:t>TABLE 11.</w:t>
      </w:r>
      <w:r w:rsidR="007502D8" w:rsidRPr="00EF6288">
        <w:rPr>
          <w:rFonts w:ascii="Arial" w:hAnsi="Arial" w:cs="Arial"/>
          <w:color w:val="auto"/>
          <w:sz w:val="20"/>
        </w:rPr>
        <w:t>2.</w:t>
      </w:r>
      <w:r w:rsidR="00E353A3" w:rsidRPr="00EF6288">
        <w:rPr>
          <w:rFonts w:ascii="Arial" w:hAnsi="Arial" w:cs="Arial"/>
          <w:color w:val="auto"/>
          <w:sz w:val="20"/>
        </w:rPr>
        <w:t>4</w:t>
      </w:r>
      <w:r w:rsidRPr="00EF6288">
        <w:rPr>
          <w:rFonts w:ascii="Arial" w:hAnsi="Arial" w:cs="Arial"/>
          <w:color w:val="auto"/>
          <w:sz w:val="20"/>
        </w:rPr>
        <w:t xml:space="preserve">. </w:t>
      </w:r>
      <w:bookmarkEnd w:id="985"/>
      <w:r w:rsidRPr="00EF6288">
        <w:rPr>
          <w:rFonts w:ascii="Arial" w:hAnsi="Arial" w:cs="Arial"/>
          <w:color w:val="auto"/>
          <w:sz w:val="20"/>
        </w:rPr>
        <w:t>General rules applied to the Growth indicator </w:t>
      </w:r>
    </w:p>
    <w:tbl>
      <w:tblPr>
        <w:tblW w:w="82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General rules applied to growth. The first column lists the common rules. The next two columns of reporting and school performance grades have a checkmark if the rule applies, are left blank if the rule doesn't apply, or have a number. The number means that it applies if the subgroup of students meet the mininum number indicated. "/>
      </w:tblPr>
      <w:tblGrid>
        <w:gridCol w:w="3732"/>
        <w:gridCol w:w="1898"/>
        <w:gridCol w:w="2642"/>
      </w:tblGrid>
      <w:tr w:rsidR="005C178C" w:rsidRPr="00EF6288" w14:paraId="5418387A" w14:textId="77777777" w:rsidTr="000375E8">
        <w:trPr>
          <w:trHeight w:val="231"/>
          <w:tblHeader/>
        </w:trPr>
        <w:tc>
          <w:tcPr>
            <w:tcW w:w="3732" w:type="dxa"/>
            <w:tcBorders>
              <w:top w:val="single" w:sz="6" w:space="0" w:color="auto"/>
              <w:left w:val="single" w:sz="6" w:space="0" w:color="auto"/>
              <w:bottom w:val="single" w:sz="6" w:space="0" w:color="auto"/>
              <w:right w:val="single" w:sz="6" w:space="0" w:color="auto"/>
            </w:tcBorders>
            <w:shd w:val="clear" w:color="auto" w:fill="ACB9CA" w:themeFill="text2" w:themeFillTint="66"/>
            <w:vAlign w:val="center"/>
            <w:hideMark/>
          </w:tcPr>
          <w:p w14:paraId="322DD61E" w14:textId="77777777" w:rsidR="005C178C" w:rsidRPr="00EF6288" w:rsidRDefault="005C178C">
            <w:pPr>
              <w:spacing w:line="240" w:lineRule="auto"/>
              <w:rPr>
                <w:rFonts w:ascii="Arial" w:hAnsi="Arial" w:cs="Arial"/>
                <w:b/>
                <w:color w:val="auto"/>
                <w:sz w:val="20"/>
              </w:rPr>
            </w:pPr>
            <w:r w:rsidRPr="00EF6288">
              <w:rPr>
                <w:rFonts w:ascii="Arial" w:hAnsi="Arial" w:cs="Arial"/>
                <w:b/>
                <w:color w:val="auto"/>
                <w:sz w:val="20"/>
              </w:rPr>
              <w:t xml:space="preserve"> Rule </w:t>
            </w:r>
          </w:p>
        </w:tc>
        <w:tc>
          <w:tcPr>
            <w:tcW w:w="1898"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237C0368" w14:textId="77777777" w:rsidR="005C178C" w:rsidRPr="00EF6288" w:rsidRDefault="005C178C">
            <w:pPr>
              <w:spacing w:line="240" w:lineRule="auto"/>
              <w:jc w:val="center"/>
              <w:rPr>
                <w:rFonts w:ascii="Arial" w:hAnsi="Arial" w:cs="Arial"/>
                <w:b/>
                <w:color w:val="auto"/>
                <w:sz w:val="20"/>
              </w:rPr>
            </w:pPr>
            <w:r w:rsidRPr="00EF6288">
              <w:rPr>
                <w:rFonts w:ascii="Arial" w:hAnsi="Arial" w:cs="Arial"/>
                <w:b/>
                <w:color w:val="auto"/>
                <w:sz w:val="20"/>
              </w:rPr>
              <w:t>Reporting</w:t>
            </w:r>
          </w:p>
        </w:tc>
        <w:tc>
          <w:tcPr>
            <w:tcW w:w="2642" w:type="dxa"/>
            <w:tcBorders>
              <w:top w:val="single" w:sz="6" w:space="0" w:color="auto"/>
              <w:left w:val="nil"/>
              <w:bottom w:val="single" w:sz="6" w:space="0" w:color="auto"/>
              <w:right w:val="single" w:sz="6" w:space="0" w:color="auto"/>
            </w:tcBorders>
            <w:shd w:val="clear" w:color="auto" w:fill="ACB9CA" w:themeFill="text2" w:themeFillTint="66"/>
            <w:vAlign w:val="center"/>
            <w:hideMark/>
          </w:tcPr>
          <w:p w14:paraId="679B83B2" w14:textId="4437AF81" w:rsidR="005C178C" w:rsidRPr="00EF6288" w:rsidRDefault="005C178C">
            <w:pPr>
              <w:spacing w:line="240" w:lineRule="auto"/>
              <w:jc w:val="center"/>
              <w:rPr>
                <w:rFonts w:ascii="Arial" w:hAnsi="Arial" w:cs="Arial"/>
                <w:b/>
                <w:color w:val="auto"/>
                <w:sz w:val="20"/>
              </w:rPr>
            </w:pPr>
            <w:r w:rsidRPr="00EF6288">
              <w:rPr>
                <w:rFonts w:ascii="Arial" w:hAnsi="Arial" w:cs="Arial"/>
                <w:b/>
                <w:color w:val="auto"/>
                <w:sz w:val="20"/>
              </w:rPr>
              <w:t xml:space="preserve">School </w:t>
            </w:r>
            <w:r w:rsidR="00F544D2" w:rsidRPr="00EF6288">
              <w:rPr>
                <w:rFonts w:ascii="Arial" w:hAnsi="Arial" w:cs="Arial"/>
                <w:b/>
                <w:color w:val="auto"/>
                <w:sz w:val="20"/>
              </w:rPr>
              <w:t>p</w:t>
            </w:r>
            <w:r w:rsidRPr="00EF6288">
              <w:rPr>
                <w:rFonts w:ascii="Arial" w:hAnsi="Arial" w:cs="Arial"/>
                <w:b/>
                <w:color w:val="auto"/>
                <w:sz w:val="20"/>
              </w:rPr>
              <w:t xml:space="preserve">erformance </w:t>
            </w:r>
            <w:r w:rsidR="00F544D2" w:rsidRPr="00EF6288">
              <w:rPr>
                <w:rFonts w:ascii="Arial" w:hAnsi="Arial" w:cs="Arial"/>
                <w:b/>
                <w:color w:val="auto"/>
                <w:sz w:val="20"/>
              </w:rPr>
              <w:t>g</w:t>
            </w:r>
            <w:r w:rsidRPr="00EF6288">
              <w:rPr>
                <w:rFonts w:ascii="Arial" w:hAnsi="Arial" w:cs="Arial"/>
                <w:b/>
                <w:color w:val="auto"/>
                <w:sz w:val="20"/>
              </w:rPr>
              <w:t xml:space="preserve">rades </w:t>
            </w:r>
          </w:p>
        </w:tc>
      </w:tr>
      <w:tr w:rsidR="005C178C" w:rsidRPr="00EF6288" w14:paraId="56B228DA" w14:textId="77777777" w:rsidTr="007B6141">
        <w:trPr>
          <w:trHeight w:val="365"/>
        </w:trPr>
        <w:tc>
          <w:tcPr>
            <w:tcW w:w="3732" w:type="dxa"/>
            <w:tcBorders>
              <w:top w:val="nil"/>
              <w:left w:val="single" w:sz="6" w:space="0" w:color="auto"/>
              <w:bottom w:val="single" w:sz="6" w:space="0" w:color="auto"/>
              <w:right w:val="single" w:sz="6" w:space="0" w:color="auto"/>
            </w:tcBorders>
            <w:vAlign w:val="center"/>
            <w:hideMark/>
          </w:tcPr>
          <w:p w14:paraId="403B80FA" w14:textId="5D6F35BC" w:rsidR="005C178C" w:rsidRPr="00EF6288" w:rsidRDefault="005C178C">
            <w:pPr>
              <w:spacing w:line="240" w:lineRule="auto"/>
              <w:rPr>
                <w:rFonts w:ascii="Arial" w:hAnsi="Arial" w:cs="Arial"/>
                <w:color w:val="auto"/>
                <w:sz w:val="20"/>
              </w:rPr>
            </w:pPr>
            <w:r w:rsidRPr="00EF6288">
              <w:rPr>
                <w:rFonts w:ascii="Arial" w:hAnsi="Arial" w:cs="Arial"/>
                <w:color w:val="auto"/>
                <w:sz w:val="20"/>
              </w:rPr>
              <w:t xml:space="preserve"> Partial </w:t>
            </w:r>
            <w:r w:rsidR="008D098F" w:rsidRPr="00EF6288">
              <w:rPr>
                <w:rFonts w:ascii="Arial" w:hAnsi="Arial" w:cs="Arial"/>
                <w:color w:val="auto"/>
                <w:sz w:val="20"/>
              </w:rPr>
              <w:t>e</w:t>
            </w:r>
            <w:r w:rsidRPr="00EF6288">
              <w:rPr>
                <w:rFonts w:ascii="Arial" w:hAnsi="Arial" w:cs="Arial"/>
                <w:color w:val="auto"/>
                <w:sz w:val="20"/>
              </w:rPr>
              <w:t xml:space="preserve">nrollment required </w:t>
            </w:r>
          </w:p>
        </w:tc>
        <w:tc>
          <w:tcPr>
            <w:tcW w:w="1898" w:type="dxa"/>
            <w:tcBorders>
              <w:top w:val="nil"/>
              <w:left w:val="nil"/>
              <w:bottom w:val="single" w:sz="6" w:space="0" w:color="auto"/>
              <w:right w:val="single" w:sz="6" w:space="0" w:color="auto"/>
            </w:tcBorders>
            <w:vAlign w:val="center"/>
            <w:hideMark/>
          </w:tcPr>
          <w:p w14:paraId="45CFDCCC" w14:textId="6EDB32A3"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2642" w:type="dxa"/>
            <w:tcBorders>
              <w:top w:val="nil"/>
              <w:left w:val="nil"/>
              <w:bottom w:val="single" w:sz="6" w:space="0" w:color="auto"/>
              <w:right w:val="single" w:sz="6" w:space="0" w:color="auto"/>
            </w:tcBorders>
            <w:vAlign w:val="center"/>
          </w:tcPr>
          <w:p w14:paraId="5256601D" w14:textId="37CF350D"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r>
      <w:tr w:rsidR="005C178C" w:rsidRPr="00EF6288" w14:paraId="4D9651C5" w14:textId="77777777" w:rsidTr="007B6141">
        <w:trPr>
          <w:trHeight w:val="371"/>
        </w:trPr>
        <w:tc>
          <w:tcPr>
            <w:tcW w:w="3732" w:type="dxa"/>
            <w:tcBorders>
              <w:top w:val="nil"/>
              <w:left w:val="single" w:sz="6" w:space="0" w:color="auto"/>
              <w:bottom w:val="single" w:sz="6" w:space="0" w:color="auto"/>
              <w:right w:val="single" w:sz="6" w:space="0" w:color="auto"/>
            </w:tcBorders>
            <w:vAlign w:val="center"/>
            <w:hideMark/>
          </w:tcPr>
          <w:p w14:paraId="0BD617C1" w14:textId="77777777" w:rsidR="005C178C" w:rsidRPr="00EF6288" w:rsidRDefault="005C178C">
            <w:pPr>
              <w:spacing w:line="240" w:lineRule="auto"/>
              <w:rPr>
                <w:rFonts w:ascii="Arial" w:hAnsi="Arial" w:cs="Arial"/>
                <w:color w:val="auto"/>
                <w:sz w:val="20"/>
              </w:rPr>
            </w:pPr>
            <w:r w:rsidRPr="00EF6288">
              <w:rPr>
                <w:rFonts w:ascii="Arial" w:hAnsi="Arial" w:cs="Arial"/>
                <w:color w:val="auto"/>
                <w:sz w:val="20"/>
              </w:rPr>
              <w:t xml:space="preserve"> Uses current year EOG and EOC scores </w:t>
            </w:r>
          </w:p>
        </w:tc>
        <w:tc>
          <w:tcPr>
            <w:tcW w:w="1898" w:type="dxa"/>
            <w:tcBorders>
              <w:top w:val="nil"/>
              <w:left w:val="nil"/>
              <w:bottom w:val="single" w:sz="6" w:space="0" w:color="auto"/>
              <w:right w:val="single" w:sz="6" w:space="0" w:color="auto"/>
            </w:tcBorders>
            <w:vAlign w:val="center"/>
            <w:hideMark/>
          </w:tcPr>
          <w:p w14:paraId="2F59F173" w14:textId="5A55192E"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2642" w:type="dxa"/>
            <w:tcBorders>
              <w:top w:val="nil"/>
              <w:left w:val="nil"/>
              <w:bottom w:val="single" w:sz="6" w:space="0" w:color="auto"/>
              <w:right w:val="single" w:sz="6" w:space="0" w:color="auto"/>
            </w:tcBorders>
            <w:vAlign w:val="center"/>
          </w:tcPr>
          <w:p w14:paraId="2890944F" w14:textId="79A88429"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r>
      <w:tr w:rsidR="00F85631" w:rsidRPr="00EF6288" w14:paraId="7471CDB2" w14:textId="77777777" w:rsidTr="002A678F">
        <w:trPr>
          <w:trHeight w:val="318"/>
        </w:trPr>
        <w:tc>
          <w:tcPr>
            <w:tcW w:w="3732" w:type="dxa"/>
            <w:tcBorders>
              <w:top w:val="nil"/>
              <w:left w:val="single" w:sz="6" w:space="0" w:color="auto"/>
              <w:bottom w:val="single" w:sz="6" w:space="0" w:color="auto"/>
              <w:right w:val="single" w:sz="6" w:space="0" w:color="auto"/>
            </w:tcBorders>
            <w:vAlign w:val="center"/>
          </w:tcPr>
          <w:p w14:paraId="61AC1AF1" w14:textId="13DFFD45" w:rsidR="00F85631" w:rsidRPr="00EF6288" w:rsidRDefault="00F85631" w:rsidP="002823BA">
            <w:pPr>
              <w:spacing w:line="240" w:lineRule="auto"/>
              <w:rPr>
                <w:rFonts w:ascii="Arial" w:hAnsi="Arial" w:cs="Arial"/>
                <w:color w:val="auto"/>
                <w:sz w:val="20"/>
              </w:rPr>
            </w:pPr>
            <w:r>
              <w:rPr>
                <w:color w:val="auto"/>
                <w:sz w:val="20"/>
              </w:rPr>
              <w:t xml:space="preserve"> </w:t>
            </w:r>
            <w:r w:rsidRPr="002823BA">
              <w:rPr>
                <w:rFonts w:ascii="Arial" w:hAnsi="Arial" w:cs="Arial"/>
                <w:color w:val="auto"/>
                <w:sz w:val="20"/>
              </w:rPr>
              <w:t>Uses re</w:t>
            </w:r>
            <w:r w:rsidR="00BF012A">
              <w:rPr>
                <w:rFonts w:ascii="Arial" w:hAnsi="Arial" w:cs="Arial"/>
                <w:color w:val="auto"/>
                <w:sz w:val="20"/>
              </w:rPr>
              <w:t>test</w:t>
            </w:r>
            <w:r w:rsidR="001204C6">
              <w:rPr>
                <w:rFonts w:ascii="Arial" w:hAnsi="Arial" w:cs="Arial"/>
                <w:color w:val="auto"/>
                <w:sz w:val="20"/>
              </w:rPr>
              <w:t xml:space="preserve"> </w:t>
            </w:r>
            <w:r w:rsidR="00F63EA5">
              <w:rPr>
                <w:rFonts w:ascii="Arial" w:hAnsi="Arial" w:cs="Arial"/>
                <w:color w:val="auto"/>
                <w:sz w:val="20"/>
              </w:rPr>
              <w:t xml:space="preserve">scale </w:t>
            </w:r>
            <w:r w:rsidRPr="002823BA">
              <w:rPr>
                <w:rFonts w:ascii="Arial" w:hAnsi="Arial" w:cs="Arial"/>
                <w:color w:val="auto"/>
                <w:sz w:val="20"/>
              </w:rPr>
              <w:t>score, if higher than</w:t>
            </w:r>
            <w:r w:rsidRPr="002823BA">
              <w:rPr>
                <w:rFonts w:ascii="Arial" w:hAnsi="Arial" w:cs="Arial"/>
                <w:sz w:val="20"/>
              </w:rPr>
              <w:t xml:space="preserve"> </w:t>
            </w:r>
            <w:r w:rsidRPr="002823BA">
              <w:rPr>
                <w:rFonts w:ascii="Arial" w:hAnsi="Arial" w:cs="Arial"/>
                <w:color w:val="auto"/>
                <w:sz w:val="20"/>
              </w:rPr>
              <w:t xml:space="preserve">original test </w:t>
            </w:r>
            <w:r w:rsidR="00F63EA5">
              <w:rPr>
                <w:rFonts w:ascii="Arial" w:hAnsi="Arial" w:cs="Arial"/>
                <w:color w:val="auto"/>
                <w:sz w:val="20"/>
              </w:rPr>
              <w:t>scale</w:t>
            </w:r>
            <w:r w:rsidRPr="002823BA">
              <w:rPr>
                <w:rFonts w:ascii="Arial" w:hAnsi="Arial" w:cs="Arial"/>
                <w:color w:val="auto"/>
                <w:sz w:val="20"/>
              </w:rPr>
              <w:t xml:space="preserve"> score </w:t>
            </w:r>
            <w:r w:rsidR="00F63EA5">
              <w:rPr>
                <w:rFonts w:ascii="Arial" w:hAnsi="Arial" w:cs="Arial"/>
                <w:color w:val="auto"/>
                <w:sz w:val="20"/>
              </w:rPr>
              <w:t xml:space="preserve">if </w:t>
            </w:r>
            <w:r w:rsidR="001204C6">
              <w:rPr>
                <w:rFonts w:ascii="Arial" w:hAnsi="Arial" w:cs="Arial"/>
                <w:color w:val="auto"/>
                <w:sz w:val="20"/>
              </w:rPr>
              <w:t>retest is</w:t>
            </w:r>
            <w:r w:rsidR="00F63EA5" w:rsidRPr="002823BA">
              <w:rPr>
                <w:rFonts w:ascii="Arial" w:hAnsi="Arial" w:cs="Arial"/>
                <w:color w:val="auto"/>
                <w:sz w:val="20"/>
              </w:rPr>
              <w:t xml:space="preserve"> </w:t>
            </w:r>
            <w:r w:rsidRPr="002823BA">
              <w:rPr>
                <w:rFonts w:ascii="Arial" w:hAnsi="Arial" w:cs="Arial"/>
                <w:sz w:val="20"/>
              </w:rPr>
              <w:t xml:space="preserve">taken </w:t>
            </w:r>
            <w:r w:rsidR="00F63EA5">
              <w:rPr>
                <w:rFonts w:ascii="Arial" w:hAnsi="Arial" w:cs="Arial"/>
                <w:sz w:val="20"/>
              </w:rPr>
              <w:t xml:space="preserve">during </w:t>
            </w:r>
            <w:r w:rsidR="004D61ED">
              <w:rPr>
                <w:rFonts w:ascii="Arial" w:hAnsi="Arial" w:cs="Arial"/>
                <w:sz w:val="20"/>
              </w:rPr>
              <w:t xml:space="preserve">the </w:t>
            </w:r>
            <w:r w:rsidR="00F63EA5">
              <w:rPr>
                <w:rFonts w:ascii="Arial" w:hAnsi="Arial" w:cs="Arial"/>
                <w:sz w:val="20"/>
              </w:rPr>
              <w:t xml:space="preserve">testing </w:t>
            </w:r>
            <w:r w:rsidR="004D61ED">
              <w:rPr>
                <w:rFonts w:ascii="Arial" w:hAnsi="Arial" w:cs="Arial"/>
                <w:sz w:val="20"/>
              </w:rPr>
              <w:t xml:space="preserve">window </w:t>
            </w:r>
            <w:r w:rsidR="00F63EA5">
              <w:rPr>
                <w:rFonts w:ascii="Arial" w:hAnsi="Arial" w:cs="Arial"/>
                <w:sz w:val="20"/>
              </w:rPr>
              <w:t xml:space="preserve">within the school year. Summer program administered retests </w:t>
            </w:r>
            <w:proofErr w:type="gramStart"/>
            <w:r w:rsidR="00F63EA5">
              <w:rPr>
                <w:rFonts w:ascii="Arial" w:hAnsi="Arial" w:cs="Arial"/>
                <w:sz w:val="20"/>
              </w:rPr>
              <w:t>are not included</w:t>
            </w:r>
            <w:proofErr w:type="gramEnd"/>
            <w:r w:rsidR="00F63EA5">
              <w:rPr>
                <w:rFonts w:ascii="Arial" w:hAnsi="Arial" w:cs="Arial"/>
                <w:sz w:val="20"/>
              </w:rPr>
              <w:t xml:space="preserve"> </w:t>
            </w:r>
            <w:r w:rsidR="004D61ED">
              <w:rPr>
                <w:rFonts w:ascii="Arial" w:hAnsi="Arial" w:cs="Arial"/>
                <w:sz w:val="20"/>
              </w:rPr>
              <w:t xml:space="preserve">the </w:t>
            </w:r>
            <w:r w:rsidR="00F63EA5">
              <w:rPr>
                <w:rFonts w:ascii="Arial" w:hAnsi="Arial" w:cs="Arial"/>
                <w:sz w:val="20"/>
              </w:rPr>
              <w:t xml:space="preserve">growth </w:t>
            </w:r>
            <w:r w:rsidR="001204C6">
              <w:rPr>
                <w:rFonts w:ascii="Arial" w:hAnsi="Arial" w:cs="Arial"/>
                <w:sz w:val="20"/>
              </w:rPr>
              <w:t>indicator</w:t>
            </w:r>
            <w:r w:rsidR="004D61ED">
              <w:rPr>
                <w:rFonts w:ascii="Arial" w:hAnsi="Arial" w:cs="Arial"/>
                <w:sz w:val="20"/>
              </w:rPr>
              <w:t>.</w:t>
            </w:r>
            <w:r w:rsidDel="00F63EA5">
              <w:rPr>
                <w:color w:val="auto"/>
                <w:sz w:val="20"/>
              </w:rPr>
              <w:t xml:space="preserve"> </w:t>
            </w:r>
          </w:p>
        </w:tc>
        <w:tc>
          <w:tcPr>
            <w:tcW w:w="1898" w:type="dxa"/>
            <w:tcBorders>
              <w:top w:val="nil"/>
              <w:left w:val="nil"/>
              <w:bottom w:val="single" w:sz="6" w:space="0" w:color="auto"/>
              <w:right w:val="single" w:sz="6" w:space="0" w:color="auto"/>
            </w:tcBorders>
            <w:vAlign w:val="center"/>
          </w:tcPr>
          <w:p w14:paraId="22927FCC" w14:textId="73DC30A6" w:rsidR="00F85631" w:rsidRPr="00EF6288" w:rsidRDefault="005B36B5" w:rsidP="00F85631">
            <w:pPr>
              <w:spacing w:line="240" w:lineRule="auto"/>
              <w:jc w:val="center"/>
              <w:rPr>
                <w:rFonts w:ascii="Arial" w:hAnsi="Arial" w:cs="Arial"/>
                <w:color w:val="auto"/>
                <w:sz w:val="20"/>
              </w:rPr>
            </w:pPr>
            <w:r>
              <w:rPr>
                <w:rFonts w:ascii="Arial" w:hAnsi="Arial" w:cs="Arial"/>
                <w:color w:val="auto"/>
                <w:sz w:val="20"/>
              </w:rPr>
              <w:t>Yes</w:t>
            </w:r>
          </w:p>
        </w:tc>
        <w:tc>
          <w:tcPr>
            <w:tcW w:w="2642" w:type="dxa"/>
            <w:tcBorders>
              <w:top w:val="nil"/>
              <w:left w:val="nil"/>
              <w:bottom w:val="single" w:sz="6" w:space="0" w:color="auto"/>
              <w:right w:val="single" w:sz="6" w:space="0" w:color="auto"/>
            </w:tcBorders>
            <w:vAlign w:val="center"/>
          </w:tcPr>
          <w:p w14:paraId="693D6C54" w14:textId="56A438C1" w:rsidR="00F85631" w:rsidRPr="00EF6288" w:rsidRDefault="005B36B5" w:rsidP="00F85631">
            <w:pPr>
              <w:spacing w:line="240" w:lineRule="auto"/>
              <w:jc w:val="center"/>
              <w:rPr>
                <w:rFonts w:ascii="Arial" w:hAnsi="Arial" w:cs="Arial"/>
                <w:color w:val="auto"/>
                <w:sz w:val="20"/>
              </w:rPr>
            </w:pPr>
            <w:r>
              <w:rPr>
                <w:rFonts w:ascii="Arial" w:hAnsi="Arial" w:cs="Arial"/>
                <w:color w:val="auto"/>
                <w:sz w:val="20"/>
              </w:rPr>
              <w:t>Yes</w:t>
            </w:r>
          </w:p>
        </w:tc>
      </w:tr>
      <w:tr w:rsidR="005C178C" w:rsidRPr="00EF6288" w14:paraId="35ADEC40" w14:textId="77777777" w:rsidTr="00805510">
        <w:trPr>
          <w:trHeight w:val="457"/>
        </w:trPr>
        <w:tc>
          <w:tcPr>
            <w:tcW w:w="3732" w:type="dxa"/>
            <w:tcBorders>
              <w:top w:val="nil"/>
              <w:left w:val="single" w:sz="6" w:space="0" w:color="auto"/>
              <w:bottom w:val="single" w:sz="6" w:space="0" w:color="auto"/>
              <w:right w:val="single" w:sz="6" w:space="0" w:color="auto"/>
            </w:tcBorders>
            <w:vAlign w:val="center"/>
            <w:hideMark/>
          </w:tcPr>
          <w:p w14:paraId="1ACBDFD0" w14:textId="77777777" w:rsidR="005C178C" w:rsidRPr="00EF6288" w:rsidRDefault="005C178C">
            <w:pPr>
              <w:spacing w:line="240" w:lineRule="auto"/>
              <w:rPr>
                <w:rFonts w:ascii="Arial" w:hAnsi="Arial" w:cs="Arial"/>
                <w:color w:val="auto"/>
                <w:sz w:val="20"/>
              </w:rPr>
            </w:pPr>
            <w:r w:rsidRPr="00EF6288">
              <w:rPr>
                <w:rFonts w:ascii="Arial" w:hAnsi="Arial" w:cs="Arial"/>
                <w:color w:val="auto"/>
                <w:sz w:val="20"/>
              </w:rPr>
              <w:t xml:space="preserve"> Requires a minimum number of students </w:t>
            </w:r>
          </w:p>
          <w:p w14:paraId="1A5601F6" w14:textId="6E304194" w:rsidR="005C178C" w:rsidRPr="00EF6288" w:rsidRDefault="005C178C">
            <w:pPr>
              <w:spacing w:line="240" w:lineRule="auto"/>
              <w:rPr>
                <w:rFonts w:ascii="Arial" w:hAnsi="Arial" w:cs="Arial"/>
                <w:color w:val="auto"/>
                <w:sz w:val="20"/>
              </w:rPr>
            </w:pPr>
            <w:r w:rsidRPr="00EF6288">
              <w:rPr>
                <w:rFonts w:ascii="Arial" w:hAnsi="Arial" w:cs="Arial"/>
                <w:color w:val="auto"/>
                <w:sz w:val="20"/>
              </w:rPr>
              <w:t xml:space="preserve"> (</w:t>
            </w:r>
            <w:bookmarkStart w:id="986" w:name="_Int_sdCWxgGH"/>
            <w:r w:rsidR="00905D43" w:rsidRPr="00EF6288">
              <w:rPr>
                <w:rFonts w:ascii="Arial" w:hAnsi="Arial" w:cs="Arial"/>
                <w:color w:val="auto"/>
                <w:sz w:val="20"/>
              </w:rPr>
              <w:t>m</w:t>
            </w:r>
            <w:r w:rsidRPr="00EF6288">
              <w:rPr>
                <w:rFonts w:ascii="Arial" w:hAnsi="Arial" w:cs="Arial"/>
                <w:color w:val="auto"/>
                <w:sz w:val="20"/>
              </w:rPr>
              <w:t>inimum</w:t>
            </w:r>
            <w:bookmarkEnd w:id="986"/>
            <w:r w:rsidRPr="00EF6288">
              <w:rPr>
                <w:rFonts w:ascii="Arial" w:hAnsi="Arial" w:cs="Arial"/>
                <w:color w:val="auto"/>
                <w:sz w:val="20"/>
              </w:rPr>
              <w:t>-</w:t>
            </w:r>
            <w:r w:rsidR="000B72F0" w:rsidRPr="00EF6288">
              <w:rPr>
                <w:rFonts w:ascii="Arial" w:hAnsi="Arial" w:cs="Arial"/>
                <w:color w:val="auto"/>
                <w:sz w:val="20"/>
              </w:rPr>
              <w:t>n</w:t>
            </w:r>
            <w:r w:rsidRPr="00EF6288">
              <w:rPr>
                <w:rFonts w:ascii="Arial" w:hAnsi="Arial" w:cs="Arial"/>
                <w:color w:val="auto"/>
                <w:sz w:val="20"/>
              </w:rPr>
              <w:t xml:space="preserve">) </w:t>
            </w:r>
          </w:p>
        </w:tc>
        <w:tc>
          <w:tcPr>
            <w:tcW w:w="1898" w:type="dxa"/>
            <w:tcBorders>
              <w:top w:val="nil"/>
              <w:left w:val="nil"/>
              <w:bottom w:val="single" w:sz="6" w:space="0" w:color="auto"/>
              <w:right w:val="single" w:sz="6" w:space="0" w:color="auto"/>
            </w:tcBorders>
            <w:vAlign w:val="center"/>
            <w:hideMark/>
          </w:tcPr>
          <w:p w14:paraId="7095F436" w14:textId="77777777"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10</w:t>
            </w:r>
          </w:p>
        </w:tc>
        <w:tc>
          <w:tcPr>
            <w:tcW w:w="2642" w:type="dxa"/>
            <w:tcBorders>
              <w:top w:val="nil"/>
              <w:left w:val="nil"/>
              <w:bottom w:val="single" w:sz="6" w:space="0" w:color="auto"/>
              <w:right w:val="single" w:sz="6" w:space="0" w:color="auto"/>
            </w:tcBorders>
            <w:vAlign w:val="center"/>
            <w:hideMark/>
          </w:tcPr>
          <w:p w14:paraId="43C69E26" w14:textId="77777777" w:rsidR="005C178C" w:rsidRPr="00EF6288" w:rsidRDefault="005C178C">
            <w:pPr>
              <w:spacing w:line="240" w:lineRule="auto"/>
              <w:jc w:val="center"/>
              <w:rPr>
                <w:rFonts w:ascii="Arial" w:hAnsi="Arial" w:cs="Arial"/>
                <w:color w:val="auto"/>
                <w:sz w:val="20"/>
              </w:rPr>
            </w:pPr>
            <w:r w:rsidRPr="00EF6288">
              <w:rPr>
                <w:rFonts w:ascii="Arial" w:hAnsi="Arial" w:cs="Arial"/>
                <w:color w:val="auto"/>
                <w:sz w:val="20"/>
              </w:rPr>
              <w:t>30</w:t>
            </w:r>
          </w:p>
        </w:tc>
      </w:tr>
      <w:tr w:rsidR="005C178C" w:rsidRPr="00EF6288" w14:paraId="01836F64" w14:textId="77777777" w:rsidTr="00805510">
        <w:trPr>
          <w:trHeight w:val="457"/>
        </w:trPr>
        <w:tc>
          <w:tcPr>
            <w:tcW w:w="3732" w:type="dxa"/>
            <w:tcBorders>
              <w:top w:val="nil"/>
              <w:left w:val="single" w:sz="6" w:space="0" w:color="auto"/>
              <w:bottom w:val="single" w:sz="6" w:space="0" w:color="auto"/>
              <w:right w:val="single" w:sz="6" w:space="0" w:color="auto"/>
            </w:tcBorders>
            <w:vAlign w:val="center"/>
            <w:hideMark/>
          </w:tcPr>
          <w:p w14:paraId="4F954D1E" w14:textId="77777777" w:rsidR="00301D10" w:rsidRPr="00EF6288" w:rsidRDefault="005C178C" w:rsidP="00B6782E">
            <w:pPr>
              <w:spacing w:line="240" w:lineRule="auto"/>
              <w:rPr>
                <w:rFonts w:ascii="Arial" w:hAnsi="Arial" w:cs="Arial"/>
                <w:color w:val="auto"/>
                <w:sz w:val="20"/>
              </w:rPr>
            </w:pPr>
            <w:r w:rsidRPr="00EF6288">
              <w:rPr>
                <w:rFonts w:ascii="Arial" w:hAnsi="Arial" w:cs="Arial"/>
                <w:color w:val="auto"/>
                <w:sz w:val="20"/>
              </w:rPr>
              <w:t xml:space="preserve"> Accountability subgroup designations as </w:t>
            </w:r>
            <w:r w:rsidR="00301D10" w:rsidRPr="00EF6288">
              <w:rPr>
                <w:rFonts w:ascii="Arial" w:hAnsi="Arial" w:cs="Arial"/>
                <w:color w:val="auto"/>
                <w:sz w:val="20"/>
              </w:rPr>
              <w:t xml:space="preserve"> </w:t>
            </w:r>
          </w:p>
          <w:p w14:paraId="661B504B" w14:textId="7770447A" w:rsidR="005C178C" w:rsidRPr="00EF6288" w:rsidRDefault="00301D10" w:rsidP="00B6782E">
            <w:pPr>
              <w:spacing w:line="240" w:lineRule="auto"/>
              <w:rPr>
                <w:rFonts w:ascii="Arial" w:hAnsi="Arial" w:cs="Arial"/>
                <w:color w:val="auto"/>
                <w:sz w:val="20"/>
              </w:rPr>
            </w:pPr>
            <w:r w:rsidRPr="00EF6288">
              <w:rPr>
                <w:rFonts w:ascii="Arial" w:hAnsi="Arial" w:cs="Arial"/>
                <w:color w:val="auto"/>
                <w:sz w:val="20"/>
              </w:rPr>
              <w:t xml:space="preserve"> </w:t>
            </w:r>
            <w:r w:rsidR="005C178C" w:rsidRPr="00EF6288">
              <w:rPr>
                <w:rFonts w:ascii="Arial" w:hAnsi="Arial" w:cs="Arial"/>
                <w:color w:val="auto"/>
                <w:sz w:val="20"/>
              </w:rPr>
              <w:t xml:space="preserve">noted in </w:t>
            </w:r>
            <w:r w:rsidR="00295FD5" w:rsidRPr="00EF6288">
              <w:rPr>
                <w:rFonts w:ascii="Arial" w:hAnsi="Arial" w:cs="Arial"/>
                <w:color w:val="auto"/>
                <w:sz w:val="20"/>
              </w:rPr>
              <w:t>t</w:t>
            </w:r>
            <w:r w:rsidR="005C178C" w:rsidRPr="00EF6288">
              <w:rPr>
                <w:rFonts w:ascii="Arial" w:hAnsi="Arial" w:cs="Arial"/>
                <w:color w:val="auto"/>
                <w:sz w:val="20"/>
              </w:rPr>
              <w:t>able 11</w:t>
            </w:r>
            <w:r w:rsidR="0082666F">
              <w:rPr>
                <w:rFonts w:ascii="Arial" w:hAnsi="Arial" w:cs="Arial"/>
                <w:color w:val="auto"/>
                <w:sz w:val="20"/>
              </w:rPr>
              <w:t>.2</w:t>
            </w:r>
          </w:p>
        </w:tc>
        <w:tc>
          <w:tcPr>
            <w:tcW w:w="1898" w:type="dxa"/>
            <w:tcBorders>
              <w:top w:val="nil"/>
              <w:left w:val="nil"/>
              <w:bottom w:val="single" w:sz="6" w:space="0" w:color="auto"/>
              <w:right w:val="single" w:sz="6" w:space="0" w:color="auto"/>
            </w:tcBorders>
            <w:vAlign w:val="center"/>
            <w:hideMark/>
          </w:tcPr>
          <w:p w14:paraId="40E44D4C" w14:textId="417C8B6E"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2642" w:type="dxa"/>
            <w:tcBorders>
              <w:top w:val="nil"/>
              <w:left w:val="nil"/>
              <w:bottom w:val="single" w:sz="6" w:space="0" w:color="auto"/>
              <w:right w:val="single" w:sz="6" w:space="0" w:color="auto"/>
            </w:tcBorders>
            <w:vAlign w:val="center"/>
            <w:hideMark/>
          </w:tcPr>
          <w:p w14:paraId="117646B6" w14:textId="052F4FBE"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r>
      <w:tr w:rsidR="005C178C" w:rsidRPr="00EF6288" w14:paraId="4E2A293F" w14:textId="77777777" w:rsidTr="00805510">
        <w:trPr>
          <w:trHeight w:val="457"/>
        </w:trPr>
        <w:tc>
          <w:tcPr>
            <w:tcW w:w="3732" w:type="dxa"/>
            <w:tcBorders>
              <w:top w:val="nil"/>
              <w:left w:val="single" w:sz="6" w:space="0" w:color="auto"/>
              <w:bottom w:val="single" w:sz="6" w:space="0" w:color="auto"/>
              <w:right w:val="single" w:sz="6" w:space="0" w:color="auto"/>
            </w:tcBorders>
            <w:vAlign w:val="center"/>
            <w:hideMark/>
          </w:tcPr>
          <w:p w14:paraId="187F1FDA" w14:textId="5B6AD05A" w:rsidR="005C178C" w:rsidRPr="00EF6288" w:rsidRDefault="005C178C" w:rsidP="00B6782E">
            <w:pPr>
              <w:spacing w:line="240" w:lineRule="auto"/>
              <w:rPr>
                <w:rFonts w:ascii="Arial" w:hAnsi="Arial" w:cs="Arial"/>
                <w:color w:val="auto"/>
                <w:sz w:val="20"/>
              </w:rPr>
            </w:pPr>
            <w:r w:rsidRPr="00EF6288">
              <w:rPr>
                <w:rFonts w:ascii="Arial" w:hAnsi="Arial" w:cs="Arial"/>
                <w:color w:val="auto"/>
                <w:sz w:val="20"/>
              </w:rPr>
              <w:t xml:space="preserve"> Additional subgroups of AIG and homeless as </w:t>
            </w:r>
            <w:r w:rsidR="002F5E11" w:rsidRPr="00EF6288">
              <w:rPr>
                <w:rFonts w:ascii="Arial" w:hAnsi="Arial" w:cs="Arial"/>
                <w:color w:val="auto"/>
                <w:sz w:val="20"/>
              </w:rPr>
              <w:t>noted in</w:t>
            </w:r>
            <w:r w:rsidRPr="00EF6288">
              <w:rPr>
                <w:rFonts w:ascii="Arial" w:hAnsi="Arial" w:cs="Arial"/>
                <w:color w:val="auto"/>
                <w:sz w:val="20"/>
              </w:rPr>
              <w:t xml:space="preserve"> </w:t>
            </w:r>
            <w:r w:rsidR="00295FD5" w:rsidRPr="00EF6288">
              <w:rPr>
                <w:rFonts w:ascii="Arial" w:hAnsi="Arial" w:cs="Arial"/>
                <w:color w:val="auto"/>
                <w:sz w:val="20"/>
              </w:rPr>
              <w:t>t</w:t>
            </w:r>
            <w:r w:rsidRPr="00EF6288">
              <w:rPr>
                <w:rFonts w:ascii="Arial" w:hAnsi="Arial" w:cs="Arial"/>
                <w:color w:val="auto"/>
                <w:sz w:val="20"/>
              </w:rPr>
              <w:t>able 11</w:t>
            </w:r>
            <w:r w:rsidR="0082666F">
              <w:rPr>
                <w:rFonts w:ascii="Arial" w:hAnsi="Arial" w:cs="Arial"/>
                <w:color w:val="auto"/>
                <w:sz w:val="20"/>
              </w:rPr>
              <w:t>.2</w:t>
            </w:r>
          </w:p>
        </w:tc>
        <w:tc>
          <w:tcPr>
            <w:tcW w:w="1898" w:type="dxa"/>
            <w:tcBorders>
              <w:top w:val="nil"/>
              <w:left w:val="nil"/>
              <w:bottom w:val="single" w:sz="6" w:space="0" w:color="auto"/>
              <w:right w:val="single" w:sz="6" w:space="0" w:color="auto"/>
            </w:tcBorders>
            <w:vAlign w:val="center"/>
            <w:hideMark/>
          </w:tcPr>
          <w:p w14:paraId="5FF5A228" w14:textId="5B2524E7"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2642" w:type="dxa"/>
            <w:tcBorders>
              <w:top w:val="nil"/>
              <w:left w:val="nil"/>
              <w:bottom w:val="single" w:sz="6" w:space="0" w:color="auto"/>
              <w:right w:val="single" w:sz="6" w:space="0" w:color="auto"/>
            </w:tcBorders>
            <w:vAlign w:val="center"/>
            <w:hideMark/>
          </w:tcPr>
          <w:p w14:paraId="6D5AC450" w14:textId="4460BCB0" w:rsidR="005C178C" w:rsidRPr="00EF6288" w:rsidRDefault="005C178C">
            <w:pPr>
              <w:spacing w:line="240" w:lineRule="auto"/>
              <w:jc w:val="center"/>
              <w:rPr>
                <w:rFonts w:ascii="Arial" w:hAnsi="Arial" w:cs="Arial"/>
                <w:color w:val="auto"/>
                <w:sz w:val="20"/>
              </w:rPr>
            </w:pPr>
          </w:p>
        </w:tc>
      </w:tr>
      <w:tr w:rsidR="005C178C" w:rsidRPr="00EF6288" w14:paraId="6CA0C75B" w14:textId="77777777" w:rsidTr="00805510">
        <w:trPr>
          <w:trHeight w:val="689"/>
        </w:trPr>
        <w:tc>
          <w:tcPr>
            <w:tcW w:w="3732" w:type="dxa"/>
            <w:tcBorders>
              <w:top w:val="nil"/>
              <w:left w:val="single" w:sz="6" w:space="0" w:color="auto"/>
              <w:bottom w:val="single" w:sz="6" w:space="0" w:color="auto"/>
              <w:right w:val="single" w:sz="6" w:space="0" w:color="auto"/>
            </w:tcBorders>
            <w:vAlign w:val="center"/>
            <w:hideMark/>
          </w:tcPr>
          <w:p w14:paraId="3DA3CC3C" w14:textId="2BE9CDE1" w:rsidR="005C178C" w:rsidRPr="00EF6288" w:rsidRDefault="005C178C" w:rsidP="00B8724E">
            <w:pPr>
              <w:spacing w:line="240" w:lineRule="auto"/>
              <w:rPr>
                <w:rFonts w:ascii="Arial" w:hAnsi="Arial" w:cs="Arial"/>
                <w:color w:val="auto"/>
                <w:sz w:val="20"/>
              </w:rPr>
            </w:pPr>
            <w:r w:rsidRPr="00EF6288">
              <w:rPr>
                <w:rFonts w:ascii="Arial" w:hAnsi="Arial" w:cs="Arial"/>
                <w:color w:val="auto"/>
                <w:sz w:val="20"/>
              </w:rPr>
              <w:t xml:space="preserve"> Inclusion of data for EL </w:t>
            </w:r>
            <w:r w:rsidR="008D098F" w:rsidRPr="00EF6288">
              <w:rPr>
                <w:rFonts w:ascii="Arial" w:hAnsi="Arial" w:cs="Arial"/>
                <w:color w:val="auto"/>
                <w:sz w:val="20"/>
              </w:rPr>
              <w:t>s</w:t>
            </w:r>
            <w:r w:rsidRPr="00EF6288">
              <w:rPr>
                <w:rFonts w:ascii="Arial" w:hAnsi="Arial" w:cs="Arial"/>
                <w:color w:val="auto"/>
                <w:sz w:val="20"/>
              </w:rPr>
              <w:t xml:space="preserve">tudents in their </w:t>
            </w:r>
            <w:r w:rsidR="0082666F">
              <w:rPr>
                <w:rFonts w:ascii="Arial" w:hAnsi="Arial" w:cs="Arial"/>
                <w:color w:val="auto"/>
                <w:sz w:val="20"/>
              </w:rPr>
              <w:t>s</w:t>
            </w:r>
            <w:r w:rsidRPr="00EF6288">
              <w:rPr>
                <w:rFonts w:ascii="Arial" w:hAnsi="Arial" w:cs="Arial"/>
                <w:color w:val="auto"/>
                <w:sz w:val="20"/>
              </w:rPr>
              <w:t xml:space="preserve">econd year in </w:t>
            </w:r>
            <w:r w:rsidR="008D098F" w:rsidRPr="00EF6288">
              <w:rPr>
                <w:rFonts w:ascii="Arial" w:hAnsi="Arial" w:cs="Arial"/>
                <w:color w:val="auto"/>
                <w:sz w:val="20"/>
              </w:rPr>
              <w:t>U</w:t>
            </w:r>
            <w:r w:rsidR="00D96DA7" w:rsidRPr="00EF6288">
              <w:rPr>
                <w:rFonts w:ascii="Arial" w:hAnsi="Arial" w:cs="Arial"/>
                <w:color w:val="auto"/>
                <w:sz w:val="20"/>
              </w:rPr>
              <w:t>.</w:t>
            </w:r>
            <w:r w:rsidR="008D098F" w:rsidRPr="00EF6288">
              <w:rPr>
                <w:rFonts w:ascii="Arial" w:hAnsi="Arial" w:cs="Arial"/>
                <w:color w:val="auto"/>
                <w:sz w:val="20"/>
              </w:rPr>
              <w:t>S</w:t>
            </w:r>
            <w:r w:rsidR="00D96DA7" w:rsidRPr="00EF6288">
              <w:rPr>
                <w:rFonts w:ascii="Arial" w:hAnsi="Arial" w:cs="Arial"/>
                <w:color w:val="auto"/>
                <w:sz w:val="20"/>
              </w:rPr>
              <w:t>.</w:t>
            </w:r>
            <w:r w:rsidRPr="00EF6288">
              <w:rPr>
                <w:rFonts w:ascii="Arial" w:hAnsi="Arial" w:cs="Arial"/>
                <w:color w:val="auto"/>
                <w:sz w:val="20"/>
              </w:rPr>
              <w:t xml:space="preserve"> schools (</w:t>
            </w:r>
            <w:r w:rsidR="00305A3D" w:rsidRPr="00EF6288">
              <w:rPr>
                <w:rFonts w:ascii="Arial" w:hAnsi="Arial" w:cs="Arial"/>
                <w:color w:val="auto"/>
                <w:sz w:val="20"/>
              </w:rPr>
              <w:t>g</w:t>
            </w:r>
            <w:r w:rsidRPr="00EF6288">
              <w:rPr>
                <w:rFonts w:ascii="Arial" w:hAnsi="Arial" w:cs="Arial"/>
                <w:color w:val="auto"/>
                <w:sz w:val="20"/>
              </w:rPr>
              <w:t>rowth)</w:t>
            </w:r>
            <w:r w:rsidR="008D098F" w:rsidRPr="00EF6288">
              <w:rPr>
                <w:rFonts w:ascii="Arial" w:hAnsi="Arial" w:cs="Arial"/>
                <w:color w:val="auto"/>
                <w:sz w:val="20"/>
              </w:rPr>
              <w:t>—</w:t>
            </w:r>
            <w:r w:rsidR="00301D10" w:rsidRPr="00EF6288">
              <w:rPr>
                <w:rFonts w:ascii="Arial" w:hAnsi="Arial" w:cs="Arial"/>
                <w:color w:val="auto"/>
                <w:sz w:val="20"/>
              </w:rPr>
              <w:t xml:space="preserve"> </w:t>
            </w:r>
            <w:r w:rsidRPr="00EF6288">
              <w:rPr>
                <w:rFonts w:ascii="Arial" w:hAnsi="Arial" w:cs="Arial"/>
                <w:color w:val="auto"/>
                <w:sz w:val="20"/>
              </w:rPr>
              <w:t>Growth is not calculated</w:t>
            </w:r>
            <w:r w:rsidR="00B6782E" w:rsidRPr="00EF6288">
              <w:rPr>
                <w:rFonts w:ascii="Arial" w:hAnsi="Arial" w:cs="Arial"/>
                <w:color w:val="auto"/>
                <w:sz w:val="20"/>
              </w:rPr>
              <w:t xml:space="preserve"> </w:t>
            </w:r>
            <w:r w:rsidRPr="00EF6288">
              <w:rPr>
                <w:rFonts w:ascii="Arial" w:hAnsi="Arial" w:cs="Arial"/>
                <w:color w:val="auto"/>
                <w:sz w:val="20"/>
              </w:rPr>
              <w:t>for students in their</w:t>
            </w:r>
            <w:r w:rsidR="00301D10" w:rsidRPr="00EF6288">
              <w:rPr>
                <w:rFonts w:ascii="Arial" w:hAnsi="Arial" w:cs="Arial"/>
                <w:color w:val="auto"/>
                <w:sz w:val="20"/>
              </w:rPr>
              <w:t xml:space="preserve"> </w:t>
            </w:r>
            <w:r w:rsidRPr="00EF6288">
              <w:rPr>
                <w:rFonts w:ascii="Arial" w:hAnsi="Arial" w:cs="Arial"/>
                <w:color w:val="auto"/>
                <w:sz w:val="20"/>
              </w:rPr>
              <w:t xml:space="preserve">first year in </w:t>
            </w:r>
            <w:r w:rsidR="008D098F" w:rsidRPr="00EF6288">
              <w:rPr>
                <w:rFonts w:ascii="Arial" w:hAnsi="Arial" w:cs="Arial"/>
                <w:color w:val="auto"/>
                <w:sz w:val="20"/>
              </w:rPr>
              <w:t>U</w:t>
            </w:r>
            <w:r w:rsidR="00EC3E6B" w:rsidRPr="00EF6288">
              <w:rPr>
                <w:rFonts w:ascii="Arial" w:hAnsi="Arial" w:cs="Arial"/>
                <w:color w:val="auto"/>
                <w:sz w:val="20"/>
              </w:rPr>
              <w:t>.</w:t>
            </w:r>
            <w:r w:rsidR="008D098F" w:rsidRPr="00EF6288">
              <w:rPr>
                <w:rFonts w:ascii="Arial" w:hAnsi="Arial" w:cs="Arial"/>
                <w:color w:val="auto"/>
                <w:sz w:val="20"/>
              </w:rPr>
              <w:t>S</w:t>
            </w:r>
            <w:r w:rsidR="00EC3E6B" w:rsidRPr="00EF6288">
              <w:rPr>
                <w:rFonts w:ascii="Arial" w:hAnsi="Arial" w:cs="Arial"/>
                <w:color w:val="auto"/>
                <w:sz w:val="20"/>
              </w:rPr>
              <w:t>.</w:t>
            </w:r>
            <w:r w:rsidRPr="00EF6288">
              <w:rPr>
                <w:rFonts w:ascii="Arial" w:hAnsi="Arial" w:cs="Arial"/>
                <w:color w:val="auto"/>
                <w:sz w:val="20"/>
              </w:rPr>
              <w:t xml:space="preserve"> </w:t>
            </w:r>
            <w:r w:rsidR="008D098F" w:rsidRPr="00EF6288">
              <w:rPr>
                <w:rFonts w:ascii="Arial" w:hAnsi="Arial" w:cs="Arial"/>
                <w:color w:val="auto"/>
                <w:sz w:val="20"/>
              </w:rPr>
              <w:t>s</w:t>
            </w:r>
            <w:r w:rsidRPr="00EF6288">
              <w:rPr>
                <w:rFonts w:ascii="Arial" w:hAnsi="Arial" w:cs="Arial"/>
                <w:color w:val="auto"/>
                <w:sz w:val="20"/>
              </w:rPr>
              <w:t>chools </w:t>
            </w:r>
          </w:p>
        </w:tc>
        <w:tc>
          <w:tcPr>
            <w:tcW w:w="1898" w:type="dxa"/>
            <w:tcBorders>
              <w:top w:val="nil"/>
              <w:left w:val="nil"/>
              <w:bottom w:val="single" w:sz="6" w:space="0" w:color="auto"/>
              <w:right w:val="single" w:sz="6" w:space="0" w:color="auto"/>
            </w:tcBorders>
            <w:vAlign w:val="center"/>
            <w:hideMark/>
          </w:tcPr>
          <w:p w14:paraId="4FDEDEBB" w14:textId="43EF40E1"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c>
          <w:tcPr>
            <w:tcW w:w="2642" w:type="dxa"/>
            <w:tcBorders>
              <w:top w:val="nil"/>
              <w:left w:val="nil"/>
              <w:bottom w:val="single" w:sz="6" w:space="0" w:color="auto"/>
              <w:right w:val="single" w:sz="6" w:space="0" w:color="auto"/>
            </w:tcBorders>
            <w:vAlign w:val="center"/>
            <w:hideMark/>
          </w:tcPr>
          <w:p w14:paraId="341389F8" w14:textId="6D268958" w:rsidR="005C178C" w:rsidRPr="00EF6288" w:rsidRDefault="005B36B5">
            <w:pPr>
              <w:spacing w:line="240" w:lineRule="auto"/>
              <w:jc w:val="center"/>
              <w:rPr>
                <w:rFonts w:ascii="Arial" w:hAnsi="Arial" w:cs="Arial"/>
                <w:color w:val="auto"/>
                <w:sz w:val="20"/>
              </w:rPr>
            </w:pPr>
            <w:r>
              <w:rPr>
                <w:rFonts w:ascii="Arial" w:hAnsi="Arial" w:cs="Arial"/>
                <w:color w:val="auto"/>
                <w:sz w:val="20"/>
              </w:rPr>
              <w:t>Yes</w:t>
            </w:r>
          </w:p>
        </w:tc>
      </w:tr>
    </w:tbl>
    <w:p w14:paraId="5F91A843" w14:textId="77777777" w:rsidR="004778F1" w:rsidRPr="00BF1F0E" w:rsidRDefault="004778F1">
      <w:pPr>
        <w:spacing w:line="240" w:lineRule="auto"/>
        <w:rPr>
          <w:rFonts w:ascii="Arial" w:hAnsi="Arial" w:cs="Arial"/>
          <w:color w:val="auto"/>
          <w:szCs w:val="24"/>
        </w:rPr>
      </w:pPr>
      <w:r w:rsidRPr="00BF1F0E">
        <w:rPr>
          <w:rFonts w:ascii="Arial" w:hAnsi="Arial" w:cs="Arial"/>
          <w:color w:val="auto"/>
          <w:szCs w:val="24"/>
        </w:rPr>
        <w:br w:type="page"/>
      </w:r>
    </w:p>
    <w:p w14:paraId="5DF513E5" w14:textId="335C9C55" w:rsidR="005C178C" w:rsidRPr="00EF6288" w:rsidRDefault="007B0D05" w:rsidP="00D32024">
      <w:pPr>
        <w:pStyle w:val="Heading1"/>
      </w:pPr>
      <w:bookmarkStart w:id="987" w:name="_Toc135812574"/>
      <w:bookmarkStart w:id="988" w:name="_Toc136418955"/>
      <w:bookmarkStart w:id="989" w:name="_Toc136419211"/>
      <w:bookmarkStart w:id="990" w:name="_Toc225405031"/>
      <w:r w:rsidRPr="00EF6288">
        <w:lastRenderedPageBreak/>
        <w:t>Every Student Succeeds Act A</w:t>
      </w:r>
      <w:r w:rsidR="00E36462" w:rsidRPr="00EF6288">
        <w:t>c</w:t>
      </w:r>
      <w:r w:rsidRPr="00EF6288">
        <w:t>countability Model</w:t>
      </w:r>
      <w:bookmarkEnd w:id="987"/>
      <w:bookmarkEnd w:id="988"/>
      <w:bookmarkEnd w:id="989"/>
      <w:bookmarkEnd w:id="990"/>
    </w:p>
    <w:p w14:paraId="58E8C07F" w14:textId="77777777" w:rsidR="00A745A5" w:rsidRPr="00EF6288" w:rsidRDefault="00A745A5" w:rsidP="00AC2F00">
      <w:pPr>
        <w:rPr>
          <w:rFonts w:ascii="Arial" w:hAnsi="Arial" w:cs="Arial"/>
        </w:rPr>
      </w:pPr>
      <w:bookmarkStart w:id="991" w:name="_Toc100132594"/>
      <w:bookmarkStart w:id="992" w:name="_Toc100132798"/>
      <w:bookmarkStart w:id="993" w:name="_Toc100136599"/>
      <w:bookmarkStart w:id="994" w:name="_Toc114211846"/>
    </w:p>
    <w:p w14:paraId="14E07AFB" w14:textId="018E8CFF" w:rsidR="002246E1" w:rsidRPr="00EF6288" w:rsidRDefault="004B235D" w:rsidP="001514C3">
      <w:pPr>
        <w:pStyle w:val="Heading2"/>
      </w:pPr>
      <w:bookmarkStart w:id="995" w:name="_Toc135812575"/>
      <w:bookmarkStart w:id="996" w:name="_Toc136418956"/>
      <w:bookmarkStart w:id="997" w:name="_Toc136419212"/>
      <w:bookmarkStart w:id="998" w:name="_Toc225405032"/>
      <w:r w:rsidRPr="00EF6288">
        <w:t>E</w:t>
      </w:r>
      <w:r w:rsidR="002246E1" w:rsidRPr="00EF6288">
        <w:t>SSA State Plan</w:t>
      </w:r>
      <w:bookmarkEnd w:id="991"/>
      <w:bookmarkEnd w:id="992"/>
      <w:bookmarkEnd w:id="993"/>
      <w:bookmarkEnd w:id="994"/>
      <w:bookmarkEnd w:id="995"/>
      <w:bookmarkEnd w:id="996"/>
      <w:bookmarkEnd w:id="997"/>
      <w:bookmarkEnd w:id="998"/>
      <w:r w:rsidR="002246E1" w:rsidRPr="00EF6288">
        <w:t xml:space="preserve"> </w:t>
      </w:r>
    </w:p>
    <w:p w14:paraId="61FA6BDA" w14:textId="1A465913" w:rsidR="000D0AB8" w:rsidRPr="00EF6288" w:rsidRDefault="000D0AB8" w:rsidP="000D0AB8">
      <w:pPr>
        <w:autoSpaceDE w:val="0"/>
        <w:autoSpaceDN w:val="0"/>
        <w:adjustRightInd w:val="0"/>
        <w:spacing w:line="240" w:lineRule="auto"/>
        <w:rPr>
          <w:rFonts w:ascii="Arial" w:hAnsi="Arial" w:cs="Arial"/>
          <w:szCs w:val="24"/>
        </w:rPr>
      </w:pPr>
      <w:r w:rsidRPr="00EF6288">
        <w:rPr>
          <w:rFonts w:ascii="Arial" w:hAnsi="Arial" w:cs="Arial"/>
        </w:rPr>
        <w:t xml:space="preserve">Figure </w:t>
      </w:r>
      <w:r w:rsidR="00E559D1">
        <w:rPr>
          <w:rFonts w:ascii="Arial" w:hAnsi="Arial" w:cs="Arial"/>
        </w:rPr>
        <w:t>4</w:t>
      </w:r>
      <w:r w:rsidR="005655A7" w:rsidRPr="00EF6288">
        <w:rPr>
          <w:rFonts w:ascii="Arial" w:hAnsi="Arial" w:cs="Arial"/>
        </w:rPr>
        <w:t xml:space="preserve"> </w:t>
      </w:r>
      <w:r w:rsidRPr="00EF6288">
        <w:rPr>
          <w:rFonts w:ascii="Arial" w:hAnsi="Arial" w:cs="Arial"/>
          <w:szCs w:val="24"/>
        </w:rPr>
        <w:t xml:space="preserve">summarizes the different indicators used in calculation of the School Performance Grades and Long-term Goals. The full </w:t>
      </w:r>
      <w:hyperlink r:id="rId62" w:history="1">
        <w:r w:rsidRPr="00E65F15">
          <w:rPr>
            <w:rStyle w:val="Hyperlink"/>
            <w:rFonts w:ascii="Arial" w:hAnsi="Arial" w:cs="Arial"/>
            <w:szCs w:val="24"/>
          </w:rPr>
          <w:t>North Carolina ESSA State Plan</w:t>
        </w:r>
      </w:hyperlink>
      <w:r w:rsidRPr="00EF6288">
        <w:rPr>
          <w:rFonts w:ascii="Arial" w:hAnsi="Arial" w:cs="Arial"/>
          <w:szCs w:val="24"/>
        </w:rPr>
        <w:t xml:space="preserve"> provides detailed information on these calculations. </w:t>
      </w:r>
    </w:p>
    <w:p w14:paraId="02DA9D6B" w14:textId="6D756072" w:rsidR="002246E1" w:rsidRPr="00EF6288" w:rsidRDefault="00030610" w:rsidP="002246E1">
      <w:pPr>
        <w:autoSpaceDE w:val="0"/>
        <w:autoSpaceDN w:val="0"/>
        <w:adjustRightInd w:val="0"/>
        <w:spacing w:line="240" w:lineRule="auto"/>
        <w:rPr>
          <w:rFonts w:ascii="Arial" w:hAnsi="Arial" w:cs="Arial"/>
          <w:szCs w:val="24"/>
        </w:rPr>
      </w:pPr>
      <w:r w:rsidRPr="00EF6288">
        <w:rPr>
          <w:rFonts w:ascii="Arial" w:hAnsi="Arial" w:cs="Arial"/>
          <w:noProof/>
        </w:rPr>
        <mc:AlternateContent>
          <mc:Choice Requires="wps">
            <w:drawing>
              <wp:anchor distT="45720" distB="45720" distL="114300" distR="114300" simplePos="0" relativeHeight="251658240" behindDoc="0" locked="0" layoutInCell="1" allowOverlap="1" wp14:anchorId="1E46A568" wp14:editId="7044C3B0">
                <wp:simplePos x="0" y="0"/>
                <wp:positionH relativeFrom="column">
                  <wp:posOffset>3694176</wp:posOffset>
                </wp:positionH>
                <wp:positionV relativeFrom="paragraph">
                  <wp:posOffset>3313074</wp:posOffset>
                </wp:positionV>
                <wp:extent cx="2305050" cy="577901"/>
                <wp:effectExtent l="0" t="0" r="0" b="0"/>
                <wp:wrapNone/>
                <wp:docPr id="217" name="Text Box 217" descr="P4302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577901"/>
                        </a:xfrm>
                        <a:prstGeom prst="rect">
                          <a:avLst/>
                        </a:prstGeom>
                        <a:solidFill>
                          <a:srgbClr val="FFFFFF"/>
                        </a:solidFill>
                        <a:ln w="9525">
                          <a:noFill/>
                          <a:miter lim="800000"/>
                          <a:headEnd/>
                          <a:tailEnd/>
                        </a:ln>
                      </wps:spPr>
                      <wps:txbx>
                        <w:txbxContent>
                          <w:p w14:paraId="6CDC3268" w14:textId="122273B8" w:rsidR="00DA726F" w:rsidRPr="00672E1E" w:rsidRDefault="00DA726F" w:rsidP="00DA726F">
                            <w:pPr>
                              <w:jc w:val="center"/>
                              <w:rPr>
                                <w:b/>
                                <w:bCs/>
                                <w:sz w:val="18"/>
                                <w:szCs w:val="14"/>
                              </w:rPr>
                            </w:pPr>
                            <w:r w:rsidRPr="00672E1E">
                              <w:rPr>
                                <w:b/>
                                <w:bCs/>
                                <w:sz w:val="18"/>
                                <w:szCs w:val="14"/>
                              </w:rPr>
                              <w:t>Within 12 Years an Increase in Student Achievement for All Students and Each Subgroup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6A568" id="Text Box 217" o:spid="_x0000_s1060" type="#_x0000_t202" alt="P4302TB2#y1" style="position:absolute;margin-left:290.9pt;margin-top:260.85pt;width:181.5pt;height:4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" stroked="f">
                <v:textbox>
                  <w:txbxContent>
                    <w:p w14:paraId="6CDC3268" w14:textId="122273B8" w:rsidR="00DA726F" w:rsidRPr="00672E1E" w:rsidRDefault="00DA726F" w:rsidP="00DA726F">
                      <w:pPr>
                        <w:jc w:val="center"/>
                        <w:rPr>
                          <w:b/>
                          <w:bCs/>
                          <w:sz w:val="18"/>
                          <w:szCs w:val="14"/>
                        </w:rPr>
                      </w:pPr>
                      <w:r w:rsidRPr="00672E1E">
                        <w:rPr>
                          <w:b/>
                          <w:bCs/>
                          <w:sz w:val="18"/>
                          <w:szCs w:val="14"/>
                        </w:rPr>
                        <w:t>Within 12 Years an Increase in Student Achievement for All Students and Each Subgroup</w:t>
                      </w:r>
                    </w:p>
                  </w:txbxContent>
                </v:textbox>
              </v:shape>
            </w:pict>
          </mc:Fallback>
        </mc:AlternateContent>
      </w:r>
      <w:r w:rsidRPr="00EF6288">
        <w:rPr>
          <w:rFonts w:ascii="Arial" w:hAnsi="Arial" w:cs="Arial"/>
          <w:noProof/>
        </w:rPr>
        <mc:AlternateContent>
          <mc:Choice Requires="wps">
            <w:drawing>
              <wp:anchor distT="45720" distB="45720" distL="114300" distR="114300" simplePos="0" relativeHeight="251658241" behindDoc="0" locked="0" layoutInCell="1" allowOverlap="1" wp14:anchorId="2B179870" wp14:editId="191436FE">
                <wp:simplePos x="0" y="0"/>
                <wp:positionH relativeFrom="column">
                  <wp:posOffset>284785</wp:posOffset>
                </wp:positionH>
                <wp:positionV relativeFrom="paragraph">
                  <wp:posOffset>3790950</wp:posOffset>
                </wp:positionV>
                <wp:extent cx="3200400" cy="523875"/>
                <wp:effectExtent l="0" t="0" r="0" b="9525"/>
                <wp:wrapNone/>
                <wp:docPr id="211" name="Text Box 211" descr="P4302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23875"/>
                        </a:xfrm>
                        <a:prstGeom prst="rect">
                          <a:avLst/>
                        </a:prstGeom>
                        <a:solidFill>
                          <a:srgbClr val="FFFFFF"/>
                        </a:solidFill>
                        <a:ln w="9525">
                          <a:noFill/>
                          <a:miter lim="800000"/>
                          <a:headEnd/>
                          <a:tailEnd/>
                        </a:ln>
                      </wps:spPr>
                      <wps:txbx>
                        <w:txbxContent>
                          <w:p w14:paraId="7860C3AE" w14:textId="6DC81249" w:rsidR="00A6583E" w:rsidRPr="00A6583E" w:rsidRDefault="00A6583E" w:rsidP="00A6583E">
                            <w:pPr>
                              <w:jc w:val="center"/>
                              <w:rPr>
                                <w:b/>
                                <w:bCs/>
                                <w:sz w:val="18"/>
                                <w:szCs w:val="14"/>
                              </w:rPr>
                            </w:pPr>
                            <w:r>
                              <w:rPr>
                                <w:b/>
                                <w:bCs/>
                                <w:sz w:val="18"/>
                                <w:szCs w:val="14"/>
                              </w:rPr>
                              <w:t>Identify Comprehensive Support and Improvement (CSI)/Targeted Support and Improvement (TSI) Schools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79870" id="Text Box 211" o:spid="_x0000_s1061" type="#_x0000_t202" alt="P4302TB3#y1" style="position:absolute;margin-left:22.4pt;margin-top:298.5pt;width:252pt;height:41.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" stroked="f">
                <v:textbox>
                  <w:txbxContent>
                    <w:p w14:paraId="7860C3AE" w14:textId="6DC81249" w:rsidR="00A6583E" w:rsidRPr="00A6583E" w:rsidRDefault="00A6583E" w:rsidP="00A6583E">
                      <w:pPr>
                        <w:jc w:val="center"/>
                        <w:rPr>
                          <w:b/>
                          <w:bCs/>
                          <w:sz w:val="18"/>
                          <w:szCs w:val="14"/>
                        </w:rPr>
                      </w:pPr>
                      <w:r>
                        <w:rPr>
                          <w:b/>
                          <w:bCs/>
                          <w:sz w:val="18"/>
                          <w:szCs w:val="14"/>
                        </w:rPr>
                        <w:t>Identify Comprehensive Support and Improvement (CSI)/Targeted Support and Improvement (TSI) Schools</w:t>
                      </w:r>
                    </w:p>
                  </w:txbxContent>
                </v:textbox>
              </v:shape>
            </w:pict>
          </mc:Fallback>
        </mc:AlternateContent>
      </w:r>
      <w:r w:rsidRPr="00EF6288">
        <w:rPr>
          <w:rFonts w:ascii="Arial" w:hAnsi="Arial" w:cs="Arial"/>
          <w:noProof/>
        </w:rPr>
        <mc:AlternateContent>
          <mc:Choice Requires="wps">
            <w:drawing>
              <wp:anchor distT="45720" distB="45720" distL="114300" distR="114300" simplePos="0" relativeHeight="251658242" behindDoc="0" locked="0" layoutInCell="1" allowOverlap="1" wp14:anchorId="4662899D" wp14:editId="66EAA1C2">
                <wp:simplePos x="0" y="0"/>
                <wp:positionH relativeFrom="margin">
                  <wp:posOffset>3696640</wp:posOffset>
                </wp:positionH>
                <wp:positionV relativeFrom="paragraph">
                  <wp:posOffset>4046855</wp:posOffset>
                </wp:positionV>
                <wp:extent cx="2305050" cy="276225"/>
                <wp:effectExtent l="0" t="0" r="0" b="9525"/>
                <wp:wrapNone/>
                <wp:docPr id="212" name="Text Box 212" descr="P4302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76225"/>
                        </a:xfrm>
                        <a:prstGeom prst="rect">
                          <a:avLst/>
                        </a:prstGeom>
                        <a:solidFill>
                          <a:srgbClr val="FFFFFF"/>
                        </a:solidFill>
                        <a:ln w="9525">
                          <a:noFill/>
                          <a:miter lim="800000"/>
                          <a:headEnd/>
                          <a:tailEnd/>
                        </a:ln>
                      </wps:spPr>
                      <wps:txbx>
                        <w:txbxContent>
                          <w:p w14:paraId="2E645E5B" w14:textId="6C250B57" w:rsidR="000A1BA3" w:rsidRPr="00672E1E" w:rsidRDefault="000A1BA3" w:rsidP="000A1BA3">
                            <w:pPr>
                              <w:jc w:val="center"/>
                              <w:rPr>
                                <w:b/>
                                <w:bCs/>
                                <w:sz w:val="18"/>
                                <w:szCs w:val="14"/>
                              </w:rPr>
                            </w:pPr>
                            <w:r>
                              <w:rPr>
                                <w:b/>
                                <w:bCs/>
                                <w:sz w:val="18"/>
                                <w:szCs w:val="14"/>
                              </w:rPr>
                              <w:t>Reduces the Achievement Gap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2899D" id="Text Box 212" o:spid="_x0000_s1062" type="#_x0000_t202" alt="P4302TB4#y1" style="position:absolute;margin-left:291.05pt;margin-top:318.65pt;width:181.5pt;height:21.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" stroked="f">
                <v:textbox>
                  <w:txbxContent>
                    <w:p w14:paraId="2E645E5B" w14:textId="6C250B57" w:rsidR="000A1BA3" w:rsidRPr="00672E1E" w:rsidRDefault="000A1BA3" w:rsidP="000A1BA3">
                      <w:pPr>
                        <w:jc w:val="center"/>
                        <w:rPr>
                          <w:b/>
                          <w:bCs/>
                          <w:sz w:val="18"/>
                          <w:szCs w:val="14"/>
                        </w:rPr>
                      </w:pPr>
                      <w:r>
                        <w:rPr>
                          <w:b/>
                          <w:bCs/>
                          <w:sz w:val="18"/>
                          <w:szCs w:val="14"/>
                        </w:rPr>
                        <w:t>Reduces the Achievement Gap</w:t>
                      </w:r>
                    </w:p>
                  </w:txbxContent>
                </v:textbox>
                <w10:wrap anchorx="margin"/>
              </v:shape>
            </w:pict>
          </mc:Fallback>
        </mc:AlternateContent>
      </w:r>
      <w:r w:rsidR="009D0A6D" w:rsidRPr="00BF1F0E">
        <w:rPr>
          <w:rFonts w:ascii="Arial" w:hAnsi="Arial" w:cs="Arial"/>
          <w:noProof/>
        </w:rPr>
        <w:drawing>
          <wp:inline distT="0" distB="0" distL="0" distR="0" wp14:anchorId="480A4B28" wp14:editId="411B82E0">
            <wp:extent cx="6271034" cy="4391025"/>
            <wp:effectExtent l="0" t="0" r="0" b="0"/>
            <wp:docPr id="4" name="Picture 4" descr="Graphic titled “ESSA Plan” comparing the ESSA Accountability Model and Long-Term Goals. The accountability model lists school performance measures for elementary/middle schools and high schools, including reading, math, science, English learner progress, growth, graduation, end-of-course test scores, ACT/WorkKeys, math course rigor, and participation. These measures are used to identify Comprehensive Support and Improvement (CSI) and Targeted Support and Improvement (TSI) schools. The long-term goals focus on reading and math achievement in grades 3-8 and high school, graduation, English learner progress, and participation, with the objective of increasing student achievement for all students and subgroups within 10 years and reducing achievement ga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 titled “ESSA Plan” comparing the ESSA Accountability Model and Long-Term Goals. The accountability model lists school performance measures for elementary/middle schools and high schools, including reading, math, science, English learner progress, growth, graduation, end-of-course test scores, ACT/WorkKeys, math course rigor, and participation. These measures are used to identify Comprehensive Support and Improvement (CSI) and Targeted Support and Improvement (TSI) schools. The long-term goals focus on reading and math achievement in grades 3-8 and high school, graduation, English learner progress, and participation, with the objective of increasing student achievement for all students and subgroups within 10 years and reducing achievement gaps.">
                      <a:extLst>
                        <a:ext uri="{C183D7F6-B498-43B3-948B-1728B52AA6E4}">
                          <adec:decorative xmlns:adec="http://schemas.microsoft.com/office/drawing/2017/decorative" val="0"/>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80579" cy="4397708"/>
                    </a:xfrm>
                    <a:prstGeom prst="rect">
                      <a:avLst/>
                    </a:prstGeom>
                    <a:noFill/>
                    <a:ln>
                      <a:noFill/>
                    </a:ln>
                  </pic:spPr>
                </pic:pic>
              </a:graphicData>
            </a:graphic>
          </wp:inline>
        </w:drawing>
      </w:r>
    </w:p>
    <w:p w14:paraId="544C26B8" w14:textId="3585C2CD" w:rsidR="008C0563" w:rsidRPr="00B53244" w:rsidRDefault="002246E1" w:rsidP="006F4C43">
      <w:pPr>
        <w:spacing w:after="200" w:line="240" w:lineRule="auto"/>
      </w:pPr>
      <w:r w:rsidRPr="00EF6288">
        <w:rPr>
          <w:rFonts w:ascii="Arial" w:hAnsi="Arial" w:cs="Arial"/>
          <w:color w:val="000000" w:themeColor="text1"/>
          <w:sz w:val="20"/>
        </w:rPr>
        <w:t xml:space="preserve">FIGURE </w:t>
      </w:r>
      <w:r w:rsidR="00E559D1">
        <w:rPr>
          <w:rFonts w:ascii="Arial" w:hAnsi="Arial" w:cs="Arial"/>
          <w:color w:val="000000" w:themeColor="text1"/>
          <w:sz w:val="20"/>
        </w:rPr>
        <w:t>4</w:t>
      </w:r>
      <w:r w:rsidRPr="00EF6288">
        <w:rPr>
          <w:rFonts w:ascii="Arial" w:hAnsi="Arial" w:cs="Arial"/>
          <w:color w:val="000000" w:themeColor="text1"/>
          <w:sz w:val="20"/>
        </w:rPr>
        <w:t>.</w:t>
      </w:r>
      <w:bookmarkStart w:id="999" w:name="_Toc99697270"/>
      <w:bookmarkStart w:id="1000" w:name="_Toc100152140"/>
      <w:bookmarkStart w:id="1001" w:name="_Toc100217762"/>
      <w:bookmarkStart w:id="1002" w:name="_Toc100217806"/>
      <w:bookmarkStart w:id="1003" w:name="_Toc112333636"/>
      <w:r w:rsidR="000D0AB8" w:rsidRPr="00EF6288">
        <w:rPr>
          <w:rFonts w:ascii="Arial" w:hAnsi="Arial" w:cs="Arial"/>
          <w:color w:val="000000" w:themeColor="text1"/>
          <w:sz w:val="20"/>
        </w:rPr>
        <w:t xml:space="preserve"> </w:t>
      </w:r>
      <w:bookmarkStart w:id="1004" w:name="_Toc146809545"/>
      <w:bookmarkStart w:id="1005" w:name="_Toc146809813"/>
      <w:r w:rsidRPr="00EF6288">
        <w:rPr>
          <w:rFonts w:ascii="Arial" w:hAnsi="Arial" w:cs="Arial"/>
          <w:color w:val="000000" w:themeColor="text1"/>
          <w:sz w:val="20"/>
        </w:rPr>
        <w:t xml:space="preserve">The ESSA </w:t>
      </w:r>
      <w:r w:rsidR="006C72A1" w:rsidRPr="00EF6288">
        <w:rPr>
          <w:rFonts w:ascii="Arial" w:hAnsi="Arial" w:cs="Arial"/>
          <w:iCs/>
          <w:color w:val="000000" w:themeColor="text1"/>
          <w:sz w:val="20"/>
        </w:rPr>
        <w:t>S</w:t>
      </w:r>
      <w:r w:rsidRPr="00EF6288">
        <w:rPr>
          <w:rFonts w:ascii="Arial" w:hAnsi="Arial" w:cs="Arial"/>
          <w:iCs/>
          <w:color w:val="000000" w:themeColor="text1"/>
          <w:sz w:val="20"/>
        </w:rPr>
        <w:t xml:space="preserve">tate </w:t>
      </w:r>
      <w:r w:rsidR="006C72A1" w:rsidRPr="00EF6288">
        <w:rPr>
          <w:rFonts w:ascii="Arial" w:hAnsi="Arial" w:cs="Arial"/>
          <w:iCs/>
          <w:color w:val="000000" w:themeColor="text1"/>
          <w:sz w:val="20"/>
        </w:rPr>
        <w:t>P</w:t>
      </w:r>
      <w:r w:rsidRPr="00EF6288">
        <w:rPr>
          <w:rFonts w:ascii="Arial" w:hAnsi="Arial" w:cs="Arial"/>
          <w:iCs/>
          <w:color w:val="000000" w:themeColor="text1"/>
          <w:sz w:val="20"/>
        </w:rPr>
        <w:t>lan</w:t>
      </w:r>
      <w:r w:rsidRPr="00EF6288">
        <w:rPr>
          <w:rFonts w:ascii="Arial" w:hAnsi="Arial" w:cs="Arial"/>
          <w:color w:val="000000" w:themeColor="text1"/>
          <w:sz w:val="20"/>
        </w:rPr>
        <w:t xml:space="preserve"> accountability </w:t>
      </w:r>
      <w:r w:rsidR="000D0AB8" w:rsidRPr="00EF6288">
        <w:rPr>
          <w:rFonts w:ascii="Arial" w:hAnsi="Arial" w:cs="Arial"/>
          <w:iCs/>
          <w:color w:val="000000" w:themeColor="text1"/>
          <w:sz w:val="20"/>
        </w:rPr>
        <w:t>model</w:t>
      </w:r>
      <w:r w:rsidRPr="00EF6288">
        <w:rPr>
          <w:rFonts w:ascii="Arial" w:hAnsi="Arial" w:cs="Arial"/>
          <w:color w:val="000000" w:themeColor="text1"/>
          <w:sz w:val="20"/>
        </w:rPr>
        <w:t>.</w:t>
      </w:r>
      <w:bookmarkStart w:id="1006" w:name="_Toc145658667"/>
      <w:bookmarkEnd w:id="999"/>
      <w:bookmarkEnd w:id="1000"/>
      <w:bookmarkEnd w:id="1001"/>
      <w:bookmarkEnd w:id="1002"/>
      <w:bookmarkEnd w:id="1003"/>
      <w:bookmarkEnd w:id="1004"/>
      <w:bookmarkEnd w:id="1005"/>
      <w:bookmarkEnd w:id="1006"/>
    </w:p>
    <w:sectPr w:rsidR="008C0563" w:rsidRPr="00B53244" w:rsidSect="00987E28">
      <w:headerReference w:type="even" r:id="rId64"/>
      <w:headerReference w:type="default" r:id="rId65"/>
      <w:headerReference w:type="first" r:id="rId66"/>
      <w:footerReference w:type="first" r:id="rId67"/>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91281" w14:textId="77777777" w:rsidR="00732CDB" w:rsidRDefault="00732CDB">
      <w:pPr>
        <w:spacing w:line="240" w:lineRule="auto"/>
      </w:pPr>
      <w:r>
        <w:separator/>
      </w:r>
    </w:p>
  </w:endnote>
  <w:endnote w:type="continuationSeparator" w:id="0">
    <w:p w14:paraId="67FD3336" w14:textId="77777777" w:rsidR="00732CDB" w:rsidRDefault="00732CDB">
      <w:pPr>
        <w:spacing w:line="240" w:lineRule="auto"/>
      </w:pPr>
      <w:r>
        <w:continuationSeparator/>
      </w:r>
    </w:p>
  </w:endnote>
  <w:endnote w:type="continuationNotice" w:id="1">
    <w:p w14:paraId="30586224" w14:textId="77777777" w:rsidR="00732CDB" w:rsidRDefault="00732C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ZWAdobeF">
    <w:panose1 w:val="00000000000000000000"/>
    <w:charset w:val="00"/>
    <w:family w:val="auto"/>
    <w:pitch w:val="variable"/>
    <w:sig w:usb0="20002A87" w:usb1="00000000" w:usb2="00000000"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5179" w14:textId="67BAA632" w:rsidR="00CC06FF" w:rsidRPr="00EF6288" w:rsidRDefault="00840E3A" w:rsidP="00987F04">
    <w:pPr>
      <w:pStyle w:val="Footer"/>
      <w:tabs>
        <w:tab w:val="clear" w:pos="4320"/>
        <w:tab w:val="clear" w:pos="8640"/>
        <w:tab w:val="center" w:pos="9720"/>
      </w:tabs>
      <w:rPr>
        <w:rFonts w:ascii="Arial" w:hAnsi="Arial" w:cs="Arial"/>
        <w:sz w:val="20"/>
      </w:rPr>
    </w:pPr>
    <w:r w:rsidRPr="00EF6288">
      <w:rPr>
        <w:rFonts w:ascii="Arial" w:hAnsi="Arial" w:cs="Arial"/>
        <w:sz w:val="20"/>
      </w:rPr>
      <w:t xml:space="preserve">North Carolina Department of Public Instruction </w:t>
    </w:r>
    <w:r w:rsidRPr="00EF6288">
      <w:rPr>
        <w:rFonts w:ascii="Arial" w:hAnsi="Arial" w:cs="Arial"/>
        <w:sz w:val="20"/>
      </w:rPr>
      <w:tab/>
    </w:r>
    <w:r w:rsidR="00CC06FF" w:rsidRPr="00EF6288">
      <w:rPr>
        <w:rFonts w:ascii="Arial" w:hAnsi="Arial" w:cs="Arial"/>
        <w:sz w:val="20"/>
      </w:rPr>
      <w:t xml:space="preserve"> </w:t>
    </w:r>
    <w:r w:rsidR="00FD03AD">
      <w:rPr>
        <w:rFonts w:ascii="Arial" w:hAnsi="Arial" w:cs="Arial"/>
        <w:sz w:val="20"/>
      </w:rPr>
      <w:t xml:space="preserve">September </w:t>
    </w:r>
    <w:r w:rsidR="00761D2E" w:rsidRPr="00EF6288">
      <w:rPr>
        <w:rFonts w:ascii="Arial" w:hAnsi="Arial" w:cs="Arial"/>
        <w:sz w:val="20"/>
      </w:rPr>
      <w:t>202</w:t>
    </w:r>
    <w:r w:rsidR="002D0361">
      <w:rPr>
        <w:rFonts w:ascii="Arial" w:hAnsi="Arial" w:cs="Arial"/>
        <w:sz w:val="20"/>
      </w:rPr>
      <w:t>6</w:t>
    </w:r>
    <w:r w:rsidR="00CC06FF" w:rsidRPr="00EF6288">
      <w:rPr>
        <w:rFonts w:ascii="Arial" w:hAnsi="Arial" w:cs="Arial"/>
        <w:sz w:val="20"/>
      </w:rPr>
      <w:t xml:space="preserve">     </w:t>
    </w:r>
  </w:p>
  <w:p w14:paraId="294FF4E8" w14:textId="42ADB9AF" w:rsidR="00840E3A" w:rsidRPr="00EF6288" w:rsidRDefault="00CC06FF" w:rsidP="00987F04">
    <w:pPr>
      <w:pStyle w:val="Footer"/>
      <w:tabs>
        <w:tab w:val="clear" w:pos="4320"/>
        <w:tab w:val="clear" w:pos="8640"/>
        <w:tab w:val="center" w:pos="9720"/>
      </w:tabs>
      <w:rPr>
        <w:rFonts w:ascii="Arial" w:hAnsi="Arial" w:cs="Arial"/>
      </w:rPr>
    </w:pPr>
    <w:r w:rsidRPr="00EF6288">
      <w:rPr>
        <w:rFonts w:ascii="Arial" w:hAnsi="Arial" w:cs="Arial"/>
        <w:sz w:val="20"/>
      </w:rPr>
      <w:t>O</w:t>
    </w:r>
    <w:r w:rsidR="00840E3A" w:rsidRPr="00EF6288">
      <w:rPr>
        <w:rFonts w:ascii="Arial" w:hAnsi="Arial" w:cs="Arial"/>
        <w:sz w:val="20"/>
      </w:rPr>
      <w:t>ffice of Accountability</w:t>
    </w:r>
    <w:r w:rsidR="00376F16">
      <w:rPr>
        <w:rFonts w:ascii="Arial" w:hAnsi="Arial" w:cs="Arial"/>
        <w:sz w:val="20"/>
      </w:rPr>
      <w:t xml:space="preserve"> and Testing</w:t>
    </w:r>
    <w:r w:rsidR="00FD4240" w:rsidRPr="00EF6288">
      <w:rPr>
        <w:rFonts w:ascii="Arial" w:hAnsi="Arial" w:cs="Arial"/>
        <w:sz w:val="20"/>
      </w:rPr>
      <w:t xml:space="preserve">   </w:t>
    </w:r>
    <w:r w:rsidR="00987F04" w:rsidRPr="00EF6288">
      <w:rPr>
        <w:rFonts w:ascii="Arial" w:hAnsi="Arial" w:cs="Arial"/>
        <w:sz w:val="20"/>
      </w:rPr>
      <w:tab/>
    </w:r>
    <w:r w:rsidR="00840E3A" w:rsidRPr="00EF6288">
      <w:rPr>
        <w:rFonts w:ascii="Arial" w:hAnsi="Arial" w:cs="Arial"/>
        <w:sz w:val="20"/>
      </w:rPr>
      <w:t>Analysis and Reporting</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79341C24" w14:textId="77777777" w:rsidTr="00C76F7A">
      <w:trPr>
        <w:trHeight w:val="300"/>
      </w:trPr>
      <w:tc>
        <w:tcPr>
          <w:tcW w:w="3120" w:type="dxa"/>
        </w:tcPr>
        <w:p w14:paraId="1079D478" w14:textId="45638B58" w:rsidR="737BAAB1" w:rsidRDefault="737BAAB1" w:rsidP="00C76F7A">
          <w:pPr>
            <w:pStyle w:val="Header"/>
            <w:ind w:left="-115"/>
          </w:pPr>
        </w:p>
      </w:tc>
      <w:tc>
        <w:tcPr>
          <w:tcW w:w="3120" w:type="dxa"/>
        </w:tcPr>
        <w:p w14:paraId="57A90A11" w14:textId="39F4BEE8" w:rsidR="737BAAB1" w:rsidRDefault="737BAAB1" w:rsidP="00C76F7A">
          <w:pPr>
            <w:pStyle w:val="Header"/>
            <w:jc w:val="center"/>
          </w:pPr>
        </w:p>
      </w:tc>
      <w:tc>
        <w:tcPr>
          <w:tcW w:w="3120" w:type="dxa"/>
        </w:tcPr>
        <w:p w14:paraId="3F2E7E77" w14:textId="66A476C9" w:rsidR="737BAAB1" w:rsidRDefault="737BAAB1" w:rsidP="00C76F7A">
          <w:pPr>
            <w:pStyle w:val="Header"/>
            <w:ind w:right="-115"/>
            <w:jc w:val="right"/>
          </w:pPr>
        </w:p>
      </w:tc>
    </w:tr>
  </w:tbl>
  <w:p w14:paraId="1E80B433" w14:textId="2F4F9291" w:rsidR="0028367B" w:rsidRDefault="0028367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414EABEF" w14:textId="77777777" w:rsidTr="00C76F7A">
      <w:trPr>
        <w:trHeight w:val="300"/>
      </w:trPr>
      <w:tc>
        <w:tcPr>
          <w:tcW w:w="3120" w:type="dxa"/>
        </w:tcPr>
        <w:p w14:paraId="031DEFB8" w14:textId="237FEEC3" w:rsidR="737BAAB1" w:rsidRDefault="737BAAB1" w:rsidP="00C76F7A">
          <w:pPr>
            <w:pStyle w:val="Header"/>
            <w:ind w:left="-115"/>
          </w:pPr>
        </w:p>
      </w:tc>
      <w:tc>
        <w:tcPr>
          <w:tcW w:w="3120" w:type="dxa"/>
        </w:tcPr>
        <w:p w14:paraId="16DBE567" w14:textId="6B9730F7" w:rsidR="737BAAB1" w:rsidRDefault="737BAAB1" w:rsidP="00C76F7A">
          <w:pPr>
            <w:pStyle w:val="Header"/>
            <w:jc w:val="center"/>
          </w:pPr>
        </w:p>
      </w:tc>
      <w:tc>
        <w:tcPr>
          <w:tcW w:w="3120" w:type="dxa"/>
        </w:tcPr>
        <w:p w14:paraId="66DCEC60" w14:textId="447E0D40" w:rsidR="737BAAB1" w:rsidRDefault="737BAAB1" w:rsidP="00C76F7A">
          <w:pPr>
            <w:pStyle w:val="Header"/>
            <w:ind w:right="-115"/>
            <w:jc w:val="right"/>
          </w:pPr>
        </w:p>
      </w:tc>
    </w:tr>
  </w:tbl>
  <w:p w14:paraId="39046092" w14:textId="2D253C44" w:rsidR="0028367B" w:rsidRDefault="002836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3B37" w14:textId="57F8A551" w:rsidR="00C86C3D" w:rsidRPr="00EF6288" w:rsidRDefault="00C86C3D" w:rsidP="00840E3A">
    <w:pPr>
      <w:pStyle w:val="Footer"/>
      <w:tabs>
        <w:tab w:val="clear" w:pos="4320"/>
        <w:tab w:val="clear" w:pos="8640"/>
        <w:tab w:val="center" w:pos="9720"/>
      </w:tabs>
      <w:rPr>
        <w:rFonts w:ascii="Arial" w:hAnsi="Arial" w:cs="Arial"/>
        <w:sz w:val="20"/>
      </w:rPr>
    </w:pPr>
    <w:r w:rsidRPr="00EF6288">
      <w:rPr>
        <w:rFonts w:ascii="Arial" w:hAnsi="Arial" w:cs="Arial"/>
        <w:sz w:val="20"/>
      </w:rPr>
      <w:t xml:space="preserve">North Carolina Department of Public Instruction </w:t>
    </w:r>
    <w:r w:rsidRPr="00EF6288">
      <w:rPr>
        <w:rFonts w:ascii="Arial" w:hAnsi="Arial" w:cs="Arial"/>
        <w:sz w:val="20"/>
      </w:rPr>
      <w:tab/>
    </w:r>
    <w:r>
      <w:rPr>
        <w:rFonts w:ascii="Arial" w:hAnsi="Arial" w:cs="Arial"/>
        <w:sz w:val="20"/>
      </w:rPr>
      <w:t xml:space="preserve"> </w:t>
    </w:r>
    <w:r w:rsidR="00471C96">
      <w:rPr>
        <w:rFonts w:ascii="Arial" w:hAnsi="Arial" w:cs="Arial"/>
        <w:sz w:val="20"/>
      </w:rPr>
      <w:t xml:space="preserve">   September</w:t>
    </w:r>
    <w:r w:rsidR="006D0981" w:rsidRPr="00EF6288">
      <w:rPr>
        <w:rFonts w:ascii="Arial" w:hAnsi="Arial" w:cs="Arial"/>
        <w:sz w:val="20"/>
      </w:rPr>
      <w:t xml:space="preserve"> </w:t>
    </w:r>
    <w:r w:rsidRPr="00EF6288">
      <w:rPr>
        <w:rFonts w:ascii="Arial" w:hAnsi="Arial" w:cs="Arial"/>
        <w:sz w:val="20"/>
      </w:rPr>
      <w:t>202</w:t>
    </w:r>
    <w:r>
      <w:rPr>
        <w:rFonts w:ascii="Arial" w:hAnsi="Arial" w:cs="Arial"/>
        <w:sz w:val="20"/>
      </w:rPr>
      <w:t>6</w:t>
    </w:r>
  </w:p>
  <w:p w14:paraId="62697BF4" w14:textId="37125B55" w:rsidR="00C86C3D" w:rsidRPr="00EF6288" w:rsidRDefault="00C86C3D" w:rsidP="00EB50D9">
    <w:pPr>
      <w:pStyle w:val="Footer"/>
      <w:tabs>
        <w:tab w:val="clear" w:pos="4320"/>
        <w:tab w:val="clear" w:pos="8640"/>
        <w:tab w:val="center" w:pos="9090"/>
      </w:tabs>
      <w:rPr>
        <w:rFonts w:ascii="Arial" w:hAnsi="Arial" w:cs="Arial"/>
      </w:rPr>
    </w:pPr>
    <w:r w:rsidRPr="00EF6288">
      <w:rPr>
        <w:rFonts w:ascii="Arial" w:hAnsi="Arial" w:cs="Arial"/>
        <w:sz w:val="20"/>
      </w:rPr>
      <w:t xml:space="preserve">Office of Accountability and Testing   </w:t>
    </w:r>
    <w:r>
      <w:rPr>
        <w:rFonts w:ascii="Arial" w:hAnsi="Arial" w:cs="Arial"/>
        <w:sz w:val="20"/>
      </w:rPr>
      <w:t xml:space="preserve">  </w:t>
    </w:r>
    <w:r w:rsidRPr="00EF6288">
      <w:rPr>
        <w:rFonts w:ascii="Arial" w:hAnsi="Arial" w:cs="Arial"/>
        <w:sz w:val="20"/>
      </w:rPr>
      <w:t xml:space="preserve">      </w:t>
    </w:r>
    <w:r>
      <w:rPr>
        <w:rFonts w:ascii="Arial" w:hAnsi="Arial" w:cs="Arial"/>
        <w:sz w:val="20"/>
      </w:rPr>
      <w:t xml:space="preserve">                                                                </w:t>
    </w:r>
    <w:r w:rsidRPr="00EF6288">
      <w:rPr>
        <w:rFonts w:ascii="Arial" w:hAnsi="Arial" w:cs="Arial"/>
        <w:sz w:val="20"/>
      </w:rPr>
      <w:t xml:space="preserve">Analysis and </w:t>
    </w:r>
    <w:r>
      <w:rPr>
        <w:rFonts w:ascii="Arial" w:hAnsi="Arial" w:cs="Arial"/>
        <w:sz w:val="20"/>
      </w:rPr>
      <w:t>Re</w:t>
    </w:r>
    <w:r w:rsidRPr="00EF6288">
      <w:rPr>
        <w:rFonts w:ascii="Arial" w:hAnsi="Arial" w:cs="Arial"/>
        <w:sz w:val="20"/>
      </w:rPr>
      <w:t>porting</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7E1D90CA" w14:textId="77777777" w:rsidTr="00C76F7A">
      <w:trPr>
        <w:trHeight w:val="300"/>
      </w:trPr>
      <w:tc>
        <w:tcPr>
          <w:tcW w:w="3120" w:type="dxa"/>
        </w:tcPr>
        <w:p w14:paraId="65FE3A31" w14:textId="4C272DAF" w:rsidR="737BAAB1" w:rsidRDefault="737BAAB1" w:rsidP="00C76F7A">
          <w:pPr>
            <w:pStyle w:val="Header"/>
            <w:ind w:left="-115"/>
          </w:pPr>
        </w:p>
      </w:tc>
      <w:tc>
        <w:tcPr>
          <w:tcW w:w="3120" w:type="dxa"/>
        </w:tcPr>
        <w:p w14:paraId="6FA2B524" w14:textId="461EED30" w:rsidR="737BAAB1" w:rsidRDefault="737BAAB1" w:rsidP="00C76F7A">
          <w:pPr>
            <w:pStyle w:val="Header"/>
            <w:jc w:val="center"/>
          </w:pPr>
        </w:p>
      </w:tc>
      <w:tc>
        <w:tcPr>
          <w:tcW w:w="3120" w:type="dxa"/>
        </w:tcPr>
        <w:p w14:paraId="76168BF0" w14:textId="1104B85F" w:rsidR="737BAAB1" w:rsidRDefault="737BAAB1" w:rsidP="00C76F7A">
          <w:pPr>
            <w:pStyle w:val="Header"/>
            <w:ind w:right="-115"/>
            <w:jc w:val="right"/>
          </w:pPr>
        </w:p>
      </w:tc>
    </w:tr>
  </w:tbl>
  <w:p w14:paraId="4D6A69FE" w14:textId="37B91FC7" w:rsidR="0028367B" w:rsidRDefault="002836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6663219E" w14:textId="77777777" w:rsidTr="00086E0D">
      <w:trPr>
        <w:trHeight w:val="300"/>
      </w:trPr>
      <w:tc>
        <w:tcPr>
          <w:tcW w:w="3120" w:type="dxa"/>
        </w:tcPr>
        <w:p w14:paraId="73B7B7FE" w14:textId="7B2EE7DD" w:rsidR="737BAAB1" w:rsidRDefault="737BAAB1" w:rsidP="00086E0D">
          <w:pPr>
            <w:pStyle w:val="Header"/>
            <w:ind w:left="-115"/>
          </w:pPr>
        </w:p>
      </w:tc>
      <w:tc>
        <w:tcPr>
          <w:tcW w:w="3120" w:type="dxa"/>
        </w:tcPr>
        <w:p w14:paraId="75E4D1C7" w14:textId="313E3953" w:rsidR="737BAAB1" w:rsidRDefault="737BAAB1" w:rsidP="00086E0D">
          <w:pPr>
            <w:pStyle w:val="Header"/>
            <w:jc w:val="center"/>
          </w:pPr>
        </w:p>
      </w:tc>
      <w:tc>
        <w:tcPr>
          <w:tcW w:w="3120" w:type="dxa"/>
        </w:tcPr>
        <w:p w14:paraId="181AF0AB" w14:textId="5BD0247F" w:rsidR="737BAAB1" w:rsidRDefault="737BAAB1" w:rsidP="00086E0D">
          <w:pPr>
            <w:pStyle w:val="Header"/>
            <w:ind w:right="-115"/>
            <w:jc w:val="right"/>
          </w:pPr>
        </w:p>
      </w:tc>
    </w:tr>
  </w:tbl>
  <w:p w14:paraId="05F137A1" w14:textId="6AA9D3C2" w:rsidR="0028367B" w:rsidRDefault="002836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593E9EB6" w14:textId="77777777" w:rsidTr="00C53D9A">
      <w:trPr>
        <w:trHeight w:val="300"/>
      </w:trPr>
      <w:tc>
        <w:tcPr>
          <w:tcW w:w="3120" w:type="dxa"/>
        </w:tcPr>
        <w:p w14:paraId="49C111F1" w14:textId="0C85B439" w:rsidR="737BAAB1" w:rsidRDefault="737BAAB1" w:rsidP="00086E0D">
          <w:pPr>
            <w:pStyle w:val="Header"/>
            <w:ind w:left="-115"/>
          </w:pPr>
        </w:p>
      </w:tc>
      <w:tc>
        <w:tcPr>
          <w:tcW w:w="3120" w:type="dxa"/>
        </w:tcPr>
        <w:p w14:paraId="45EE4040" w14:textId="3791BD4A" w:rsidR="737BAAB1" w:rsidRDefault="737BAAB1" w:rsidP="00076B0E">
          <w:pPr>
            <w:pStyle w:val="Header"/>
            <w:jc w:val="center"/>
          </w:pPr>
        </w:p>
      </w:tc>
      <w:tc>
        <w:tcPr>
          <w:tcW w:w="3120" w:type="dxa"/>
        </w:tcPr>
        <w:p w14:paraId="18E6F09D" w14:textId="464E0F7F" w:rsidR="737BAAB1" w:rsidRDefault="737BAAB1" w:rsidP="0013493B">
          <w:pPr>
            <w:pStyle w:val="Header"/>
            <w:ind w:right="-115"/>
            <w:jc w:val="right"/>
          </w:pPr>
        </w:p>
      </w:tc>
    </w:tr>
  </w:tbl>
  <w:p w14:paraId="7EEF0A87" w14:textId="4C005993" w:rsidR="0028367B" w:rsidRDefault="002836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33AC0999" w14:textId="77777777" w:rsidTr="00C76F7A">
      <w:trPr>
        <w:trHeight w:val="300"/>
      </w:trPr>
      <w:tc>
        <w:tcPr>
          <w:tcW w:w="3120" w:type="dxa"/>
        </w:tcPr>
        <w:p w14:paraId="1747A575" w14:textId="019D784B" w:rsidR="737BAAB1" w:rsidRDefault="737BAAB1" w:rsidP="00C76F7A">
          <w:pPr>
            <w:pStyle w:val="Header"/>
            <w:ind w:left="-115"/>
          </w:pPr>
        </w:p>
      </w:tc>
      <w:tc>
        <w:tcPr>
          <w:tcW w:w="3120" w:type="dxa"/>
        </w:tcPr>
        <w:p w14:paraId="3916695A" w14:textId="4ABE66D0" w:rsidR="737BAAB1" w:rsidRDefault="737BAAB1" w:rsidP="00C76F7A">
          <w:pPr>
            <w:pStyle w:val="Header"/>
            <w:jc w:val="center"/>
          </w:pPr>
        </w:p>
      </w:tc>
      <w:tc>
        <w:tcPr>
          <w:tcW w:w="3120" w:type="dxa"/>
        </w:tcPr>
        <w:p w14:paraId="1B11B63B" w14:textId="5FFB8311" w:rsidR="737BAAB1" w:rsidRDefault="737BAAB1" w:rsidP="00C76F7A">
          <w:pPr>
            <w:pStyle w:val="Header"/>
            <w:ind w:right="-115"/>
            <w:jc w:val="right"/>
          </w:pPr>
        </w:p>
      </w:tc>
    </w:tr>
  </w:tbl>
  <w:p w14:paraId="03F2EA1A" w14:textId="4E091D3B" w:rsidR="0028367B" w:rsidRDefault="002836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29F614F1" w14:textId="77777777" w:rsidTr="00C76F7A">
      <w:trPr>
        <w:trHeight w:val="300"/>
      </w:trPr>
      <w:tc>
        <w:tcPr>
          <w:tcW w:w="3120" w:type="dxa"/>
        </w:tcPr>
        <w:p w14:paraId="67682B20" w14:textId="6C8C4944" w:rsidR="737BAAB1" w:rsidRDefault="737BAAB1" w:rsidP="00C76F7A">
          <w:pPr>
            <w:pStyle w:val="Header"/>
            <w:ind w:left="-115"/>
          </w:pPr>
        </w:p>
      </w:tc>
      <w:tc>
        <w:tcPr>
          <w:tcW w:w="3120" w:type="dxa"/>
        </w:tcPr>
        <w:p w14:paraId="74DEE41F" w14:textId="6B774710" w:rsidR="737BAAB1" w:rsidRDefault="737BAAB1" w:rsidP="00C76F7A">
          <w:pPr>
            <w:pStyle w:val="Header"/>
            <w:jc w:val="center"/>
          </w:pPr>
        </w:p>
      </w:tc>
      <w:tc>
        <w:tcPr>
          <w:tcW w:w="3120" w:type="dxa"/>
        </w:tcPr>
        <w:p w14:paraId="37293CBF" w14:textId="0925167B" w:rsidR="737BAAB1" w:rsidRDefault="737BAAB1" w:rsidP="00C76F7A">
          <w:pPr>
            <w:pStyle w:val="Header"/>
            <w:ind w:right="-115"/>
            <w:jc w:val="right"/>
          </w:pPr>
        </w:p>
      </w:tc>
    </w:tr>
  </w:tbl>
  <w:p w14:paraId="2185A158" w14:textId="445400CE" w:rsidR="0028367B" w:rsidRDefault="002836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D28CF" w14:paraId="7E00D22D" w14:textId="77777777" w:rsidTr="00C76F7A">
      <w:trPr>
        <w:trHeight w:val="300"/>
      </w:trPr>
      <w:tc>
        <w:tcPr>
          <w:tcW w:w="3120" w:type="dxa"/>
        </w:tcPr>
        <w:p w14:paraId="3F7FA608" w14:textId="77777777" w:rsidR="00DD28CF" w:rsidRDefault="00DD28CF" w:rsidP="00C76F7A">
          <w:pPr>
            <w:pStyle w:val="Header"/>
            <w:ind w:left="-115"/>
          </w:pPr>
        </w:p>
      </w:tc>
      <w:tc>
        <w:tcPr>
          <w:tcW w:w="3120" w:type="dxa"/>
        </w:tcPr>
        <w:p w14:paraId="1F115667" w14:textId="77777777" w:rsidR="00DD28CF" w:rsidRDefault="00DD28CF" w:rsidP="00C76F7A">
          <w:pPr>
            <w:pStyle w:val="Header"/>
            <w:jc w:val="center"/>
          </w:pPr>
        </w:p>
      </w:tc>
      <w:tc>
        <w:tcPr>
          <w:tcW w:w="3120" w:type="dxa"/>
        </w:tcPr>
        <w:p w14:paraId="772C6A8E" w14:textId="77777777" w:rsidR="00DD28CF" w:rsidRDefault="00DD28CF" w:rsidP="00C76F7A">
          <w:pPr>
            <w:pStyle w:val="Header"/>
            <w:ind w:right="-115"/>
            <w:jc w:val="right"/>
          </w:pPr>
        </w:p>
      </w:tc>
    </w:tr>
  </w:tbl>
  <w:p w14:paraId="008C0DA6" w14:textId="77777777" w:rsidR="00DD28CF" w:rsidRDefault="00DD28C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7BAAB1" w14:paraId="649D1B79" w14:textId="77777777" w:rsidTr="00C76F7A">
      <w:trPr>
        <w:trHeight w:val="300"/>
      </w:trPr>
      <w:tc>
        <w:tcPr>
          <w:tcW w:w="3120" w:type="dxa"/>
        </w:tcPr>
        <w:p w14:paraId="1E973D67" w14:textId="28891FA5" w:rsidR="737BAAB1" w:rsidRDefault="737BAAB1" w:rsidP="00C76F7A">
          <w:pPr>
            <w:pStyle w:val="Header"/>
            <w:ind w:left="-115"/>
          </w:pPr>
        </w:p>
      </w:tc>
      <w:tc>
        <w:tcPr>
          <w:tcW w:w="3120" w:type="dxa"/>
        </w:tcPr>
        <w:p w14:paraId="1481E9C8" w14:textId="1834BEA7" w:rsidR="737BAAB1" w:rsidRDefault="737BAAB1" w:rsidP="00C76F7A">
          <w:pPr>
            <w:pStyle w:val="Header"/>
            <w:jc w:val="center"/>
          </w:pPr>
        </w:p>
      </w:tc>
      <w:tc>
        <w:tcPr>
          <w:tcW w:w="3120" w:type="dxa"/>
        </w:tcPr>
        <w:p w14:paraId="3B57A4D4" w14:textId="043648ED" w:rsidR="737BAAB1" w:rsidRDefault="737BAAB1" w:rsidP="00C76F7A">
          <w:pPr>
            <w:pStyle w:val="Header"/>
            <w:ind w:right="-115"/>
            <w:jc w:val="right"/>
          </w:pPr>
        </w:p>
      </w:tc>
    </w:tr>
  </w:tbl>
  <w:p w14:paraId="6451FAB1" w14:textId="15391E94" w:rsidR="0028367B" w:rsidRDefault="002836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737BAAB1" w14:paraId="6C4FA4C2" w14:textId="77777777" w:rsidTr="00C76F7A">
      <w:trPr>
        <w:trHeight w:val="300"/>
      </w:trPr>
      <w:tc>
        <w:tcPr>
          <w:tcW w:w="4320" w:type="dxa"/>
        </w:tcPr>
        <w:p w14:paraId="3066EACE" w14:textId="1E96CB86" w:rsidR="737BAAB1" w:rsidRDefault="737BAAB1" w:rsidP="00C76F7A">
          <w:pPr>
            <w:pStyle w:val="Header"/>
            <w:ind w:left="-115"/>
          </w:pPr>
        </w:p>
      </w:tc>
      <w:tc>
        <w:tcPr>
          <w:tcW w:w="4320" w:type="dxa"/>
        </w:tcPr>
        <w:p w14:paraId="1B345E62" w14:textId="043B7558" w:rsidR="737BAAB1" w:rsidRDefault="737BAAB1" w:rsidP="00C76F7A">
          <w:pPr>
            <w:pStyle w:val="Header"/>
            <w:jc w:val="center"/>
          </w:pPr>
        </w:p>
      </w:tc>
      <w:tc>
        <w:tcPr>
          <w:tcW w:w="4320" w:type="dxa"/>
        </w:tcPr>
        <w:p w14:paraId="0A562CC3" w14:textId="6AAD6F1F" w:rsidR="737BAAB1" w:rsidRDefault="737BAAB1" w:rsidP="00C76F7A">
          <w:pPr>
            <w:pStyle w:val="Header"/>
            <w:ind w:right="-115"/>
            <w:jc w:val="right"/>
          </w:pPr>
        </w:p>
      </w:tc>
    </w:tr>
  </w:tbl>
  <w:p w14:paraId="238EFAE3" w14:textId="39E46544" w:rsidR="0028367B" w:rsidRDefault="0028367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C019" w14:textId="4F5089B4" w:rsidR="004857B6" w:rsidRPr="00EF6288" w:rsidRDefault="004857B6" w:rsidP="00840E3A">
    <w:pPr>
      <w:pStyle w:val="Footer"/>
      <w:tabs>
        <w:tab w:val="clear" w:pos="4320"/>
        <w:tab w:val="clear" w:pos="8640"/>
        <w:tab w:val="center" w:pos="9720"/>
      </w:tabs>
      <w:rPr>
        <w:rFonts w:ascii="Arial" w:hAnsi="Arial" w:cs="Arial"/>
        <w:sz w:val="20"/>
      </w:rPr>
    </w:pPr>
    <w:r w:rsidRPr="00EF6288">
      <w:rPr>
        <w:rFonts w:ascii="Arial" w:hAnsi="Arial" w:cs="Arial"/>
        <w:sz w:val="20"/>
      </w:rPr>
      <w:t xml:space="preserve">North Carolina Department of Public Instruction </w:t>
    </w:r>
    <w:r w:rsidRPr="00EF6288">
      <w:rPr>
        <w:rFonts w:ascii="Arial" w:hAnsi="Arial" w:cs="Arial"/>
        <w:sz w:val="20"/>
      </w:rPr>
      <w:tab/>
    </w:r>
    <w:r w:rsidR="009622F7">
      <w:rPr>
        <w:rFonts w:ascii="Arial" w:hAnsi="Arial" w:cs="Arial"/>
        <w:sz w:val="20"/>
      </w:rPr>
      <w:t>September</w:t>
    </w:r>
    <w:r w:rsidR="006D0981" w:rsidRPr="00EF6288">
      <w:rPr>
        <w:rFonts w:ascii="Arial" w:hAnsi="Arial" w:cs="Arial"/>
        <w:sz w:val="20"/>
      </w:rPr>
      <w:t xml:space="preserve"> </w:t>
    </w:r>
    <w:r w:rsidRPr="00EF6288">
      <w:rPr>
        <w:rFonts w:ascii="Arial" w:hAnsi="Arial" w:cs="Arial"/>
        <w:sz w:val="20"/>
      </w:rPr>
      <w:t>202</w:t>
    </w:r>
    <w:r w:rsidR="00BE2007">
      <w:rPr>
        <w:rFonts w:ascii="Arial" w:hAnsi="Arial" w:cs="Arial"/>
        <w:sz w:val="20"/>
      </w:rPr>
      <w:t>6</w:t>
    </w:r>
  </w:p>
  <w:p w14:paraId="3E8437BA" w14:textId="3365F079" w:rsidR="004857B6" w:rsidRPr="00EF6288" w:rsidRDefault="004857B6" w:rsidP="00EB50D9">
    <w:pPr>
      <w:pStyle w:val="Footer"/>
      <w:tabs>
        <w:tab w:val="clear" w:pos="4320"/>
        <w:tab w:val="clear" w:pos="8640"/>
        <w:tab w:val="center" w:pos="9090"/>
      </w:tabs>
      <w:rPr>
        <w:rFonts w:ascii="Arial" w:hAnsi="Arial" w:cs="Arial"/>
      </w:rPr>
    </w:pPr>
    <w:r w:rsidRPr="00EF6288">
      <w:rPr>
        <w:rFonts w:ascii="Arial" w:hAnsi="Arial" w:cs="Arial"/>
        <w:sz w:val="20"/>
      </w:rPr>
      <w:t xml:space="preserve">Office of Accountability and Testing   </w:t>
    </w:r>
    <w:r w:rsidR="00491197">
      <w:rPr>
        <w:rFonts w:ascii="Arial" w:hAnsi="Arial" w:cs="Arial"/>
        <w:sz w:val="20"/>
      </w:rPr>
      <w:t xml:space="preserve"> </w:t>
    </w:r>
    <w:r w:rsidR="00F062ED">
      <w:rPr>
        <w:rFonts w:ascii="Arial" w:hAnsi="Arial" w:cs="Arial"/>
        <w:sz w:val="20"/>
      </w:rPr>
      <w:t xml:space="preserve"> </w:t>
    </w:r>
    <w:r w:rsidRPr="00EF6288">
      <w:rPr>
        <w:rFonts w:ascii="Arial" w:hAnsi="Arial" w:cs="Arial"/>
        <w:sz w:val="20"/>
      </w:rPr>
      <w:t xml:space="preserve">                                      </w:t>
    </w:r>
    <w:r w:rsidR="00BB60E9">
      <w:rPr>
        <w:rFonts w:ascii="Arial" w:hAnsi="Arial" w:cs="Arial"/>
        <w:sz w:val="20"/>
      </w:rPr>
      <w:t xml:space="preserve">                              </w:t>
    </w:r>
    <w:r w:rsidR="00C86C3D">
      <w:rPr>
        <w:rFonts w:ascii="Arial" w:hAnsi="Arial" w:cs="Arial"/>
        <w:sz w:val="20"/>
      </w:rPr>
      <w:t xml:space="preserve">  </w:t>
    </w:r>
    <w:r w:rsidRPr="00EF6288">
      <w:rPr>
        <w:rFonts w:ascii="Arial" w:hAnsi="Arial" w:cs="Arial"/>
        <w:sz w:val="20"/>
      </w:rPr>
      <w:t xml:space="preserve">Analysis and </w:t>
    </w:r>
    <w:r w:rsidR="007715E9">
      <w:rPr>
        <w:rFonts w:ascii="Arial" w:hAnsi="Arial" w:cs="Arial"/>
        <w:sz w:val="20"/>
      </w:rPr>
      <w:t>Re</w:t>
    </w:r>
    <w:r w:rsidRPr="00EF6288">
      <w:rPr>
        <w:rFonts w:ascii="Arial" w:hAnsi="Arial" w:cs="Arial"/>
        <w:sz w:val="20"/>
      </w:rPr>
      <w:t>porting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D74C" w14:textId="77777777" w:rsidR="00732CDB" w:rsidRDefault="00732CDB">
      <w:pPr>
        <w:spacing w:line="240" w:lineRule="auto"/>
      </w:pPr>
      <w:r>
        <w:separator/>
      </w:r>
    </w:p>
  </w:footnote>
  <w:footnote w:type="continuationSeparator" w:id="0">
    <w:p w14:paraId="4D50C0F0" w14:textId="77777777" w:rsidR="00732CDB" w:rsidRDefault="00732CDB">
      <w:pPr>
        <w:spacing w:line="240" w:lineRule="auto"/>
      </w:pPr>
      <w:r>
        <w:continuationSeparator/>
      </w:r>
    </w:p>
  </w:footnote>
  <w:footnote w:type="continuationNotice" w:id="1">
    <w:p w14:paraId="4F46B093" w14:textId="77777777" w:rsidR="00732CDB" w:rsidRDefault="00732CDB">
      <w:pPr>
        <w:spacing w:line="240" w:lineRule="auto"/>
      </w:pPr>
    </w:p>
  </w:footnote>
  <w:footnote w:id="2">
    <w:p w14:paraId="2358816B" w14:textId="77777777" w:rsidR="00491DC0" w:rsidRPr="001427AF" w:rsidRDefault="00491DC0" w:rsidP="000B109E">
      <w:pPr>
        <w:pStyle w:val="NormalWeb"/>
        <w:spacing w:before="0" w:beforeAutospacing="0" w:after="0" w:afterAutospacing="0"/>
        <w:contextualSpacing/>
        <w:rPr>
          <w:rFonts w:ascii="Arial" w:hAnsi="Arial" w:cs="Arial"/>
          <w:sz w:val="20"/>
          <w:szCs w:val="20"/>
        </w:rPr>
      </w:pPr>
      <w:r>
        <w:rPr>
          <w:rStyle w:val="FootnoteReference"/>
        </w:rPr>
        <w:footnoteRef/>
      </w:r>
      <w:r>
        <w:t xml:space="preserve"> </w:t>
      </w:r>
      <w:r w:rsidRPr="001427AF">
        <w:rPr>
          <w:rFonts w:ascii="Arial" w:hAnsi="Arial" w:cs="Arial"/>
          <w:sz w:val="20"/>
          <w:szCs w:val="20"/>
        </w:rPr>
        <w:t xml:space="preserve">Achievement, English Learner Progress, Cohort Graduation Rate, and the school quality or  </w:t>
      </w:r>
    </w:p>
    <w:p w14:paraId="14EB9B6D" w14:textId="1FEC3968" w:rsidR="00491DC0" w:rsidRDefault="00491DC0" w:rsidP="00E42801">
      <w:pPr>
        <w:pStyle w:val="NormalWeb"/>
        <w:spacing w:before="0" w:beforeAutospacing="0" w:after="0" w:afterAutospacing="0"/>
        <w:contextualSpacing/>
        <w:rPr>
          <w:rFonts w:ascii="Arial" w:hAnsi="Arial" w:cs="Arial"/>
          <w:sz w:val="20"/>
          <w:szCs w:val="20"/>
        </w:rPr>
      </w:pPr>
      <w:r w:rsidRPr="001427AF">
        <w:rPr>
          <w:rFonts w:ascii="Arial" w:hAnsi="Arial" w:cs="Arial"/>
          <w:sz w:val="20"/>
          <w:szCs w:val="20"/>
        </w:rPr>
        <w:t xml:space="preserve">  student success indicators account for 80%.</w:t>
      </w:r>
      <w:r>
        <w:rPr>
          <w:rFonts w:ascii="Arial" w:hAnsi="Arial" w:cs="Arial"/>
          <w:sz w:val="20"/>
          <w:szCs w:val="20"/>
        </w:rPr>
        <w:t xml:space="preserve"> </w:t>
      </w:r>
      <w:r w:rsidRPr="001427AF">
        <w:rPr>
          <w:rFonts w:ascii="Arial" w:hAnsi="Arial" w:cs="Arial"/>
          <w:sz w:val="20"/>
          <w:szCs w:val="20"/>
        </w:rPr>
        <w:t xml:space="preserve">High school accountability growth is included in academic </w:t>
      </w:r>
      <w:r>
        <w:rPr>
          <w:rFonts w:ascii="Arial" w:hAnsi="Arial" w:cs="Arial"/>
          <w:sz w:val="20"/>
          <w:szCs w:val="20"/>
        </w:rPr>
        <w:t xml:space="preserve"> </w:t>
      </w:r>
    </w:p>
    <w:p w14:paraId="417786A9" w14:textId="6D20F553" w:rsidR="00491DC0" w:rsidRPr="001427AF" w:rsidRDefault="00491DC0" w:rsidP="00E42801">
      <w:pPr>
        <w:pStyle w:val="NormalWeb"/>
        <w:spacing w:before="0" w:beforeAutospacing="0" w:after="0" w:afterAutospacing="0"/>
        <w:contextualSpacing/>
        <w:rPr>
          <w:rFonts w:ascii="Arial" w:hAnsi="Arial" w:cs="Arial"/>
          <w:sz w:val="20"/>
          <w:szCs w:val="20"/>
        </w:rPr>
      </w:pPr>
      <w:r>
        <w:rPr>
          <w:rFonts w:ascii="Arial" w:hAnsi="Arial" w:cs="Arial"/>
          <w:sz w:val="20"/>
          <w:szCs w:val="20"/>
        </w:rPr>
        <w:t xml:space="preserve">  </w:t>
      </w:r>
      <w:r w:rsidRPr="001427AF">
        <w:rPr>
          <w:rFonts w:ascii="Arial" w:hAnsi="Arial" w:cs="Arial"/>
          <w:sz w:val="20"/>
          <w:szCs w:val="20"/>
        </w:rPr>
        <w:t xml:space="preserve">achievement section, but only accounts for 20% of the model. </w:t>
      </w:r>
    </w:p>
    <w:p w14:paraId="1569B6AD" w14:textId="2175CA3A" w:rsidR="00491DC0" w:rsidRPr="001427AF" w:rsidRDefault="00491DC0" w:rsidP="000B109E">
      <w:pPr>
        <w:pStyle w:val="NormalWeb"/>
        <w:spacing w:before="0" w:beforeAutospacing="0" w:after="0" w:afterAutospacing="0"/>
        <w:contextualSpacing/>
        <w:rPr>
          <w:rFonts w:ascii="Arial" w:hAnsi="Arial" w:cs="Arial"/>
          <w:sz w:val="20"/>
          <w:szCs w:val="20"/>
          <w:vertAlign w:val="superscript"/>
        </w:rPr>
      </w:pPr>
      <w:r w:rsidRPr="001427AF">
        <w:rPr>
          <w:rFonts w:ascii="Arial" w:hAnsi="Arial" w:cs="Arial"/>
          <w:sz w:val="20"/>
          <w:szCs w:val="20"/>
        </w:rPr>
        <w:t xml:space="preserve"> </w:t>
      </w:r>
      <w:r w:rsidRPr="001427AF">
        <w:rPr>
          <w:rFonts w:ascii="Arial" w:hAnsi="Arial" w:cs="Arial"/>
          <w:sz w:val="20"/>
          <w:szCs w:val="20"/>
          <w:vertAlign w:val="superscript"/>
        </w:rPr>
        <w:t xml:space="preserve"> </w:t>
      </w:r>
    </w:p>
    <w:p w14:paraId="7CED4AC0" w14:textId="1391BE67" w:rsidR="00491DC0" w:rsidRDefault="00491DC0">
      <w:pPr>
        <w:pStyle w:val="FootnoteText"/>
      </w:pPr>
    </w:p>
  </w:footnote>
  <w:footnote w:id="3">
    <w:p w14:paraId="78C03902" w14:textId="77777777" w:rsidR="00E47451" w:rsidRDefault="00E47451" w:rsidP="00E47451">
      <w:pPr>
        <w:pStyle w:val="FootnoteText"/>
      </w:pPr>
      <w:r>
        <w:rPr>
          <w:rStyle w:val="FootnoteReference"/>
        </w:rPr>
        <w:footnoteRef/>
      </w:r>
      <w:r>
        <w:t xml:space="preserve"> </w:t>
      </w:r>
      <w:r w:rsidRPr="001427AF">
        <w:rPr>
          <w:rFonts w:ascii="Arial" w:hAnsi="Arial" w:cs="Arial"/>
        </w:rPr>
        <w:t xml:space="preserve">For reporting purposes, the performance score is rounded to the nearest whole </w:t>
      </w:r>
      <w:hyperlink w:anchor="FinalGrade" w:history="1">
        <w:r w:rsidRPr="00E24BD9">
          <w:rPr>
            <w:rStyle w:val="Hyperlink"/>
            <w:rFonts w:ascii="Arial" w:hAnsi="Arial" w:cs="Arial"/>
          </w:rPr>
          <w:t>number</w:t>
        </w:r>
      </w:hyperlink>
      <w:r w:rsidRPr="001427AF">
        <w:rPr>
          <w:rFonts w:ascii="Arial" w:hAnsi="Arial" w:cs="Arial"/>
        </w:rPr>
        <w:t>.</w:t>
      </w:r>
    </w:p>
  </w:footnote>
  <w:footnote w:id="4">
    <w:p w14:paraId="21329852" w14:textId="77777777" w:rsidR="00C253D2" w:rsidRDefault="00C253D2" w:rsidP="00C253D2">
      <w:pPr>
        <w:spacing w:line="240" w:lineRule="auto"/>
        <w:ind w:left="43"/>
        <w:rPr>
          <w:rFonts w:ascii="Arial" w:hAnsi="Arial" w:cs="Arial"/>
          <w:sz w:val="20"/>
        </w:rPr>
      </w:pPr>
      <w:r>
        <w:rPr>
          <w:rStyle w:val="FootnoteReference"/>
        </w:rPr>
        <w:footnoteRef/>
      </w:r>
      <w:r>
        <w:t xml:space="preserve"> </w:t>
      </w:r>
      <w:r w:rsidRPr="001427AF">
        <w:rPr>
          <w:rFonts w:ascii="Arial" w:hAnsi="Arial" w:cs="Arial"/>
          <w:sz w:val="20"/>
        </w:rPr>
        <w:t xml:space="preserve">Reading and math combined is the total number of proficient scores added together and then divided </w:t>
      </w:r>
      <w:r>
        <w:rPr>
          <w:rFonts w:ascii="Arial" w:hAnsi="Arial" w:cs="Arial"/>
          <w:sz w:val="20"/>
        </w:rPr>
        <w:t xml:space="preserve"> </w:t>
      </w:r>
    </w:p>
    <w:p w14:paraId="391D2253" w14:textId="65F77E47" w:rsidR="00C253D2" w:rsidRDefault="00C253D2" w:rsidP="00C253D2">
      <w:pPr>
        <w:spacing w:line="240" w:lineRule="auto"/>
        <w:ind w:left="43"/>
        <w:rPr>
          <w:rFonts w:ascii="Arial" w:hAnsi="Arial" w:cs="Arial"/>
          <w:sz w:val="20"/>
        </w:rPr>
      </w:pPr>
      <w:r>
        <w:rPr>
          <w:rFonts w:ascii="Arial" w:hAnsi="Arial" w:cs="Arial"/>
          <w:sz w:val="20"/>
        </w:rPr>
        <w:t xml:space="preserve">   b</w:t>
      </w:r>
      <w:r w:rsidRPr="001427AF">
        <w:rPr>
          <w:rFonts w:ascii="Arial" w:hAnsi="Arial" w:cs="Arial"/>
          <w:sz w:val="20"/>
        </w:rPr>
        <w:t>y</w:t>
      </w:r>
      <w:r>
        <w:rPr>
          <w:rFonts w:ascii="Arial" w:hAnsi="Arial" w:cs="Arial"/>
          <w:sz w:val="20"/>
        </w:rPr>
        <w:t xml:space="preserve"> </w:t>
      </w:r>
      <w:r w:rsidRPr="001427AF">
        <w:rPr>
          <w:rFonts w:ascii="Arial" w:hAnsi="Arial" w:cs="Arial"/>
          <w:sz w:val="20"/>
        </w:rPr>
        <w:t xml:space="preserve">the total number of scores. Note: The minimum-N of 30 students for AAA is applied to the number of </w:t>
      </w:r>
      <w:r>
        <w:rPr>
          <w:rFonts w:ascii="Arial" w:hAnsi="Arial" w:cs="Arial"/>
          <w:sz w:val="20"/>
        </w:rPr>
        <w:t xml:space="preserve"> </w:t>
      </w:r>
    </w:p>
    <w:p w14:paraId="2DBA89FE" w14:textId="499A0E2A" w:rsidR="00C253D2" w:rsidRDefault="00C253D2" w:rsidP="00C253D2">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students before the</w:t>
      </w:r>
      <w:r>
        <w:rPr>
          <w:rFonts w:ascii="Arial" w:hAnsi="Arial" w:cs="Arial"/>
          <w:sz w:val="20"/>
        </w:rPr>
        <w:t xml:space="preserve"> </w:t>
      </w:r>
      <w:r w:rsidRPr="001427AF">
        <w:rPr>
          <w:rFonts w:ascii="Arial" w:hAnsi="Arial" w:cs="Arial"/>
          <w:sz w:val="20"/>
        </w:rPr>
        <w:t xml:space="preserve">participation denominator adjustment (see section 2.4), instead of the number of </w:t>
      </w:r>
      <w:r>
        <w:rPr>
          <w:rFonts w:ascii="Arial" w:hAnsi="Arial" w:cs="Arial"/>
          <w:sz w:val="20"/>
        </w:rPr>
        <w:t xml:space="preserve"> </w:t>
      </w:r>
    </w:p>
    <w:p w14:paraId="684CA5D2" w14:textId="3A581046" w:rsidR="00C253D2" w:rsidRDefault="00C253D2" w:rsidP="00C253D2">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 xml:space="preserve">scores (denominator), since students have multiple scores counted in the denominator. All other </w:t>
      </w:r>
      <w:r>
        <w:rPr>
          <w:rFonts w:ascii="Arial" w:hAnsi="Arial" w:cs="Arial"/>
          <w:sz w:val="20"/>
        </w:rPr>
        <w:t xml:space="preserve"> </w:t>
      </w:r>
    </w:p>
    <w:p w14:paraId="5F824D3E" w14:textId="2F676885" w:rsidR="00C253D2" w:rsidRDefault="00C253D2" w:rsidP="00C253D2">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 xml:space="preserve">indicators use the number of students for the minimum-N of 30 as the denominator since they are equal </w:t>
      </w:r>
      <w:r>
        <w:rPr>
          <w:rFonts w:ascii="Arial" w:hAnsi="Arial" w:cs="Arial"/>
          <w:sz w:val="20"/>
        </w:rPr>
        <w:t xml:space="preserve"> </w:t>
      </w:r>
    </w:p>
    <w:p w14:paraId="24DA2934" w14:textId="6216119D" w:rsidR="00C253D2" w:rsidRPr="001427AF" w:rsidRDefault="00C253D2" w:rsidP="00C253D2">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 xml:space="preserve">to the number of </w:t>
      </w:r>
      <w:hyperlink w:anchor="table2hs" w:history="1">
        <w:r w:rsidRPr="00B9240B">
          <w:rPr>
            <w:rStyle w:val="Hyperlink"/>
            <w:rFonts w:ascii="Arial" w:hAnsi="Arial" w:cs="Arial"/>
            <w:sz w:val="20"/>
          </w:rPr>
          <w:t>scores</w:t>
        </w:r>
      </w:hyperlink>
      <w:r w:rsidRPr="001427AF">
        <w:rPr>
          <w:rFonts w:ascii="Arial" w:hAnsi="Arial" w:cs="Arial"/>
          <w:sz w:val="20"/>
        </w:rPr>
        <w:t>.</w:t>
      </w:r>
    </w:p>
    <w:p w14:paraId="4F9CD656" w14:textId="606B7606" w:rsidR="00C253D2" w:rsidRDefault="00C253D2">
      <w:pPr>
        <w:pStyle w:val="FootnoteText"/>
      </w:pPr>
    </w:p>
  </w:footnote>
  <w:footnote w:id="5">
    <w:p w14:paraId="21CDA286" w14:textId="77777777" w:rsidR="00675B28" w:rsidRDefault="00675B28" w:rsidP="00797EB9">
      <w:pPr>
        <w:spacing w:line="240" w:lineRule="auto"/>
        <w:ind w:left="43"/>
        <w:rPr>
          <w:rFonts w:ascii="Arial" w:hAnsi="Arial" w:cs="Arial"/>
          <w:sz w:val="20"/>
        </w:rPr>
      </w:pPr>
      <w:r>
        <w:rPr>
          <w:rStyle w:val="FootnoteReference"/>
        </w:rPr>
        <w:footnoteRef/>
      </w:r>
      <w:r>
        <w:t xml:space="preserve"> </w:t>
      </w:r>
      <w:r w:rsidRPr="001427AF">
        <w:rPr>
          <w:rFonts w:ascii="Arial" w:hAnsi="Arial" w:cs="Arial"/>
          <w:sz w:val="20"/>
        </w:rPr>
        <w:t xml:space="preserve">Reading and math combined is the total number of proficient scores added together and then divided </w:t>
      </w:r>
      <w:r>
        <w:rPr>
          <w:rFonts w:ascii="Arial" w:hAnsi="Arial" w:cs="Arial"/>
          <w:sz w:val="20"/>
        </w:rPr>
        <w:t xml:space="preserve"> </w:t>
      </w:r>
    </w:p>
    <w:p w14:paraId="767A1866" w14:textId="65799FB2" w:rsidR="00675B28" w:rsidRDefault="00675B28" w:rsidP="00797EB9">
      <w:pPr>
        <w:spacing w:line="240" w:lineRule="auto"/>
        <w:ind w:left="43"/>
        <w:rPr>
          <w:rFonts w:ascii="Arial" w:hAnsi="Arial" w:cs="Arial"/>
          <w:sz w:val="20"/>
        </w:rPr>
      </w:pPr>
      <w:r>
        <w:rPr>
          <w:rFonts w:ascii="Arial" w:hAnsi="Arial" w:cs="Arial"/>
          <w:sz w:val="20"/>
        </w:rPr>
        <w:t xml:space="preserve">   b</w:t>
      </w:r>
      <w:r w:rsidRPr="001427AF">
        <w:rPr>
          <w:rFonts w:ascii="Arial" w:hAnsi="Arial" w:cs="Arial"/>
          <w:sz w:val="20"/>
        </w:rPr>
        <w:t>y</w:t>
      </w:r>
      <w:r>
        <w:rPr>
          <w:rFonts w:ascii="Arial" w:hAnsi="Arial" w:cs="Arial"/>
          <w:sz w:val="20"/>
        </w:rPr>
        <w:t xml:space="preserve"> </w:t>
      </w:r>
      <w:r w:rsidRPr="001427AF">
        <w:rPr>
          <w:rFonts w:ascii="Arial" w:hAnsi="Arial" w:cs="Arial"/>
          <w:sz w:val="20"/>
        </w:rPr>
        <w:t xml:space="preserve">the total number of scores. Note: The minimum-N of 30 students for AAA is applied to the number of </w:t>
      </w:r>
      <w:r>
        <w:rPr>
          <w:rFonts w:ascii="Arial" w:hAnsi="Arial" w:cs="Arial"/>
          <w:sz w:val="20"/>
        </w:rPr>
        <w:t xml:space="preserve"> </w:t>
      </w:r>
    </w:p>
    <w:p w14:paraId="4506FEDC" w14:textId="0A3A28E0" w:rsidR="00675B28" w:rsidRDefault="00675B28" w:rsidP="00797EB9">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 xml:space="preserve">students before the participation denominator adjustment (see section 2.4), instead of the number of </w:t>
      </w:r>
      <w:r>
        <w:rPr>
          <w:rFonts w:ascii="Arial" w:hAnsi="Arial" w:cs="Arial"/>
          <w:sz w:val="20"/>
        </w:rPr>
        <w:t xml:space="preserve"> </w:t>
      </w:r>
    </w:p>
    <w:p w14:paraId="386C16DD" w14:textId="2F3978BF" w:rsidR="00675B28" w:rsidRDefault="00675B28" w:rsidP="00797EB9">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 xml:space="preserve">scores (denominator), since students have multiple scores counted in the denominator. All other </w:t>
      </w:r>
      <w:r>
        <w:rPr>
          <w:rFonts w:ascii="Arial" w:hAnsi="Arial" w:cs="Arial"/>
          <w:sz w:val="20"/>
        </w:rPr>
        <w:t xml:space="preserve"> </w:t>
      </w:r>
    </w:p>
    <w:p w14:paraId="25B5E711" w14:textId="16F8A31C" w:rsidR="00675B28" w:rsidRDefault="00675B28" w:rsidP="00797EB9">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 xml:space="preserve">indicators use the number of students for the minimum-N of 30 as the denominator since they are equal </w:t>
      </w:r>
      <w:r>
        <w:rPr>
          <w:rFonts w:ascii="Arial" w:hAnsi="Arial" w:cs="Arial"/>
          <w:sz w:val="20"/>
        </w:rPr>
        <w:t xml:space="preserve"> </w:t>
      </w:r>
    </w:p>
    <w:p w14:paraId="4E6E354A" w14:textId="2E809D63" w:rsidR="00675B28" w:rsidRPr="001427AF" w:rsidRDefault="00675B28" w:rsidP="00797EB9">
      <w:pPr>
        <w:spacing w:line="240" w:lineRule="auto"/>
        <w:ind w:left="43"/>
        <w:rPr>
          <w:rFonts w:ascii="Arial" w:hAnsi="Arial" w:cs="Arial"/>
          <w:sz w:val="20"/>
        </w:rPr>
      </w:pPr>
      <w:r>
        <w:rPr>
          <w:rFonts w:ascii="Arial" w:hAnsi="Arial" w:cs="Arial"/>
          <w:sz w:val="20"/>
        </w:rPr>
        <w:t xml:space="preserve">   </w:t>
      </w:r>
      <w:r w:rsidRPr="001427AF">
        <w:rPr>
          <w:rFonts w:ascii="Arial" w:hAnsi="Arial" w:cs="Arial"/>
          <w:sz w:val="20"/>
        </w:rPr>
        <w:t xml:space="preserve">to the number of </w:t>
      </w:r>
      <w:hyperlink w:anchor="table2k12" w:history="1">
        <w:r w:rsidRPr="00A90F79">
          <w:rPr>
            <w:rStyle w:val="Hyperlink"/>
            <w:rFonts w:ascii="Arial" w:hAnsi="Arial" w:cs="Arial"/>
            <w:sz w:val="20"/>
          </w:rPr>
          <w:t>scores</w:t>
        </w:r>
      </w:hyperlink>
      <w:r w:rsidRPr="001427AF">
        <w:rPr>
          <w:rFonts w:ascii="Arial" w:hAnsi="Arial" w:cs="Arial"/>
          <w:sz w:val="20"/>
        </w:rPr>
        <w:t>.</w:t>
      </w:r>
    </w:p>
    <w:p w14:paraId="34311306" w14:textId="74FF47F9" w:rsidR="00675B28" w:rsidRDefault="00675B28">
      <w:pPr>
        <w:pStyle w:val="FootnoteText"/>
      </w:pPr>
    </w:p>
  </w:footnote>
  <w:footnote w:id="6">
    <w:p w14:paraId="2BCEAF7E" w14:textId="15AFA67C" w:rsidR="00FB65B9" w:rsidRDefault="00FB65B9">
      <w:pPr>
        <w:pStyle w:val="FootnoteText"/>
      </w:pPr>
      <w:r>
        <w:rPr>
          <w:rStyle w:val="FootnoteReference"/>
        </w:rPr>
        <w:footnoteRef/>
      </w:r>
      <w:r>
        <w:t xml:space="preserve"> </w:t>
      </w:r>
      <w:r w:rsidR="0067266E" w:rsidRPr="001427AF">
        <w:rPr>
          <w:rFonts w:ascii="Arial" w:hAnsi="Arial" w:cs="Arial"/>
        </w:rPr>
        <w:t xml:space="preserve">EOC assessments may be provided at different grade levels depending on student </w:t>
      </w:r>
      <w:hyperlink w:anchor="table26" w:history="1">
        <w:r w:rsidR="0067266E" w:rsidRPr="0067266E">
          <w:rPr>
            <w:rStyle w:val="Hyperlink"/>
            <w:rFonts w:ascii="Arial" w:hAnsi="Arial" w:cs="Arial"/>
          </w:rPr>
          <w:t>progress</w:t>
        </w:r>
      </w:hyperlink>
      <w:r w:rsidR="0067266E" w:rsidRPr="001427AF">
        <w:rPr>
          <w:rFonts w:ascii="Arial" w:hAnsi="Arial" w:cs="Arial"/>
        </w:rPr>
        <w:t>.</w:t>
      </w:r>
    </w:p>
  </w:footnote>
  <w:footnote w:id="7">
    <w:p w14:paraId="58A505F2" w14:textId="77777777" w:rsidR="00BD6FC8" w:rsidRPr="00364AB6" w:rsidRDefault="00DE0BC8" w:rsidP="00BD6FC8">
      <w:pPr>
        <w:pStyle w:val="Default"/>
        <w:ind w:left="360"/>
        <w:contextualSpacing/>
        <w:rPr>
          <w:rFonts w:ascii="Arial" w:hAnsi="Arial" w:cs="Arial"/>
          <w:sz w:val="20"/>
          <w:szCs w:val="20"/>
        </w:rPr>
      </w:pPr>
      <w:r w:rsidRPr="00364AB6">
        <w:rPr>
          <w:rStyle w:val="FootnoteReference"/>
          <w:rFonts w:ascii="Arial" w:hAnsi="Arial" w:cs="Arial"/>
          <w:sz w:val="20"/>
          <w:szCs w:val="20"/>
        </w:rPr>
        <w:footnoteRef/>
      </w:r>
      <w:r w:rsidRPr="00364AB6">
        <w:rPr>
          <w:rFonts w:ascii="Arial" w:hAnsi="Arial" w:cs="Arial"/>
          <w:sz w:val="20"/>
          <w:szCs w:val="20"/>
        </w:rPr>
        <w:t xml:space="preserve"> </w:t>
      </w:r>
      <w:r w:rsidR="00BD6FC8" w:rsidRPr="00364AB6">
        <w:rPr>
          <w:rFonts w:ascii="Arial" w:hAnsi="Arial" w:cs="Arial"/>
          <w:sz w:val="20"/>
          <w:szCs w:val="20"/>
        </w:rPr>
        <w:t xml:space="preserve">When a student who took NC Math 1 for the first time prior to grade nine repeats the NC Math 1  </w:t>
      </w:r>
    </w:p>
    <w:p w14:paraId="4DE1EA1B" w14:textId="209B5034" w:rsidR="00BD6FC8" w:rsidRPr="00364AB6" w:rsidRDefault="00BD6FC8" w:rsidP="00BD6FC8">
      <w:pPr>
        <w:pStyle w:val="Default"/>
        <w:ind w:left="360"/>
        <w:contextualSpacing/>
        <w:rPr>
          <w:rFonts w:ascii="Arial" w:hAnsi="Arial" w:cs="Arial"/>
          <w:sz w:val="20"/>
          <w:szCs w:val="20"/>
        </w:rPr>
      </w:pPr>
      <w:r w:rsidRPr="00364AB6">
        <w:rPr>
          <w:rFonts w:ascii="Arial" w:hAnsi="Arial" w:cs="Arial"/>
          <w:sz w:val="20"/>
          <w:szCs w:val="20"/>
        </w:rPr>
        <w:t xml:space="preserve">  </w:t>
      </w:r>
      <w:r w:rsidR="00E2488E" w:rsidRPr="00364AB6">
        <w:rPr>
          <w:rFonts w:ascii="Arial" w:hAnsi="Arial" w:cs="Arial"/>
          <w:sz w:val="20"/>
          <w:szCs w:val="20"/>
        </w:rPr>
        <w:t xml:space="preserve"> </w:t>
      </w:r>
      <w:r w:rsidRPr="00364AB6">
        <w:rPr>
          <w:rFonts w:ascii="Arial" w:hAnsi="Arial" w:cs="Arial"/>
          <w:sz w:val="20"/>
          <w:szCs w:val="20"/>
        </w:rPr>
        <w:t xml:space="preserve">course for credit in high school, the NC Math 1 assessment (if administered) is used for  </w:t>
      </w:r>
    </w:p>
    <w:p w14:paraId="34559972" w14:textId="77777777" w:rsidR="003413DB" w:rsidRPr="00364AB6" w:rsidRDefault="00BD6FC8" w:rsidP="00BD6FC8">
      <w:pPr>
        <w:pStyle w:val="Default"/>
        <w:ind w:left="360"/>
        <w:contextualSpacing/>
        <w:rPr>
          <w:rFonts w:ascii="Arial" w:hAnsi="Arial" w:cs="Arial"/>
          <w:sz w:val="20"/>
          <w:szCs w:val="20"/>
        </w:rPr>
      </w:pPr>
      <w:r w:rsidRPr="00364AB6">
        <w:rPr>
          <w:rFonts w:ascii="Arial" w:hAnsi="Arial" w:cs="Arial"/>
          <w:sz w:val="20"/>
          <w:szCs w:val="20"/>
        </w:rPr>
        <w:t xml:space="preserve">  </w:t>
      </w:r>
      <w:r w:rsidR="003413DB" w:rsidRPr="00364AB6">
        <w:rPr>
          <w:rFonts w:ascii="Arial" w:hAnsi="Arial" w:cs="Arial"/>
          <w:sz w:val="20"/>
          <w:szCs w:val="20"/>
        </w:rPr>
        <w:t xml:space="preserve"> </w:t>
      </w:r>
      <w:r w:rsidRPr="00364AB6">
        <w:rPr>
          <w:rFonts w:ascii="Arial" w:hAnsi="Arial" w:cs="Arial"/>
          <w:sz w:val="20"/>
          <w:szCs w:val="20"/>
        </w:rPr>
        <w:t xml:space="preserve">accountability SPG calculations only for that year. This student’s NC Math 3 assessment will also </w:t>
      </w:r>
      <w:r w:rsidR="003413DB" w:rsidRPr="00364AB6">
        <w:rPr>
          <w:rFonts w:ascii="Arial" w:hAnsi="Arial" w:cs="Arial"/>
          <w:sz w:val="20"/>
          <w:szCs w:val="20"/>
        </w:rPr>
        <w:t xml:space="preserve"> </w:t>
      </w:r>
    </w:p>
    <w:p w14:paraId="0FC287E4" w14:textId="061FDB3F" w:rsidR="003413DB" w:rsidRPr="00364AB6" w:rsidRDefault="003413DB" w:rsidP="00BD6FC8">
      <w:pPr>
        <w:pStyle w:val="Default"/>
        <w:ind w:left="360"/>
        <w:contextualSpacing/>
        <w:rPr>
          <w:rFonts w:ascii="Arial" w:hAnsi="Arial" w:cs="Arial"/>
          <w:sz w:val="20"/>
          <w:szCs w:val="20"/>
        </w:rPr>
      </w:pPr>
      <w:r w:rsidRPr="00364AB6">
        <w:rPr>
          <w:rFonts w:ascii="Arial" w:hAnsi="Arial" w:cs="Arial"/>
          <w:sz w:val="20"/>
          <w:szCs w:val="20"/>
        </w:rPr>
        <w:t xml:space="preserve">   </w:t>
      </w:r>
      <w:r w:rsidR="00BD6FC8" w:rsidRPr="00364AB6">
        <w:rPr>
          <w:rFonts w:ascii="Arial" w:hAnsi="Arial" w:cs="Arial"/>
          <w:sz w:val="20"/>
          <w:szCs w:val="20"/>
        </w:rPr>
        <w:t>be</w:t>
      </w:r>
      <w:r w:rsidRPr="00364AB6">
        <w:rPr>
          <w:rFonts w:ascii="Arial" w:hAnsi="Arial" w:cs="Arial"/>
          <w:sz w:val="20"/>
          <w:szCs w:val="20"/>
        </w:rPr>
        <w:t xml:space="preserve"> </w:t>
      </w:r>
      <w:r w:rsidR="00BD6FC8" w:rsidRPr="00364AB6">
        <w:rPr>
          <w:rFonts w:ascii="Arial" w:hAnsi="Arial" w:cs="Arial"/>
          <w:sz w:val="20"/>
          <w:szCs w:val="20"/>
        </w:rPr>
        <w:t xml:space="preserve">used for all accountability calculations including SPGs, long-term goals, and grade 11 </w:t>
      </w:r>
      <w:r w:rsidRPr="00364AB6">
        <w:rPr>
          <w:rFonts w:ascii="Arial" w:hAnsi="Arial" w:cs="Arial"/>
          <w:sz w:val="20"/>
          <w:szCs w:val="20"/>
        </w:rPr>
        <w:t xml:space="preserve"> </w:t>
      </w:r>
    </w:p>
    <w:p w14:paraId="1579B1EA" w14:textId="070EDBE1" w:rsidR="00DE0BC8" w:rsidRPr="00364AB6" w:rsidRDefault="003413DB" w:rsidP="00871410">
      <w:pPr>
        <w:pStyle w:val="Default"/>
        <w:ind w:left="360"/>
        <w:contextualSpacing/>
        <w:rPr>
          <w:rFonts w:ascii="Arial" w:hAnsi="Arial" w:cs="Arial"/>
          <w:sz w:val="20"/>
          <w:szCs w:val="20"/>
        </w:rPr>
      </w:pPr>
      <w:r w:rsidRPr="00364AB6">
        <w:rPr>
          <w:rFonts w:ascii="Arial" w:hAnsi="Arial" w:cs="Arial"/>
          <w:sz w:val="20"/>
          <w:szCs w:val="20"/>
        </w:rPr>
        <w:t xml:space="preserve">   </w:t>
      </w:r>
      <w:r w:rsidR="00BD6FC8" w:rsidRPr="00364AB6">
        <w:rPr>
          <w:rFonts w:ascii="Arial" w:hAnsi="Arial" w:cs="Arial"/>
          <w:sz w:val="20"/>
          <w:szCs w:val="20"/>
        </w:rPr>
        <w:t>participation</w:t>
      </w:r>
      <w:r w:rsidRPr="00364AB6">
        <w:rPr>
          <w:rFonts w:ascii="Arial" w:hAnsi="Arial" w:cs="Arial"/>
          <w:sz w:val="20"/>
          <w:szCs w:val="20"/>
        </w:rPr>
        <w:t xml:space="preserve"> </w:t>
      </w:r>
      <w:r w:rsidR="00BD6FC8" w:rsidRPr="00364AB6">
        <w:rPr>
          <w:rFonts w:ascii="Arial" w:hAnsi="Arial" w:cs="Arial"/>
          <w:sz w:val="20"/>
          <w:szCs w:val="20"/>
        </w:rPr>
        <w:t>expectations.</w:t>
      </w:r>
    </w:p>
  </w:footnote>
  <w:footnote w:id="8">
    <w:p w14:paraId="53629E65" w14:textId="2BBCAC83" w:rsidR="006A0B68" w:rsidRPr="00364AB6" w:rsidRDefault="0021513D" w:rsidP="006A0B68">
      <w:pPr>
        <w:pStyle w:val="Default"/>
        <w:ind w:firstLine="274"/>
        <w:contextualSpacing/>
        <w:rPr>
          <w:rFonts w:ascii="Arial" w:hAnsi="Arial" w:cs="Arial"/>
          <w:sz w:val="20"/>
          <w:szCs w:val="20"/>
        </w:rPr>
      </w:pPr>
      <w:r w:rsidRPr="00364AB6">
        <w:rPr>
          <w:rStyle w:val="FootnoteReference"/>
          <w:rFonts w:ascii="Arial" w:hAnsi="Arial" w:cs="Arial"/>
          <w:sz w:val="20"/>
          <w:szCs w:val="20"/>
        </w:rPr>
        <w:footnoteRef/>
      </w:r>
      <w:r w:rsidRPr="00364AB6">
        <w:rPr>
          <w:rFonts w:ascii="Arial" w:hAnsi="Arial" w:cs="Arial"/>
          <w:sz w:val="20"/>
          <w:szCs w:val="20"/>
        </w:rPr>
        <w:t xml:space="preserve"> </w:t>
      </w:r>
      <w:r w:rsidR="003413DB" w:rsidRPr="00364AB6">
        <w:rPr>
          <w:rFonts w:ascii="Arial" w:hAnsi="Arial" w:cs="Arial"/>
          <w:sz w:val="20"/>
          <w:szCs w:val="20"/>
        </w:rPr>
        <w:t xml:space="preserve"> </w:t>
      </w:r>
      <w:r w:rsidR="006A0B68" w:rsidRPr="00364AB6">
        <w:rPr>
          <w:rFonts w:ascii="Arial" w:hAnsi="Arial" w:cs="Arial"/>
          <w:sz w:val="20"/>
          <w:szCs w:val="20"/>
        </w:rPr>
        <w:t xml:space="preserve">Students who take NC Math 1 in grade 7 or earlier are banked until 8th grade and used in the  </w:t>
      </w:r>
    </w:p>
    <w:p w14:paraId="096362FC" w14:textId="6015F21F" w:rsidR="006A0B68" w:rsidRPr="00364AB6" w:rsidRDefault="006A0B68" w:rsidP="006A0B68">
      <w:pPr>
        <w:pStyle w:val="Default"/>
        <w:ind w:firstLine="274"/>
        <w:contextualSpacing/>
        <w:rPr>
          <w:rFonts w:ascii="Arial" w:hAnsi="Arial" w:cs="Arial"/>
          <w:sz w:val="20"/>
          <w:szCs w:val="20"/>
        </w:rPr>
      </w:pPr>
      <w:r w:rsidRPr="00364AB6">
        <w:rPr>
          <w:rFonts w:ascii="Arial" w:hAnsi="Arial" w:cs="Arial"/>
          <w:sz w:val="20"/>
          <w:szCs w:val="20"/>
        </w:rPr>
        <w:t xml:space="preserve">   </w:t>
      </w:r>
      <w:r w:rsidR="003413DB" w:rsidRPr="00364AB6">
        <w:rPr>
          <w:rFonts w:ascii="Arial" w:hAnsi="Arial" w:cs="Arial"/>
          <w:sz w:val="20"/>
          <w:szCs w:val="20"/>
        </w:rPr>
        <w:t xml:space="preserve"> </w:t>
      </w:r>
      <w:r w:rsidRPr="00364AB6">
        <w:rPr>
          <w:rFonts w:ascii="Arial" w:hAnsi="Arial" w:cs="Arial"/>
          <w:sz w:val="20"/>
          <w:szCs w:val="20"/>
        </w:rPr>
        <w:t xml:space="preserve">proficiency calculation in their grade 8 year. Students who take biology and NC Math 3 prior to  </w:t>
      </w:r>
    </w:p>
    <w:p w14:paraId="44D90C4D" w14:textId="44F66F9F" w:rsidR="006A0B68" w:rsidRPr="00364AB6" w:rsidRDefault="006A0B68" w:rsidP="006A0B68">
      <w:pPr>
        <w:pStyle w:val="Default"/>
        <w:ind w:firstLine="274"/>
        <w:contextualSpacing/>
        <w:rPr>
          <w:rFonts w:ascii="Arial" w:hAnsi="Arial" w:cs="Arial"/>
          <w:sz w:val="20"/>
          <w:szCs w:val="20"/>
        </w:rPr>
      </w:pPr>
      <w:r w:rsidRPr="00364AB6">
        <w:rPr>
          <w:rFonts w:ascii="Arial" w:hAnsi="Arial" w:cs="Arial"/>
          <w:sz w:val="20"/>
          <w:szCs w:val="20"/>
        </w:rPr>
        <w:t xml:space="preserve">   </w:t>
      </w:r>
      <w:r w:rsidR="003413DB" w:rsidRPr="00364AB6">
        <w:rPr>
          <w:rFonts w:ascii="Arial" w:hAnsi="Arial" w:cs="Arial"/>
          <w:sz w:val="20"/>
          <w:szCs w:val="20"/>
        </w:rPr>
        <w:t xml:space="preserve"> </w:t>
      </w:r>
      <w:r w:rsidRPr="00364AB6">
        <w:rPr>
          <w:rFonts w:ascii="Arial" w:hAnsi="Arial" w:cs="Arial"/>
          <w:sz w:val="20"/>
          <w:szCs w:val="20"/>
        </w:rPr>
        <w:t xml:space="preserve">grade 9 are banked until their grade 9 year and used in proficiency calculations at that </w:t>
      </w:r>
      <w:hyperlink w:anchor="higher" w:history="1">
        <w:r w:rsidRPr="00364AB6">
          <w:rPr>
            <w:rStyle w:val="Hyperlink"/>
            <w:rFonts w:ascii="Arial" w:hAnsi="Arial" w:cs="Arial"/>
            <w:sz w:val="20"/>
            <w:szCs w:val="20"/>
          </w:rPr>
          <w:t>time</w:t>
        </w:r>
      </w:hyperlink>
      <w:r w:rsidRPr="00364AB6">
        <w:rPr>
          <w:rFonts w:ascii="Arial" w:hAnsi="Arial" w:cs="Arial"/>
          <w:sz w:val="20"/>
          <w:szCs w:val="20"/>
        </w:rPr>
        <w:t xml:space="preserve">. </w:t>
      </w:r>
    </w:p>
    <w:p w14:paraId="12850D2E" w14:textId="55B9CD00" w:rsidR="0021513D" w:rsidRDefault="0021513D">
      <w:pPr>
        <w:pStyle w:val="FootnoteText"/>
      </w:pPr>
    </w:p>
  </w:footnote>
  <w:footnote w:id="9">
    <w:p w14:paraId="7791ADCC" w14:textId="243D2EF9" w:rsidR="002418FE" w:rsidRPr="004532E9" w:rsidRDefault="00BC68E1" w:rsidP="002418FE">
      <w:pPr>
        <w:spacing w:line="240" w:lineRule="auto"/>
        <w:contextualSpacing/>
        <w:rPr>
          <w:rFonts w:ascii="Arial" w:hAnsi="Arial" w:cs="Arial"/>
          <w:sz w:val="20"/>
        </w:rPr>
      </w:pPr>
      <w:r w:rsidRPr="00831945">
        <w:rPr>
          <w:rStyle w:val="FootnoteReference"/>
          <w:rFonts w:ascii="Arial" w:hAnsi="Arial" w:cs="Arial"/>
          <w:sz w:val="20"/>
        </w:rPr>
        <w:t>1</w:t>
      </w:r>
      <w:r w:rsidRPr="00831945">
        <w:rPr>
          <w:rFonts w:ascii="Arial" w:hAnsi="Arial" w:cs="Arial"/>
          <w:sz w:val="20"/>
        </w:rPr>
        <w:t xml:space="preserve"> </w:t>
      </w:r>
      <w:r w:rsidR="002418FE" w:rsidRPr="004532E9">
        <w:rPr>
          <w:rFonts w:ascii="Arial" w:hAnsi="Arial" w:cs="Arial"/>
          <w:sz w:val="20"/>
        </w:rPr>
        <w:t xml:space="preserve">Refer to </w:t>
      </w:r>
      <w:r w:rsidR="002418FE" w:rsidRPr="004532E9">
        <w:rPr>
          <w:rFonts w:ascii="Arial" w:hAnsi="Arial" w:cs="Arial"/>
          <w:iCs/>
          <w:sz w:val="20"/>
        </w:rPr>
        <w:t>table</w:t>
      </w:r>
      <w:r w:rsidR="002418FE" w:rsidRPr="004532E9">
        <w:rPr>
          <w:rFonts w:ascii="Arial" w:hAnsi="Arial" w:cs="Arial"/>
          <w:sz w:val="20"/>
        </w:rPr>
        <w:t xml:space="preserve"> 6.3.5.1 for the value </w:t>
      </w:r>
      <w:hyperlink w:anchor="S633" w:history="1">
        <w:r w:rsidR="002418FE" w:rsidRPr="004532E9">
          <w:rPr>
            <w:rStyle w:val="Hyperlink"/>
            <w:rFonts w:ascii="Arial" w:hAnsi="Arial" w:cs="Arial"/>
            <w:sz w:val="20"/>
          </w:rPr>
          <w:t>table</w:t>
        </w:r>
      </w:hyperlink>
      <w:r w:rsidR="002418FE" w:rsidRPr="004532E9">
        <w:rPr>
          <w:rFonts w:ascii="Arial" w:hAnsi="Arial" w:cs="Arial"/>
          <w:sz w:val="20"/>
        </w:rPr>
        <w:t xml:space="preserve">. </w:t>
      </w:r>
    </w:p>
    <w:p w14:paraId="55AEB534" w14:textId="2AC57548" w:rsidR="00BC68E1" w:rsidRDefault="00BC68E1">
      <w:pPr>
        <w:pStyle w:val="FootnoteText"/>
      </w:pPr>
    </w:p>
  </w:footnote>
  <w:footnote w:id="10">
    <w:p w14:paraId="65993252" w14:textId="77777777" w:rsidR="004532E9" w:rsidRPr="004532E9" w:rsidRDefault="006B67A4" w:rsidP="004532E9">
      <w:pPr>
        <w:autoSpaceDE w:val="0"/>
        <w:autoSpaceDN w:val="0"/>
        <w:adjustRightInd w:val="0"/>
        <w:spacing w:line="240" w:lineRule="auto"/>
        <w:contextualSpacing/>
        <w:rPr>
          <w:rFonts w:ascii="Arial" w:hAnsi="Arial" w:cs="Arial"/>
          <w:sz w:val="20"/>
        </w:rPr>
      </w:pPr>
      <w:r w:rsidRPr="00D9247F">
        <w:rPr>
          <w:rStyle w:val="FootnoteReference"/>
          <w:rFonts w:ascii="Arial" w:hAnsi="Arial" w:cs="Arial"/>
          <w:sz w:val="20"/>
        </w:rPr>
        <w:t>2</w:t>
      </w:r>
      <w:r w:rsidRPr="00D9247F">
        <w:rPr>
          <w:rFonts w:ascii="Arial" w:hAnsi="Arial" w:cs="Arial"/>
          <w:sz w:val="20"/>
        </w:rPr>
        <w:t xml:space="preserve"> </w:t>
      </w:r>
      <w:r w:rsidR="004532E9" w:rsidRPr="004532E9">
        <w:rPr>
          <w:rFonts w:ascii="Arial" w:hAnsi="Arial" w:cs="Arial"/>
          <w:sz w:val="20"/>
        </w:rPr>
        <w:t xml:space="preserve">Exit Criteria: Students must attain an overall composite score of 4.5 or higher on the WIDA ACCESS  </w:t>
      </w:r>
    </w:p>
    <w:p w14:paraId="412C6AA0" w14:textId="77777777" w:rsidR="004532E9" w:rsidRPr="004532E9" w:rsidRDefault="004532E9" w:rsidP="004532E9">
      <w:pPr>
        <w:autoSpaceDE w:val="0"/>
        <w:autoSpaceDN w:val="0"/>
        <w:adjustRightInd w:val="0"/>
        <w:spacing w:line="240" w:lineRule="auto"/>
        <w:contextualSpacing/>
        <w:rPr>
          <w:rFonts w:ascii="Arial" w:hAnsi="Arial" w:cs="Arial"/>
          <w:sz w:val="20"/>
        </w:rPr>
      </w:pPr>
      <w:r w:rsidRPr="004532E9">
        <w:rPr>
          <w:rFonts w:ascii="Arial" w:hAnsi="Arial" w:cs="Arial"/>
          <w:sz w:val="20"/>
        </w:rPr>
        <w:t xml:space="preserve">  assessment to exit the EL program. </w:t>
      </w:r>
    </w:p>
    <w:p w14:paraId="5081D8DA" w14:textId="6003591C" w:rsidR="006B67A4" w:rsidRDefault="006B67A4">
      <w:pPr>
        <w:pStyle w:val="FootnoteText"/>
      </w:pPr>
    </w:p>
  </w:footnote>
  <w:footnote w:id="11">
    <w:p w14:paraId="0C5CE654" w14:textId="77777777" w:rsidR="009C02A2" w:rsidRPr="009C02A2" w:rsidRDefault="004532E9" w:rsidP="009C02A2">
      <w:pPr>
        <w:autoSpaceDE w:val="0"/>
        <w:autoSpaceDN w:val="0"/>
        <w:adjustRightInd w:val="0"/>
        <w:spacing w:line="240" w:lineRule="auto"/>
        <w:contextualSpacing/>
        <w:rPr>
          <w:rFonts w:ascii="Arial" w:hAnsi="Arial" w:cs="Arial"/>
          <w:sz w:val="20"/>
        </w:rPr>
      </w:pPr>
      <w:r w:rsidRPr="00D9247F">
        <w:rPr>
          <w:rStyle w:val="FootnoteReference"/>
          <w:rFonts w:ascii="Arial" w:hAnsi="Arial" w:cs="Arial"/>
          <w:sz w:val="20"/>
        </w:rPr>
        <w:t>3</w:t>
      </w:r>
      <w:r w:rsidRPr="00D9247F">
        <w:rPr>
          <w:rFonts w:ascii="Arial" w:hAnsi="Arial" w:cs="Arial"/>
          <w:sz w:val="20"/>
        </w:rPr>
        <w:t xml:space="preserve"> </w:t>
      </w:r>
      <w:r w:rsidR="009C02A2" w:rsidRPr="009C02A2">
        <w:rPr>
          <w:rFonts w:ascii="Arial" w:hAnsi="Arial" w:cs="Arial"/>
          <w:sz w:val="20"/>
        </w:rPr>
        <w:t xml:space="preserve">Students must attain a performance level 2 or higher on the WIDA Alternate ACCESS assessment to  </w:t>
      </w:r>
    </w:p>
    <w:p w14:paraId="62FCEBB2" w14:textId="77777777" w:rsidR="009C02A2" w:rsidRPr="009C02A2" w:rsidRDefault="009C02A2" w:rsidP="009C02A2">
      <w:pPr>
        <w:autoSpaceDE w:val="0"/>
        <w:autoSpaceDN w:val="0"/>
        <w:adjustRightInd w:val="0"/>
        <w:spacing w:line="240" w:lineRule="auto"/>
        <w:contextualSpacing/>
        <w:rPr>
          <w:rFonts w:ascii="Arial" w:hAnsi="Arial" w:cs="Arial"/>
          <w:sz w:val="20"/>
        </w:rPr>
      </w:pPr>
      <w:r w:rsidRPr="009C02A2">
        <w:rPr>
          <w:rFonts w:ascii="Arial" w:hAnsi="Arial" w:cs="Arial"/>
          <w:sz w:val="20"/>
        </w:rPr>
        <w:t xml:space="preserve">  exit the EL program. </w:t>
      </w:r>
    </w:p>
    <w:p w14:paraId="435EB967" w14:textId="1BEAFAEF" w:rsidR="004532E9" w:rsidRDefault="004532E9">
      <w:pPr>
        <w:pStyle w:val="FootnoteText"/>
      </w:pPr>
    </w:p>
  </w:footnote>
  <w:footnote w:id="12">
    <w:p w14:paraId="1D3713CD" w14:textId="77777777" w:rsidR="004C68D0" w:rsidRPr="00445909" w:rsidRDefault="00CD1221" w:rsidP="004C68D0">
      <w:pPr>
        <w:spacing w:line="240" w:lineRule="auto"/>
        <w:rPr>
          <w:rFonts w:ascii="Arial" w:hAnsi="Arial" w:cs="Arial"/>
          <w:sz w:val="20"/>
        </w:rPr>
      </w:pPr>
      <w:r w:rsidRPr="003E6F42">
        <w:rPr>
          <w:rStyle w:val="FootnoteReference"/>
          <w:rFonts w:ascii="Arial" w:hAnsi="Arial" w:cs="Arial"/>
          <w:sz w:val="20"/>
        </w:rPr>
        <w:t>1</w:t>
      </w:r>
      <w:r w:rsidRPr="003E6F42">
        <w:rPr>
          <w:rFonts w:ascii="Arial" w:hAnsi="Arial" w:cs="Arial"/>
          <w:sz w:val="20"/>
        </w:rPr>
        <w:t xml:space="preserve"> </w:t>
      </w:r>
      <w:r w:rsidR="004C68D0" w:rsidRPr="00445909">
        <w:rPr>
          <w:rFonts w:ascii="Arial" w:hAnsi="Arial" w:cs="Arial"/>
          <w:sz w:val="20"/>
        </w:rPr>
        <w:t xml:space="preserve">When groups change tiers, their group number changes as well. </w:t>
      </w:r>
    </w:p>
    <w:p w14:paraId="44AF35CE" w14:textId="64FF4FCD" w:rsidR="00CD1221" w:rsidRDefault="00CD1221">
      <w:pPr>
        <w:pStyle w:val="FootnoteText"/>
      </w:pPr>
    </w:p>
  </w:footnote>
  <w:footnote w:id="13">
    <w:p w14:paraId="0865BED9" w14:textId="77777777" w:rsidR="00C4490A" w:rsidRPr="0090092D" w:rsidRDefault="00C4490A" w:rsidP="00C4490A">
      <w:pPr>
        <w:rPr>
          <w:rFonts w:ascii="Arial" w:hAnsi="Arial" w:cs="Arial"/>
          <w:sz w:val="20"/>
        </w:rPr>
      </w:pPr>
      <w:r w:rsidRPr="003E6F42">
        <w:rPr>
          <w:rStyle w:val="FootnoteReference"/>
          <w:rFonts w:ascii="Arial" w:hAnsi="Arial" w:cs="Arial"/>
          <w:sz w:val="20"/>
        </w:rPr>
        <w:t>2</w:t>
      </w:r>
      <w:r w:rsidRPr="003E6F42">
        <w:rPr>
          <w:rFonts w:ascii="Arial" w:hAnsi="Arial" w:cs="Arial"/>
          <w:sz w:val="20"/>
        </w:rPr>
        <w:t xml:space="preserve"> </w:t>
      </w:r>
      <w:r w:rsidRPr="0090092D">
        <w:rPr>
          <w:rFonts w:ascii="Arial" w:hAnsi="Arial" w:cs="Arial"/>
          <w:sz w:val="20"/>
        </w:rPr>
        <w:t xml:space="preserve">The three-year growth index calculation requires three years of growth indices, an average of the  </w:t>
      </w:r>
    </w:p>
    <w:p w14:paraId="4257304C" w14:textId="77777777" w:rsidR="00C4490A" w:rsidRPr="0090092D" w:rsidRDefault="00C4490A" w:rsidP="00C4490A">
      <w:pPr>
        <w:rPr>
          <w:rFonts w:ascii="Arial" w:hAnsi="Arial" w:cs="Arial"/>
          <w:sz w:val="20"/>
        </w:rPr>
      </w:pPr>
      <w:r w:rsidRPr="0090092D">
        <w:rPr>
          <w:rFonts w:ascii="Arial" w:hAnsi="Arial" w:cs="Arial"/>
          <w:sz w:val="20"/>
        </w:rPr>
        <w:t xml:space="preserve">  index scores, the most recent three years of available data, and a minimum-n of thirty</w:t>
      </w:r>
      <w:r w:rsidRPr="0090092D" w:rsidDel="004C154E">
        <w:rPr>
          <w:rFonts w:ascii="Arial" w:hAnsi="Arial" w:cs="Arial"/>
          <w:sz w:val="20"/>
        </w:rPr>
        <w:t xml:space="preserve"> </w:t>
      </w:r>
      <w:r w:rsidRPr="0090092D">
        <w:rPr>
          <w:rFonts w:ascii="Arial" w:hAnsi="Arial" w:cs="Arial"/>
          <w:sz w:val="20"/>
        </w:rPr>
        <w:t xml:space="preserve">for each of the  </w:t>
      </w:r>
    </w:p>
    <w:p w14:paraId="25E4A68F" w14:textId="77777777" w:rsidR="00C4490A" w:rsidRPr="0090092D" w:rsidRDefault="00C4490A" w:rsidP="00C4490A">
      <w:pPr>
        <w:rPr>
          <w:rFonts w:ascii="Arial" w:hAnsi="Arial" w:cs="Arial"/>
          <w:sz w:val="20"/>
        </w:rPr>
      </w:pPr>
      <w:r w:rsidRPr="0090092D">
        <w:rPr>
          <w:rFonts w:ascii="Arial" w:hAnsi="Arial" w:cs="Arial"/>
          <w:sz w:val="20"/>
        </w:rPr>
        <w:t xml:space="preserve">  three years used. </w:t>
      </w:r>
    </w:p>
    <w:p w14:paraId="3B05AF01" w14:textId="4FD67259" w:rsidR="00C4490A" w:rsidRPr="003E6F42" w:rsidRDefault="00C4490A">
      <w:pPr>
        <w:pStyle w:val="FootnoteText"/>
        <w:rPr>
          <w:rFonts w:ascii="Arial" w:hAnsi="Arial" w:cs="Arial"/>
        </w:rPr>
      </w:pPr>
    </w:p>
  </w:footnote>
  <w:footnote w:id="14">
    <w:p w14:paraId="03CAE9E9" w14:textId="77777777" w:rsidR="0090092D" w:rsidRPr="0090092D" w:rsidRDefault="0090092D" w:rsidP="0090092D">
      <w:pPr>
        <w:rPr>
          <w:rFonts w:ascii="Arial" w:hAnsi="Arial" w:cs="Arial"/>
          <w:sz w:val="20"/>
        </w:rPr>
      </w:pPr>
      <w:r w:rsidRPr="003E6F42">
        <w:rPr>
          <w:rStyle w:val="FootnoteReference"/>
          <w:rFonts w:ascii="Arial" w:hAnsi="Arial" w:cs="Arial"/>
          <w:sz w:val="20"/>
        </w:rPr>
        <w:t>3</w:t>
      </w:r>
      <w:r w:rsidRPr="003E6F42">
        <w:rPr>
          <w:rFonts w:ascii="Arial" w:hAnsi="Arial" w:cs="Arial"/>
          <w:sz w:val="20"/>
        </w:rPr>
        <w:t xml:space="preserve"> </w:t>
      </w:r>
      <w:r w:rsidRPr="0090092D">
        <w:rPr>
          <w:rFonts w:ascii="Arial" w:hAnsi="Arial" w:cs="Arial"/>
          <w:sz w:val="20"/>
        </w:rPr>
        <w:t xml:space="preserve">The score designated for CSI-LP identification is recalculated at the time of CSI-LP identification. The  </w:t>
      </w:r>
    </w:p>
    <w:p w14:paraId="1A7C2FB7" w14:textId="77777777" w:rsidR="0090092D" w:rsidRPr="0090092D" w:rsidRDefault="0090092D" w:rsidP="0090092D">
      <w:pPr>
        <w:rPr>
          <w:rFonts w:ascii="Arial" w:hAnsi="Arial" w:cs="Arial"/>
          <w:sz w:val="20"/>
        </w:rPr>
      </w:pPr>
      <w:r w:rsidRPr="0090092D">
        <w:rPr>
          <w:rFonts w:ascii="Arial" w:hAnsi="Arial" w:cs="Arial"/>
          <w:sz w:val="20"/>
        </w:rPr>
        <w:t xml:space="preserve">   score calculated for the most recent identification year is used for exit purposes during non- </w:t>
      </w:r>
    </w:p>
    <w:p w14:paraId="293F4F6E" w14:textId="77777777" w:rsidR="0090092D" w:rsidRPr="0090092D" w:rsidRDefault="0090092D" w:rsidP="0090092D">
      <w:pPr>
        <w:rPr>
          <w:rFonts w:ascii="Arial" w:hAnsi="Arial" w:cs="Arial"/>
          <w:sz w:val="20"/>
        </w:rPr>
      </w:pPr>
      <w:r w:rsidRPr="0090092D">
        <w:rPr>
          <w:rFonts w:ascii="Arial" w:hAnsi="Arial" w:cs="Arial"/>
          <w:sz w:val="20"/>
        </w:rPr>
        <w:t xml:space="preserve">   identification years.  </w:t>
      </w:r>
    </w:p>
    <w:p w14:paraId="702E2FE6" w14:textId="7CD70187" w:rsidR="0090092D" w:rsidRDefault="0090092D">
      <w:pPr>
        <w:pStyle w:val="FootnoteText"/>
      </w:pPr>
    </w:p>
  </w:footnote>
  <w:footnote w:id="15">
    <w:p w14:paraId="4F23FA76" w14:textId="77777777" w:rsidR="00455947" w:rsidRPr="00455947" w:rsidRDefault="0005014F" w:rsidP="00455947">
      <w:pPr>
        <w:rPr>
          <w:rFonts w:ascii="Arial" w:hAnsi="Arial" w:cs="Arial"/>
          <w:sz w:val="20"/>
        </w:rPr>
      </w:pPr>
      <w:r w:rsidRPr="003E6F42">
        <w:rPr>
          <w:rStyle w:val="FootnoteReference"/>
          <w:rFonts w:ascii="Arial" w:hAnsi="Arial" w:cs="Arial"/>
          <w:sz w:val="20"/>
        </w:rPr>
        <w:t>4</w:t>
      </w:r>
      <w:r w:rsidRPr="003E6F42">
        <w:rPr>
          <w:rFonts w:ascii="Arial" w:hAnsi="Arial" w:cs="Arial"/>
          <w:sz w:val="20"/>
        </w:rPr>
        <w:t xml:space="preserve"> </w:t>
      </w:r>
      <w:r w:rsidR="00455947" w:rsidRPr="00455947">
        <w:rPr>
          <w:rFonts w:ascii="Arial" w:hAnsi="Arial" w:cs="Arial"/>
          <w:sz w:val="20"/>
        </w:rPr>
        <w:t xml:space="preserve">The three-year growth index calculation requires three years of growth indices, an average of the  </w:t>
      </w:r>
    </w:p>
    <w:p w14:paraId="324C5E61" w14:textId="77777777" w:rsidR="00455947" w:rsidRPr="00455947" w:rsidRDefault="00455947" w:rsidP="00455947">
      <w:pPr>
        <w:rPr>
          <w:rFonts w:ascii="Arial" w:hAnsi="Arial" w:cs="Arial"/>
          <w:sz w:val="20"/>
        </w:rPr>
      </w:pPr>
      <w:r w:rsidRPr="00455947">
        <w:rPr>
          <w:rFonts w:ascii="Arial" w:hAnsi="Arial" w:cs="Arial"/>
          <w:sz w:val="20"/>
        </w:rPr>
        <w:t xml:space="preserve">  index scores, the most recent three years of available data, and a minimum-n of thirty for each of the  </w:t>
      </w:r>
    </w:p>
    <w:p w14:paraId="36CD7D17" w14:textId="77777777" w:rsidR="00455947" w:rsidRPr="00455947" w:rsidRDefault="00455947" w:rsidP="00455947">
      <w:pPr>
        <w:rPr>
          <w:rFonts w:ascii="Arial" w:hAnsi="Arial" w:cs="Arial"/>
          <w:sz w:val="20"/>
        </w:rPr>
      </w:pPr>
      <w:r w:rsidRPr="00455947">
        <w:rPr>
          <w:rFonts w:ascii="Arial" w:hAnsi="Arial" w:cs="Arial"/>
          <w:sz w:val="20"/>
        </w:rPr>
        <w:t xml:space="preserve">  three years used. </w:t>
      </w:r>
    </w:p>
    <w:p w14:paraId="5EE37A30" w14:textId="0444AAA2" w:rsidR="0005014F" w:rsidRDefault="0005014F">
      <w:pPr>
        <w:pStyle w:val="FootnoteText"/>
      </w:pPr>
    </w:p>
  </w:footnote>
  <w:footnote w:id="16">
    <w:p w14:paraId="55760A59" w14:textId="77777777" w:rsidR="00455947" w:rsidRDefault="00455947" w:rsidP="00455947">
      <w:pPr>
        <w:rPr>
          <w:rFonts w:ascii="Arial" w:hAnsi="Arial" w:cs="Arial"/>
          <w:sz w:val="20"/>
        </w:rPr>
      </w:pPr>
      <w:r>
        <w:rPr>
          <w:rStyle w:val="FootnoteReference"/>
        </w:rPr>
        <w:t>5</w:t>
      </w:r>
      <w:r>
        <w:t xml:space="preserve"> </w:t>
      </w:r>
      <w:r w:rsidRPr="001427AF">
        <w:rPr>
          <w:rFonts w:ascii="Arial" w:hAnsi="Arial" w:cs="Arial"/>
          <w:sz w:val="20"/>
        </w:rPr>
        <w:t xml:space="preserve">The score designated for CSI-LP identification is recalculated at the time of CSI-LP identification. The </w:t>
      </w:r>
      <w:r>
        <w:rPr>
          <w:rFonts w:ascii="Arial" w:hAnsi="Arial" w:cs="Arial"/>
          <w:sz w:val="20"/>
        </w:rPr>
        <w:t xml:space="preserve"> </w:t>
      </w:r>
    </w:p>
    <w:p w14:paraId="2C77D180" w14:textId="77777777" w:rsidR="00455947" w:rsidRDefault="00455947" w:rsidP="00455947">
      <w:pPr>
        <w:rPr>
          <w:rFonts w:ascii="Arial" w:hAnsi="Arial" w:cs="Arial"/>
          <w:sz w:val="20"/>
        </w:rPr>
      </w:pPr>
      <w:r>
        <w:rPr>
          <w:rFonts w:ascii="Arial" w:hAnsi="Arial" w:cs="Arial"/>
          <w:sz w:val="20"/>
        </w:rPr>
        <w:t xml:space="preserve">  </w:t>
      </w:r>
      <w:r w:rsidRPr="001427AF">
        <w:rPr>
          <w:rFonts w:ascii="Arial" w:hAnsi="Arial" w:cs="Arial"/>
          <w:sz w:val="20"/>
        </w:rPr>
        <w:t xml:space="preserve">score calculated for the most recent identification year </w:t>
      </w:r>
      <w:r>
        <w:rPr>
          <w:rFonts w:ascii="Arial" w:hAnsi="Arial" w:cs="Arial"/>
          <w:sz w:val="20"/>
        </w:rPr>
        <w:t>is</w:t>
      </w:r>
      <w:r w:rsidRPr="001427AF">
        <w:rPr>
          <w:rFonts w:ascii="Arial" w:hAnsi="Arial" w:cs="Arial"/>
          <w:sz w:val="20"/>
        </w:rPr>
        <w:t xml:space="preserve"> used for exit purposes during non-</w:t>
      </w:r>
      <w:r>
        <w:rPr>
          <w:rFonts w:ascii="Arial" w:hAnsi="Arial" w:cs="Arial"/>
          <w:sz w:val="20"/>
        </w:rPr>
        <w:t xml:space="preserve">  </w:t>
      </w:r>
    </w:p>
    <w:p w14:paraId="0BACD4D3" w14:textId="77777777" w:rsidR="00455947" w:rsidRDefault="00455947" w:rsidP="00455947">
      <w:pPr>
        <w:rPr>
          <w:rFonts w:ascii="Arial" w:hAnsi="Arial" w:cs="Arial"/>
          <w:sz w:val="20"/>
        </w:rPr>
      </w:pPr>
      <w:r>
        <w:rPr>
          <w:rFonts w:ascii="Arial" w:hAnsi="Arial" w:cs="Arial"/>
          <w:sz w:val="20"/>
        </w:rPr>
        <w:t xml:space="preserve">  </w:t>
      </w:r>
      <w:r w:rsidRPr="001427AF">
        <w:rPr>
          <w:rFonts w:ascii="Arial" w:hAnsi="Arial" w:cs="Arial"/>
          <w:sz w:val="20"/>
        </w:rPr>
        <w:t xml:space="preserve">identification years.  </w:t>
      </w:r>
    </w:p>
    <w:p w14:paraId="006D5469" w14:textId="77777777" w:rsidR="00455947" w:rsidRDefault="00455947">
      <w:pPr>
        <w:pStyle w:val="FootnoteText"/>
      </w:pPr>
    </w:p>
  </w:footnote>
  <w:footnote w:id="17">
    <w:p w14:paraId="1C2FF366" w14:textId="3CE4990B" w:rsidR="0067517D" w:rsidRDefault="0067517D">
      <w:pPr>
        <w:pStyle w:val="FootnoteText"/>
      </w:pPr>
      <w:r>
        <w:rPr>
          <w:rStyle w:val="FootnoteReference"/>
        </w:rPr>
        <w:t>1</w:t>
      </w:r>
      <w:r>
        <w:t xml:space="preserve"> </w:t>
      </w:r>
      <w:r w:rsidRPr="00EF6288">
        <w:rPr>
          <w:rFonts w:ascii="Arial" w:hAnsi="Arial" w:cs="Arial"/>
          <w:color w:val="auto"/>
        </w:rPr>
        <w:t>Except students taking NC Math 3 in high school who are on the standard pathway. </w:t>
      </w:r>
    </w:p>
  </w:footnote>
  <w:footnote w:id="18">
    <w:p w14:paraId="636A72D0" w14:textId="77777777" w:rsidR="00CB58D4" w:rsidRDefault="004E4194" w:rsidP="00CB58D4">
      <w:pPr>
        <w:spacing w:line="240" w:lineRule="auto"/>
        <w:rPr>
          <w:rFonts w:ascii="Arial" w:hAnsi="Arial" w:cs="Arial"/>
          <w:color w:val="auto"/>
          <w:sz w:val="20"/>
        </w:rPr>
      </w:pPr>
      <w:r>
        <w:rPr>
          <w:rStyle w:val="FootnoteReference"/>
        </w:rPr>
        <w:t>2</w:t>
      </w:r>
      <w:r>
        <w:t xml:space="preserve"> </w:t>
      </w:r>
      <w:r w:rsidR="00CB58D4" w:rsidRPr="00EF6288">
        <w:rPr>
          <w:rFonts w:ascii="Arial" w:hAnsi="Arial" w:cs="Arial"/>
          <w:color w:val="auto"/>
          <w:sz w:val="20"/>
        </w:rPr>
        <w:t xml:space="preserve">The ACT and WorkKeys will be reported as separate performance measures. Participation will be </w:t>
      </w:r>
      <w:r w:rsidR="00CB58D4">
        <w:rPr>
          <w:rFonts w:ascii="Arial" w:hAnsi="Arial" w:cs="Arial"/>
          <w:color w:val="auto"/>
          <w:sz w:val="20"/>
        </w:rPr>
        <w:t xml:space="preserve"> </w:t>
      </w:r>
    </w:p>
    <w:p w14:paraId="05C36FA1" w14:textId="2629EE42" w:rsidR="00CB58D4" w:rsidRPr="00EF6288" w:rsidRDefault="00CB58D4" w:rsidP="00CB58D4">
      <w:pPr>
        <w:spacing w:line="240" w:lineRule="auto"/>
        <w:rPr>
          <w:rFonts w:ascii="Arial" w:hAnsi="Arial" w:cs="Arial"/>
          <w:color w:val="auto"/>
          <w:sz w:val="20"/>
        </w:rPr>
      </w:pPr>
      <w:r>
        <w:rPr>
          <w:rFonts w:ascii="Arial" w:hAnsi="Arial" w:cs="Arial"/>
          <w:color w:val="auto"/>
          <w:sz w:val="20"/>
        </w:rPr>
        <w:t xml:space="preserve">  </w:t>
      </w:r>
      <w:r w:rsidRPr="00EF6288">
        <w:rPr>
          <w:rFonts w:ascii="Arial" w:hAnsi="Arial" w:cs="Arial"/>
          <w:color w:val="auto"/>
          <w:sz w:val="20"/>
        </w:rPr>
        <w:t xml:space="preserve">calculated for both as detailed in the participation business rules located in Section 3 of this </w:t>
      </w:r>
      <w:hyperlink w:anchor="T1121" w:history="1">
        <w:r w:rsidRPr="00CB58D4">
          <w:rPr>
            <w:rStyle w:val="Hyperlink"/>
            <w:rFonts w:ascii="Arial" w:hAnsi="Arial" w:cs="Arial"/>
            <w:sz w:val="20"/>
          </w:rPr>
          <w:t>guide</w:t>
        </w:r>
      </w:hyperlink>
      <w:r w:rsidRPr="00EF6288">
        <w:rPr>
          <w:rFonts w:ascii="Arial" w:hAnsi="Arial" w:cs="Arial"/>
          <w:color w:val="auto"/>
          <w:sz w:val="20"/>
        </w:rPr>
        <w:t>.</w:t>
      </w:r>
    </w:p>
    <w:p w14:paraId="7B79E64A" w14:textId="359E33B4" w:rsidR="004E4194" w:rsidRDefault="004E419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2F5D" w14:textId="5ABEA40A" w:rsidR="00862C50" w:rsidRPr="00286CC4" w:rsidRDefault="00732CDB" w:rsidP="008C7E86">
    <w:pPr>
      <w:rPr>
        <w:rFonts w:ascii="Arial" w:hAnsi="Arial" w:cs="Arial"/>
      </w:rPr>
    </w:pPr>
    <w:sdt>
      <w:sdtPr>
        <w:rPr>
          <w:rFonts w:ascii="Arial" w:hAnsi="Arial" w:cs="Arial"/>
        </w:rPr>
        <w:id w:val="1572622002"/>
        <w:docPartObj>
          <w:docPartGallery w:val="Page Numbers (Top of Page)"/>
          <w:docPartUnique/>
        </w:docPartObj>
      </w:sdtPr>
      <w:sdtEndPr>
        <w:rPr>
          <w:noProof/>
        </w:rPr>
      </w:sdtEndPr>
      <w:sdtContent>
        <w:r w:rsidR="00E20C45" w:rsidRPr="00286CC4">
          <w:rPr>
            <w:rFonts w:ascii="Arial" w:hAnsi="Arial" w:cs="Arial"/>
            <w:sz w:val="20"/>
          </w:rPr>
          <w:t>202</w:t>
        </w:r>
        <w:r w:rsidR="0033051A">
          <w:rPr>
            <w:rFonts w:ascii="Arial" w:hAnsi="Arial" w:cs="Arial"/>
            <w:sz w:val="20"/>
          </w:rPr>
          <w:t>5</w:t>
        </w:r>
        <w:r w:rsidR="00E20C45" w:rsidRPr="00286CC4">
          <w:rPr>
            <w:rFonts w:ascii="Arial" w:hAnsi="Arial" w:cs="Arial"/>
            <w:sz w:val="20"/>
          </w:rPr>
          <w:t>–2</w:t>
        </w:r>
        <w:r w:rsidR="0033051A">
          <w:rPr>
            <w:rFonts w:ascii="Arial" w:hAnsi="Arial" w:cs="Arial"/>
            <w:sz w:val="20"/>
          </w:rPr>
          <w:t>6</w:t>
        </w:r>
        <w:r w:rsidR="00E20C45" w:rsidRPr="00286CC4">
          <w:rPr>
            <w:rFonts w:ascii="Arial" w:hAnsi="Arial" w:cs="Arial"/>
            <w:sz w:val="20"/>
          </w:rPr>
          <w:t xml:space="preserve"> Technical Guide for Accountability and </w:t>
        </w:r>
        <w:r w:rsidR="00930E63" w:rsidRPr="00286CC4">
          <w:rPr>
            <w:rFonts w:ascii="Arial" w:hAnsi="Arial" w:cs="Arial"/>
            <w:sz w:val="20"/>
          </w:rPr>
          <w:t>T</w:t>
        </w:r>
        <w:r w:rsidR="00E20C45" w:rsidRPr="00286CC4">
          <w:rPr>
            <w:rFonts w:ascii="Arial" w:hAnsi="Arial" w:cs="Arial"/>
            <w:sz w:val="20"/>
          </w:rPr>
          <w:t xml:space="preserve">esting Results </w:t>
        </w:r>
        <w:r w:rsidR="00930E63" w:rsidRPr="00286CC4">
          <w:rPr>
            <w:rFonts w:ascii="Arial" w:hAnsi="Arial" w:cs="Arial"/>
            <w:sz w:val="20"/>
          </w:rPr>
          <w:t xml:space="preserve">                     </w:t>
        </w:r>
        <w:r w:rsidR="00286CC4">
          <w:rPr>
            <w:rFonts w:ascii="Arial" w:hAnsi="Arial" w:cs="Arial"/>
            <w:sz w:val="20"/>
          </w:rPr>
          <w:t xml:space="preserve"> </w:t>
        </w:r>
        <w:r w:rsidR="00930E63" w:rsidRPr="00286CC4">
          <w:rPr>
            <w:rFonts w:ascii="Arial" w:hAnsi="Arial" w:cs="Arial"/>
            <w:sz w:val="20"/>
          </w:rPr>
          <w:t xml:space="preserve">       </w:t>
        </w:r>
        <w:r w:rsidR="005C3DB0" w:rsidRPr="00286CC4">
          <w:rPr>
            <w:rFonts w:ascii="Arial" w:hAnsi="Arial" w:cs="Arial"/>
            <w:sz w:val="20"/>
          </w:rPr>
          <w:t xml:space="preserve"> </w:t>
        </w:r>
        <w:r w:rsidR="00930E63" w:rsidRPr="00286CC4">
          <w:rPr>
            <w:rFonts w:ascii="Arial" w:hAnsi="Arial" w:cs="Arial"/>
            <w:sz w:val="20"/>
          </w:rPr>
          <w:t xml:space="preserve">                      </w:t>
        </w:r>
        <w:r w:rsidR="007A0DFD" w:rsidRPr="00286CC4">
          <w:rPr>
            <w:rFonts w:ascii="Arial" w:hAnsi="Arial" w:cs="Arial"/>
            <w:sz w:val="20"/>
          </w:rPr>
          <w:tab/>
        </w:r>
        <w:r w:rsidR="007A0DFD" w:rsidRPr="00286CC4">
          <w:rPr>
            <w:rFonts w:ascii="Arial" w:hAnsi="Arial" w:cs="Arial"/>
            <w:sz w:val="20"/>
          </w:rPr>
          <w:fldChar w:fldCharType="begin"/>
        </w:r>
        <w:r w:rsidR="007A0DFD" w:rsidRPr="00286CC4">
          <w:rPr>
            <w:rFonts w:ascii="Arial" w:hAnsi="Arial" w:cs="Arial"/>
            <w:sz w:val="20"/>
          </w:rPr>
          <w:instrText xml:space="preserve"> PAGE   \* MERGEFORMAT </w:instrText>
        </w:r>
        <w:r w:rsidR="007A0DFD" w:rsidRPr="00286CC4">
          <w:rPr>
            <w:rFonts w:ascii="Arial" w:hAnsi="Arial" w:cs="Arial"/>
            <w:sz w:val="20"/>
          </w:rPr>
          <w:fldChar w:fldCharType="separate"/>
        </w:r>
        <w:r w:rsidR="007A0DFD" w:rsidRPr="00286CC4">
          <w:rPr>
            <w:rFonts w:ascii="Arial" w:hAnsi="Arial" w:cs="Arial"/>
            <w:noProof/>
            <w:sz w:val="20"/>
          </w:rPr>
          <w:t>1</w:t>
        </w:r>
        <w:r w:rsidR="007A0DFD" w:rsidRPr="00286CC4">
          <w:rPr>
            <w:rFonts w:ascii="Arial" w:hAnsi="Arial" w:cs="Arial"/>
            <w:noProof/>
            <w:sz w:val="20"/>
          </w:rPr>
          <w:fldChar w:fldCharType="end"/>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8754" w14:textId="6813AEF4" w:rsidR="004B5F81" w:rsidRDefault="004B5F8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98D1" w14:textId="781CF2CB" w:rsidR="00DD28CF" w:rsidRDefault="00DD28C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3EC0" w14:textId="099B4685" w:rsidR="00DD28CF" w:rsidRPr="00A07A5E" w:rsidRDefault="00DD28CF" w:rsidP="00DE37F3">
    <w:pPr>
      <w:pStyle w:val="Header"/>
      <w:rPr>
        <w:rFonts w:ascii="Arial" w:hAnsi="Arial" w:cs="Arial"/>
      </w:rPr>
    </w:pPr>
    <w:r w:rsidRPr="00A07A5E">
      <w:rPr>
        <w:rFonts w:ascii="Arial" w:hAnsi="Arial" w:cs="Arial"/>
        <w:sz w:val="20"/>
      </w:rPr>
      <w:t>202</w:t>
    </w:r>
    <w:r w:rsidR="00BE480E">
      <w:rPr>
        <w:rFonts w:ascii="Arial" w:hAnsi="Arial" w:cs="Arial"/>
        <w:sz w:val="20"/>
      </w:rPr>
      <w:t>5</w:t>
    </w:r>
    <w:r w:rsidRPr="00A07A5E">
      <w:rPr>
        <w:rFonts w:ascii="Arial" w:hAnsi="Arial" w:cs="Arial"/>
        <w:sz w:val="20"/>
      </w:rPr>
      <w:t>–2</w:t>
    </w:r>
    <w:r w:rsidR="00BE480E">
      <w:rPr>
        <w:rFonts w:ascii="Arial" w:hAnsi="Arial" w:cs="Arial"/>
        <w:sz w:val="20"/>
      </w:rPr>
      <w:t>6</w:t>
    </w:r>
    <w:r w:rsidRPr="00A07A5E">
      <w:rPr>
        <w:rFonts w:ascii="Arial" w:hAnsi="Arial" w:cs="Arial"/>
        <w:sz w:val="20"/>
      </w:rPr>
      <w:t xml:space="preserve"> Technical Guide for Accountability and Testing Results</w:t>
    </w:r>
    <w:r w:rsidRPr="00A07A5E">
      <w:rPr>
        <w:rFonts w:ascii="Arial" w:hAnsi="Arial" w:cs="Arial"/>
      </w:rPr>
      <w:t xml:space="preserve">                                                   </w:t>
    </w:r>
    <w:sdt>
      <w:sdtPr>
        <w:rPr>
          <w:rFonts w:ascii="Arial" w:hAnsi="Arial" w:cs="Arial"/>
          <w:sz w:val="20"/>
        </w:rPr>
        <w:id w:val="1322466323"/>
        <w:docPartObj>
          <w:docPartGallery w:val="Page Numbers (Top of Page)"/>
          <w:docPartUnique/>
        </w:docPartObj>
      </w:sdtPr>
      <w:sdtEndPr>
        <w:rPr>
          <w:noProof/>
          <w:sz w:val="24"/>
        </w:rPr>
      </w:sdtEndPr>
      <w:sdtContent>
        <w:r w:rsidRPr="00A07A5E">
          <w:rPr>
            <w:rFonts w:ascii="Arial" w:hAnsi="Arial" w:cs="Arial"/>
            <w:sz w:val="20"/>
          </w:rPr>
          <w:fldChar w:fldCharType="begin"/>
        </w:r>
        <w:r w:rsidRPr="00A07A5E">
          <w:rPr>
            <w:rFonts w:ascii="Arial" w:hAnsi="Arial" w:cs="Arial"/>
            <w:sz w:val="20"/>
          </w:rPr>
          <w:instrText xml:space="preserve"> PAGE   \* MERGEFORMAT </w:instrText>
        </w:r>
        <w:r w:rsidRPr="00A07A5E">
          <w:rPr>
            <w:rFonts w:ascii="Arial" w:hAnsi="Arial" w:cs="Arial"/>
            <w:sz w:val="20"/>
          </w:rPr>
          <w:fldChar w:fldCharType="separate"/>
        </w:r>
        <w:r w:rsidRPr="00A07A5E">
          <w:rPr>
            <w:rFonts w:ascii="Arial" w:hAnsi="Arial" w:cs="Arial"/>
            <w:noProof/>
            <w:sz w:val="20"/>
          </w:rPr>
          <w:t>2</w:t>
        </w:r>
        <w:r w:rsidRPr="00A07A5E">
          <w:rPr>
            <w:rFonts w:ascii="Arial" w:hAnsi="Arial" w:cs="Arial"/>
            <w:noProof/>
            <w:sz w:val="20"/>
          </w:rPr>
          <w:fldChar w:fldCharType="end"/>
        </w:r>
      </w:sdtContent>
    </w:sdt>
  </w:p>
  <w:p w14:paraId="0B371F00" w14:textId="77777777" w:rsidR="00DD28CF" w:rsidRDefault="00DD28C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250D" w14:textId="016418ED" w:rsidR="00DD28CF" w:rsidRPr="000D2E5A" w:rsidRDefault="00DD28CF" w:rsidP="000D2E5A">
    <w:pPr>
      <w:pStyle w:val="Header"/>
      <w:tabs>
        <w:tab w:val="clear" w:pos="4320"/>
      </w:tabs>
      <w:rPr>
        <w:sz w:val="20"/>
      </w:rPr>
    </w:pPr>
    <w:r w:rsidRPr="000D2E5A">
      <w:rPr>
        <w:sz w:val="20"/>
      </w:rPr>
      <w:t xml:space="preserve">Technical Guide for School Grades      </w:t>
    </w:r>
    <w:r w:rsidRPr="000D2E5A" w:rsidDel="00816A5F">
      <w:rPr>
        <w:sz w:val="20"/>
      </w:rPr>
      <w:t xml:space="preserve">  </w:t>
    </w:r>
    <w:r w:rsidDel="00816A5F">
      <w:rPr>
        <w:sz w:val="20"/>
      </w:rPr>
      <w:t xml:space="preserve">                                        </w:t>
    </w:r>
    <w:r>
      <w:rPr>
        <w:sz w:val="20"/>
      </w:rPr>
      <w:t xml:space="preserve">                                                                    </w:t>
    </w:r>
    <w:r w:rsidRPr="000D2E5A">
      <w:rPr>
        <w:sz w:val="20"/>
      </w:rPr>
      <w:t xml:space="preserve">          </w:t>
    </w:r>
    <w:sdt>
      <w:sdtPr>
        <w:rPr>
          <w:sz w:val="20"/>
        </w:rPr>
        <w:id w:val="1894696846"/>
        <w:docPartObj>
          <w:docPartGallery w:val="Page Numbers (Top of Page)"/>
          <w:docPartUnique/>
        </w:docPartObj>
      </w:sdtPr>
      <w:sdtEndPr>
        <w:rPr>
          <w:noProof/>
        </w:rPr>
      </w:sdtEndPr>
      <w:sdtContent>
        <w:r w:rsidRPr="000D2E5A">
          <w:rPr>
            <w:sz w:val="20"/>
          </w:rPr>
          <w:fldChar w:fldCharType="begin"/>
        </w:r>
        <w:r w:rsidRPr="00195D70">
          <w:rPr>
            <w:sz w:val="20"/>
          </w:rPr>
          <w:instrText xml:space="preserve"> PAGE   \* MERGEFORMAT </w:instrText>
        </w:r>
        <w:r w:rsidRPr="000D2E5A">
          <w:rPr>
            <w:sz w:val="20"/>
          </w:rPr>
          <w:fldChar w:fldCharType="separate"/>
        </w:r>
        <w:r w:rsidRPr="00195D70">
          <w:rPr>
            <w:sz w:val="20"/>
          </w:rPr>
          <w:t>2</w:t>
        </w:r>
        <w:r w:rsidRPr="000D2E5A">
          <w:rPr>
            <w:noProof/>
            <w:sz w:val="20"/>
          </w:rPr>
          <w:fldChar w:fldCharType="end"/>
        </w:r>
      </w:sdtContent>
    </w:sdt>
  </w:p>
  <w:p w14:paraId="10D85DB6" w14:textId="77777777" w:rsidR="00DD28CF" w:rsidRDefault="00DD28C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857F" w14:textId="33A0C625" w:rsidR="004B5F81" w:rsidRDefault="004B5F8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DB1D" w14:textId="24ED0335" w:rsidR="004B5F81" w:rsidRDefault="004B5F8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C794" w14:textId="16A76920" w:rsidR="004B5F81" w:rsidRDefault="004B5F8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9265" w14:textId="684ABFA7" w:rsidR="004B5F81" w:rsidRDefault="004B5F8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A58D" w14:textId="42112D0F" w:rsidR="00236A21" w:rsidRDefault="00236A2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1798" w14:textId="27FA62EE" w:rsidR="00834A3D" w:rsidRPr="0085022B" w:rsidRDefault="00834A3D" w:rsidP="0085022B">
    <w:pPr>
      <w:pStyle w:val="Header"/>
      <w:rPr>
        <w:rFonts w:ascii="Arial" w:hAnsi="Arial" w:cs="Arial"/>
      </w:rPr>
    </w:pPr>
    <w:r w:rsidRPr="0085022B">
      <w:rPr>
        <w:rFonts w:ascii="Arial" w:hAnsi="Arial" w:cs="Arial"/>
        <w:sz w:val="20"/>
      </w:rPr>
      <w:t>202</w:t>
    </w:r>
    <w:r w:rsidR="003A7AF0">
      <w:rPr>
        <w:rFonts w:ascii="Arial" w:hAnsi="Arial" w:cs="Arial"/>
        <w:sz w:val="20"/>
      </w:rPr>
      <w:t>5</w:t>
    </w:r>
    <w:r w:rsidRPr="0085022B">
      <w:rPr>
        <w:rFonts w:ascii="Arial" w:hAnsi="Arial" w:cs="Arial"/>
        <w:sz w:val="20"/>
      </w:rPr>
      <w:t>–2</w:t>
    </w:r>
    <w:r w:rsidR="003A7AF0">
      <w:rPr>
        <w:rFonts w:ascii="Arial" w:hAnsi="Arial" w:cs="Arial"/>
        <w:sz w:val="20"/>
      </w:rPr>
      <w:t>6</w:t>
    </w:r>
    <w:r w:rsidRPr="0085022B">
      <w:rPr>
        <w:rFonts w:ascii="Arial" w:hAnsi="Arial" w:cs="Arial"/>
        <w:sz w:val="20"/>
      </w:rPr>
      <w:t xml:space="preserve"> Technical Guide for Accountability and Testing Results</w:t>
    </w:r>
    <w:r w:rsidR="00B47631">
      <w:rPr>
        <w:rFonts w:ascii="Arial" w:hAnsi="Arial" w:cs="Arial"/>
        <w:sz w:val="20"/>
      </w:rPr>
      <w:t xml:space="preserve"> </w:t>
    </w:r>
    <w:r w:rsidRPr="0085022B">
      <w:rPr>
        <w:rFonts w:ascii="Arial" w:hAnsi="Arial" w:cs="Arial"/>
      </w:rPr>
      <w:t xml:space="preserve">                                          </w:t>
    </w:r>
    <w:r w:rsidR="004A0183" w:rsidRPr="0085022B">
      <w:rPr>
        <w:rFonts w:ascii="Arial" w:hAnsi="Arial" w:cs="Arial"/>
      </w:rPr>
      <w:t xml:space="preserve">     </w:t>
    </w:r>
    <w:sdt>
      <w:sdtPr>
        <w:rPr>
          <w:rFonts w:ascii="Arial" w:hAnsi="Arial" w:cs="Arial"/>
          <w:sz w:val="20"/>
        </w:rPr>
        <w:id w:val="1920440538"/>
        <w:docPartObj>
          <w:docPartGallery w:val="Page Numbers (Top of Page)"/>
          <w:docPartUnique/>
        </w:docPartObj>
      </w:sdtPr>
      <w:sdtEndPr>
        <w:rPr>
          <w:noProof/>
          <w:sz w:val="24"/>
        </w:rPr>
      </w:sdtEndPr>
      <w:sdtContent>
        <w:r w:rsidRPr="0085022B">
          <w:rPr>
            <w:rFonts w:ascii="Arial" w:hAnsi="Arial" w:cs="Arial"/>
            <w:sz w:val="20"/>
          </w:rPr>
          <w:fldChar w:fldCharType="begin"/>
        </w:r>
        <w:r w:rsidRPr="0085022B">
          <w:rPr>
            <w:rFonts w:ascii="Arial" w:hAnsi="Arial" w:cs="Arial"/>
            <w:sz w:val="20"/>
          </w:rPr>
          <w:instrText xml:space="preserve"> PAGE   \* MERGEFORMAT </w:instrText>
        </w:r>
        <w:r w:rsidRPr="0085022B">
          <w:rPr>
            <w:rFonts w:ascii="Arial" w:hAnsi="Arial" w:cs="Arial"/>
            <w:sz w:val="20"/>
          </w:rPr>
          <w:fldChar w:fldCharType="separate"/>
        </w:r>
        <w:r w:rsidRPr="0085022B">
          <w:rPr>
            <w:rFonts w:ascii="Arial" w:hAnsi="Arial" w:cs="Arial"/>
            <w:noProof/>
            <w:sz w:val="20"/>
          </w:rPr>
          <w:t>2</w:t>
        </w:r>
        <w:r w:rsidRPr="0085022B">
          <w:rPr>
            <w:rFonts w:ascii="Arial" w:hAnsi="Arial" w:cs="Arial"/>
            <w:noProof/>
            <w:sz w:val="20"/>
          </w:rPr>
          <w:fldChar w:fldCharType="end"/>
        </w:r>
      </w:sdtContent>
    </w:sdt>
  </w:p>
  <w:p w14:paraId="5EB8E295" w14:textId="22745A27" w:rsidR="00834A3D" w:rsidRDefault="00834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F4D2" w14:textId="6E140CAF" w:rsidR="000D1585" w:rsidRDefault="000D158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EC4D" w14:textId="2F78A2FA" w:rsidR="00236A21" w:rsidRDefault="00236A2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0C89" w14:textId="08AC1F65" w:rsidR="000349DB" w:rsidRDefault="000349DB">
    <w:pPr>
      <w:pStyle w:val="Header"/>
    </w:pPr>
  </w:p>
  <w:p w14:paraId="5C11AA63" w14:textId="2207B97E" w:rsidR="000349DB" w:rsidRDefault="000349D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1CC2" w14:textId="0A6EC473" w:rsidR="000D1585" w:rsidRPr="003B3301" w:rsidRDefault="00DC0462">
    <w:pPr>
      <w:pStyle w:val="Header"/>
      <w:rPr>
        <w:rFonts w:ascii="Arial" w:hAnsi="Arial" w:cs="Arial"/>
      </w:rPr>
    </w:pPr>
    <w:r w:rsidRPr="003A7AF0">
      <w:rPr>
        <w:rFonts w:ascii="Arial" w:hAnsi="Arial" w:cs="Arial"/>
        <w:sz w:val="20"/>
      </w:rPr>
      <w:t>202</w:t>
    </w:r>
    <w:r w:rsidR="003A7AF0" w:rsidRPr="003A7AF0">
      <w:rPr>
        <w:rFonts w:ascii="Arial" w:hAnsi="Arial" w:cs="Arial"/>
        <w:sz w:val="20"/>
      </w:rPr>
      <w:t>5</w:t>
    </w:r>
    <w:r w:rsidRPr="003A7AF0">
      <w:rPr>
        <w:rFonts w:ascii="Arial" w:hAnsi="Arial" w:cs="Arial"/>
        <w:sz w:val="20"/>
      </w:rPr>
      <w:t>–2</w:t>
    </w:r>
    <w:r w:rsidR="003A7AF0" w:rsidRPr="003A7AF0">
      <w:rPr>
        <w:rFonts w:ascii="Arial" w:hAnsi="Arial" w:cs="Arial"/>
        <w:sz w:val="20"/>
      </w:rPr>
      <w:t>6</w:t>
    </w:r>
    <w:r w:rsidRPr="003A7AF0">
      <w:rPr>
        <w:rFonts w:ascii="Arial" w:hAnsi="Arial" w:cs="Arial"/>
        <w:sz w:val="20"/>
      </w:rPr>
      <w:t xml:space="preserve"> Technical Guide for Accountability and Testing Results</w:t>
    </w:r>
    <w:r w:rsidRPr="003A7AF0">
      <w:rPr>
        <w:rFonts w:ascii="Arial" w:hAnsi="Arial" w:cs="Arial"/>
      </w:rPr>
      <w:t xml:space="preserve">   </w:t>
    </w:r>
    <w:r w:rsidR="00471C96">
      <w:rPr>
        <w:rFonts w:ascii="Arial" w:hAnsi="Arial" w:cs="Arial"/>
      </w:rPr>
      <w:tab/>
    </w:r>
    <w:sdt>
      <w:sdtPr>
        <w:rPr>
          <w:rFonts w:ascii="Arial" w:hAnsi="Arial" w:cs="Arial"/>
        </w:rPr>
        <w:id w:val="792100786"/>
        <w:docPartObj>
          <w:docPartGallery w:val="Page Numbers (Top of Page)"/>
          <w:docPartUnique/>
        </w:docPartObj>
      </w:sdtPr>
      <w:sdtEndPr>
        <w:rPr>
          <w:noProof/>
        </w:rPr>
      </w:sdtEndPr>
      <w:sdtContent>
        <w:r w:rsidR="004A0183" w:rsidRPr="003B3301">
          <w:rPr>
            <w:rFonts w:ascii="Arial" w:hAnsi="Arial" w:cs="Arial"/>
            <w:sz w:val="20"/>
          </w:rPr>
          <w:fldChar w:fldCharType="begin"/>
        </w:r>
        <w:r w:rsidR="004A0183" w:rsidRPr="003B3301">
          <w:rPr>
            <w:rFonts w:ascii="Arial" w:hAnsi="Arial" w:cs="Arial"/>
            <w:sz w:val="20"/>
          </w:rPr>
          <w:instrText xml:space="preserve"> PAGE   \* MERGEFORMAT </w:instrText>
        </w:r>
        <w:r w:rsidR="004A0183" w:rsidRPr="003B3301">
          <w:rPr>
            <w:rFonts w:ascii="Arial" w:hAnsi="Arial" w:cs="Arial"/>
            <w:sz w:val="20"/>
          </w:rPr>
          <w:fldChar w:fldCharType="separate"/>
        </w:r>
        <w:r w:rsidR="004A0183" w:rsidRPr="003B3301">
          <w:rPr>
            <w:rFonts w:ascii="Arial" w:hAnsi="Arial" w:cs="Arial"/>
            <w:noProof/>
            <w:sz w:val="20"/>
          </w:rPr>
          <w:t>2</w:t>
        </w:r>
        <w:r w:rsidR="004A0183" w:rsidRPr="003B3301">
          <w:rPr>
            <w:rFonts w:ascii="Arial" w:hAnsi="Arial" w:cs="Arial"/>
            <w:noProof/>
            <w:sz w:val="20"/>
          </w:rPr>
          <w:fldChar w:fldCharType="end"/>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48B4" w14:textId="4BB20D11" w:rsidR="005729E5" w:rsidRPr="00821782" w:rsidRDefault="005729E5" w:rsidP="005729E5">
    <w:pPr>
      <w:pStyle w:val="Header"/>
      <w:rPr>
        <w:sz w:val="18"/>
        <w:szCs w:val="18"/>
      </w:rPr>
    </w:pPr>
    <w:r w:rsidRPr="00821782">
      <w:rPr>
        <w:sz w:val="18"/>
        <w:szCs w:val="18"/>
      </w:rPr>
      <w:t>Technical Guide for School Grades</w:t>
    </w:r>
    <w:r w:rsidRPr="00821782">
      <w:rPr>
        <w:sz w:val="18"/>
        <w:szCs w:val="18"/>
      </w:rPr>
      <w:ptab w:relativeTo="margin" w:alignment="center" w:leader="none"/>
    </w:r>
    <w:r w:rsidRPr="00821782">
      <w:rPr>
        <w:sz w:val="18"/>
        <w:szCs w:val="18"/>
      </w:rPr>
      <w:ptab w:relativeTo="margin" w:alignment="right" w:leader="none"/>
    </w:r>
    <w:r w:rsidRPr="00821782">
      <w:rPr>
        <w:sz w:val="18"/>
        <w:szCs w:val="18"/>
      </w:rPr>
      <w:fldChar w:fldCharType="begin"/>
    </w:r>
    <w:r w:rsidRPr="00821782">
      <w:rPr>
        <w:sz w:val="18"/>
        <w:szCs w:val="18"/>
      </w:rPr>
      <w:instrText xml:space="preserve"> PAGE   \* MERGEFORMAT </w:instrText>
    </w:r>
    <w:r w:rsidRPr="00821782">
      <w:rPr>
        <w:sz w:val="18"/>
        <w:szCs w:val="18"/>
      </w:rPr>
      <w:fldChar w:fldCharType="separate"/>
    </w:r>
    <w:r>
      <w:rPr>
        <w:sz w:val="18"/>
        <w:szCs w:val="18"/>
      </w:rPr>
      <w:t>65</w:t>
    </w:r>
    <w:r w:rsidRPr="00821782">
      <w:rPr>
        <w:noProof/>
        <w:sz w:val="18"/>
        <w:szCs w:val="18"/>
      </w:rPr>
      <w:fldChar w:fldCharType="end"/>
    </w:r>
  </w:p>
  <w:p w14:paraId="6D6C8066" w14:textId="113C202F" w:rsidR="000349DB" w:rsidRDefault="000349DB">
    <w:pPr>
      <w:pStyle w:val="Header"/>
    </w:pPr>
  </w:p>
  <w:p w14:paraId="6FF9B255" w14:textId="70C6F8D7" w:rsidR="000349DB" w:rsidRDefault="000349D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3B61" w14:textId="4C0AD801" w:rsidR="004B5F81" w:rsidRDefault="004B5F8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7B6D" w14:textId="27F15205" w:rsidR="00A50554" w:rsidRPr="00CE7F05" w:rsidRDefault="00732CDB" w:rsidP="00A50554">
    <w:pPr>
      <w:pStyle w:val="Header"/>
      <w:tabs>
        <w:tab w:val="clear" w:pos="4320"/>
        <w:tab w:val="clear" w:pos="8640"/>
        <w:tab w:val="center" w:pos="9360"/>
      </w:tabs>
      <w:rPr>
        <w:rFonts w:ascii="Arial" w:hAnsi="Arial" w:cs="Arial"/>
      </w:rPr>
    </w:pPr>
    <w:sdt>
      <w:sdtPr>
        <w:rPr>
          <w:rFonts w:ascii="Arial" w:hAnsi="Arial" w:cs="Arial"/>
        </w:rPr>
        <w:id w:val="1085116360"/>
        <w:docPartObj>
          <w:docPartGallery w:val="Page Numbers (Top of Page)"/>
          <w:docPartUnique/>
        </w:docPartObj>
      </w:sdtPr>
      <w:sdtEndPr>
        <w:rPr>
          <w:noProof/>
        </w:rPr>
      </w:sdtEndPr>
      <w:sdtContent>
        <w:r w:rsidR="00A50554" w:rsidRPr="00CE7F05">
          <w:rPr>
            <w:rFonts w:ascii="Arial" w:hAnsi="Arial" w:cs="Arial"/>
            <w:sz w:val="20"/>
          </w:rPr>
          <w:t>202</w:t>
        </w:r>
        <w:r w:rsidR="00CE7F05" w:rsidRPr="00CE7F05">
          <w:rPr>
            <w:rFonts w:ascii="Arial" w:hAnsi="Arial" w:cs="Arial"/>
            <w:sz w:val="20"/>
          </w:rPr>
          <w:t>5</w:t>
        </w:r>
        <w:r w:rsidR="00A50554" w:rsidRPr="00CE7F05">
          <w:rPr>
            <w:rFonts w:ascii="Arial" w:hAnsi="Arial" w:cs="Arial"/>
            <w:sz w:val="20"/>
          </w:rPr>
          <w:t>-2</w:t>
        </w:r>
        <w:r w:rsidR="00CE7F05" w:rsidRPr="00CE7F05">
          <w:rPr>
            <w:rFonts w:ascii="Arial" w:hAnsi="Arial" w:cs="Arial"/>
            <w:sz w:val="20"/>
          </w:rPr>
          <w:t>6</w:t>
        </w:r>
        <w:r w:rsidR="00A50554" w:rsidRPr="00CE7F05">
          <w:rPr>
            <w:rFonts w:ascii="Arial" w:hAnsi="Arial" w:cs="Arial"/>
            <w:sz w:val="20"/>
          </w:rPr>
          <w:t xml:space="preserve"> Technical Guide for Accountability and Testing Results</w:t>
        </w:r>
        <w:r w:rsidR="00A50554" w:rsidRPr="00CE7F05">
          <w:rPr>
            <w:rFonts w:ascii="Arial" w:hAnsi="Arial" w:cs="Arial"/>
            <w:sz w:val="20"/>
          </w:rPr>
          <w:tab/>
        </w:r>
        <w:r w:rsidR="00A50554" w:rsidRPr="00CE7F05">
          <w:rPr>
            <w:rFonts w:ascii="Arial" w:hAnsi="Arial" w:cs="Arial"/>
            <w:sz w:val="20"/>
          </w:rPr>
          <w:fldChar w:fldCharType="begin"/>
        </w:r>
        <w:r w:rsidR="00A50554" w:rsidRPr="00CE7F05">
          <w:rPr>
            <w:rFonts w:ascii="Arial" w:hAnsi="Arial" w:cs="Arial"/>
            <w:sz w:val="20"/>
          </w:rPr>
          <w:instrText xml:space="preserve"> PAGE   \* MERGEFORMAT </w:instrText>
        </w:r>
        <w:r w:rsidR="00A50554" w:rsidRPr="00CE7F05">
          <w:rPr>
            <w:rFonts w:ascii="Arial" w:hAnsi="Arial" w:cs="Arial"/>
            <w:sz w:val="20"/>
          </w:rPr>
          <w:fldChar w:fldCharType="separate"/>
        </w:r>
        <w:r w:rsidR="00A50554" w:rsidRPr="00CE7F05">
          <w:rPr>
            <w:rFonts w:ascii="Arial" w:hAnsi="Arial" w:cs="Arial"/>
            <w:sz w:val="20"/>
          </w:rPr>
          <w:t>6</w:t>
        </w:r>
        <w:r w:rsidR="00A50554" w:rsidRPr="00CE7F05">
          <w:rPr>
            <w:rFonts w:ascii="Arial" w:hAnsi="Arial" w:cs="Arial"/>
            <w:noProof/>
            <w:sz w:val="20"/>
          </w:rPr>
          <w:fldChar w:fldCharType="end"/>
        </w:r>
      </w:sdtContent>
    </w:sdt>
  </w:p>
  <w:p w14:paraId="69E565AF" w14:textId="570D8C82" w:rsidR="004B5F81" w:rsidRDefault="004B5F8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4E2C" w14:textId="5AAA22EE" w:rsidR="004B5F81" w:rsidRDefault="004B5F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9307" w14:textId="123780E0" w:rsidR="004D1427" w:rsidRPr="00C960C5" w:rsidRDefault="00732CDB" w:rsidP="00CA784C">
    <w:pPr>
      <w:pStyle w:val="Header"/>
      <w:tabs>
        <w:tab w:val="clear" w:pos="4320"/>
        <w:tab w:val="clear" w:pos="8640"/>
        <w:tab w:val="center" w:pos="9360"/>
      </w:tabs>
      <w:rPr>
        <w:rFonts w:ascii="Arial" w:hAnsi="Arial" w:cs="Arial"/>
      </w:rPr>
    </w:pPr>
    <w:sdt>
      <w:sdtPr>
        <w:rPr>
          <w:rFonts w:ascii="Arial" w:hAnsi="Arial" w:cs="Arial"/>
        </w:rPr>
        <w:id w:val="899564113"/>
        <w:docPartObj>
          <w:docPartGallery w:val="Page Numbers (Top of Page)"/>
          <w:docPartUnique/>
        </w:docPartObj>
      </w:sdtPr>
      <w:sdtEndPr>
        <w:rPr>
          <w:noProof/>
        </w:rPr>
      </w:sdtEndPr>
      <w:sdtContent>
        <w:r w:rsidR="00C85C83" w:rsidRPr="00C960C5">
          <w:rPr>
            <w:rFonts w:ascii="Arial" w:hAnsi="Arial" w:cs="Arial"/>
            <w:sz w:val="20"/>
          </w:rPr>
          <w:t>202</w:t>
        </w:r>
        <w:r w:rsidR="00BE480E">
          <w:rPr>
            <w:rFonts w:ascii="Arial" w:hAnsi="Arial" w:cs="Arial"/>
            <w:sz w:val="20"/>
          </w:rPr>
          <w:t>5</w:t>
        </w:r>
        <w:r w:rsidR="00050C83" w:rsidRPr="00C960C5">
          <w:rPr>
            <w:rFonts w:ascii="Arial" w:hAnsi="Arial" w:cs="Arial"/>
            <w:sz w:val="20"/>
          </w:rPr>
          <w:t>-</w:t>
        </w:r>
        <w:r w:rsidR="00C85C83" w:rsidRPr="00C960C5">
          <w:rPr>
            <w:rFonts w:ascii="Arial" w:hAnsi="Arial" w:cs="Arial"/>
            <w:sz w:val="20"/>
          </w:rPr>
          <w:t>2</w:t>
        </w:r>
        <w:r w:rsidR="00BE480E">
          <w:rPr>
            <w:rFonts w:ascii="Arial" w:hAnsi="Arial" w:cs="Arial"/>
            <w:sz w:val="20"/>
          </w:rPr>
          <w:t>6</w:t>
        </w:r>
        <w:r w:rsidR="00C85C83" w:rsidRPr="00C960C5">
          <w:rPr>
            <w:rFonts w:ascii="Arial" w:hAnsi="Arial" w:cs="Arial"/>
            <w:sz w:val="20"/>
          </w:rPr>
          <w:t xml:space="preserve"> </w:t>
        </w:r>
        <w:r w:rsidR="004D1427" w:rsidRPr="00C960C5">
          <w:rPr>
            <w:rFonts w:ascii="Arial" w:hAnsi="Arial" w:cs="Arial"/>
            <w:sz w:val="20"/>
          </w:rPr>
          <w:t xml:space="preserve">Technical Guide for </w:t>
        </w:r>
        <w:r w:rsidR="000F62BC" w:rsidRPr="00C960C5">
          <w:rPr>
            <w:rFonts w:ascii="Arial" w:hAnsi="Arial" w:cs="Arial"/>
            <w:sz w:val="20"/>
          </w:rPr>
          <w:t>Accountability and Testing Results</w:t>
        </w:r>
        <w:r w:rsidR="004D1427" w:rsidRPr="00C960C5">
          <w:rPr>
            <w:rFonts w:ascii="Arial" w:hAnsi="Arial" w:cs="Arial"/>
            <w:sz w:val="20"/>
          </w:rPr>
          <w:tab/>
        </w:r>
        <w:r w:rsidR="004D1427" w:rsidRPr="00C960C5">
          <w:rPr>
            <w:rFonts w:ascii="Arial" w:hAnsi="Arial" w:cs="Arial"/>
            <w:sz w:val="20"/>
          </w:rPr>
          <w:fldChar w:fldCharType="begin"/>
        </w:r>
        <w:r w:rsidR="004D1427" w:rsidRPr="00C960C5">
          <w:rPr>
            <w:rFonts w:ascii="Arial" w:hAnsi="Arial" w:cs="Arial"/>
            <w:sz w:val="20"/>
          </w:rPr>
          <w:instrText xml:space="preserve"> PAGE   \* MERGEFORMAT </w:instrText>
        </w:r>
        <w:r w:rsidR="004D1427" w:rsidRPr="00C960C5">
          <w:rPr>
            <w:rFonts w:ascii="Arial" w:hAnsi="Arial" w:cs="Arial"/>
            <w:sz w:val="20"/>
          </w:rPr>
          <w:fldChar w:fldCharType="separate"/>
        </w:r>
        <w:r w:rsidR="004D1427" w:rsidRPr="00C960C5">
          <w:rPr>
            <w:rFonts w:ascii="Arial" w:hAnsi="Arial" w:cs="Arial"/>
            <w:noProof/>
            <w:sz w:val="20"/>
          </w:rPr>
          <w:t>1</w:t>
        </w:r>
        <w:r w:rsidR="004D1427" w:rsidRPr="00C960C5">
          <w:rPr>
            <w:rFonts w:ascii="Arial" w:hAnsi="Arial" w:cs="Arial"/>
            <w:noProof/>
            <w:sz w:val="20"/>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4DFC" w14:textId="5EA7FFFA" w:rsidR="000D1585" w:rsidRDefault="000D15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9BDC" w14:textId="20C8A9A1" w:rsidR="004B5F81" w:rsidRDefault="004B5F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C73B" w14:textId="0ABA0314" w:rsidR="00E06606" w:rsidRDefault="00732CDB" w:rsidP="00E06606">
    <w:pPr>
      <w:pStyle w:val="Header"/>
      <w:tabs>
        <w:tab w:val="clear" w:pos="4320"/>
        <w:tab w:val="clear" w:pos="8640"/>
        <w:tab w:val="center" w:pos="9360"/>
      </w:tabs>
    </w:pPr>
    <w:sdt>
      <w:sdtPr>
        <w:id w:val="-1762597650"/>
        <w:docPartObj>
          <w:docPartGallery w:val="Page Numbers (Top of Page)"/>
          <w:docPartUnique/>
        </w:docPartObj>
      </w:sdtPr>
      <w:sdtEndPr>
        <w:rPr>
          <w:noProof/>
        </w:rPr>
      </w:sdtEndPr>
      <w:sdtContent>
        <w:r w:rsidR="00E06606" w:rsidRPr="002F2CC5">
          <w:rPr>
            <w:rFonts w:ascii="Arial" w:hAnsi="Arial" w:cs="Arial"/>
            <w:sz w:val="20"/>
          </w:rPr>
          <w:t>202</w:t>
        </w:r>
        <w:r w:rsidR="00BE480E" w:rsidRPr="002F2CC5">
          <w:rPr>
            <w:rFonts w:ascii="Arial" w:hAnsi="Arial" w:cs="Arial"/>
            <w:sz w:val="20"/>
          </w:rPr>
          <w:t>5</w:t>
        </w:r>
        <w:r w:rsidR="00E06606" w:rsidRPr="002F2CC5">
          <w:rPr>
            <w:rFonts w:ascii="Arial" w:hAnsi="Arial" w:cs="Arial"/>
            <w:sz w:val="20"/>
          </w:rPr>
          <w:t>-2</w:t>
        </w:r>
        <w:r w:rsidR="00BE480E" w:rsidRPr="002F2CC5">
          <w:rPr>
            <w:rFonts w:ascii="Arial" w:hAnsi="Arial" w:cs="Arial"/>
            <w:sz w:val="20"/>
          </w:rPr>
          <w:t>6</w:t>
        </w:r>
        <w:r w:rsidR="00E06606" w:rsidRPr="002F2CC5">
          <w:rPr>
            <w:rFonts w:ascii="Arial" w:hAnsi="Arial" w:cs="Arial"/>
            <w:sz w:val="20"/>
          </w:rPr>
          <w:t xml:space="preserve"> Technical Guide for Accountability and Testing Results</w:t>
        </w:r>
        <w:r w:rsidR="00E06606">
          <w:rPr>
            <w:sz w:val="20"/>
          </w:rPr>
          <w:tab/>
        </w:r>
        <w:r w:rsidR="00E06606" w:rsidRPr="00720D0F">
          <w:rPr>
            <w:rFonts w:ascii="Arial" w:hAnsi="Arial" w:cs="Arial"/>
            <w:sz w:val="20"/>
          </w:rPr>
          <w:fldChar w:fldCharType="begin"/>
        </w:r>
        <w:r w:rsidR="00E06606" w:rsidRPr="00720D0F">
          <w:rPr>
            <w:rFonts w:ascii="Arial" w:hAnsi="Arial" w:cs="Arial"/>
            <w:sz w:val="20"/>
          </w:rPr>
          <w:instrText xml:space="preserve"> PAGE   \* MERGEFORMAT </w:instrText>
        </w:r>
        <w:r w:rsidR="00E06606" w:rsidRPr="00720D0F">
          <w:rPr>
            <w:rFonts w:ascii="Arial" w:hAnsi="Arial" w:cs="Arial"/>
            <w:sz w:val="20"/>
          </w:rPr>
          <w:fldChar w:fldCharType="separate"/>
        </w:r>
        <w:r w:rsidR="00E06606" w:rsidRPr="00720D0F">
          <w:rPr>
            <w:rFonts w:ascii="Arial" w:hAnsi="Arial" w:cs="Arial"/>
            <w:sz w:val="20"/>
          </w:rPr>
          <w:t>6</w:t>
        </w:r>
        <w:r w:rsidR="00E06606" w:rsidRPr="00720D0F">
          <w:rPr>
            <w:rFonts w:ascii="Arial" w:hAnsi="Arial" w:cs="Arial"/>
            <w:noProof/>
            <w:sz w:val="20"/>
          </w:rPr>
          <w:fldChar w:fldCharType="end"/>
        </w:r>
      </w:sdtContent>
    </w:sdt>
  </w:p>
  <w:p w14:paraId="5F95FA54" w14:textId="4D203810" w:rsidR="004B5F81" w:rsidRDefault="004B5F8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E9F3" w14:textId="7657C90B" w:rsidR="004B5F81" w:rsidRDefault="004B5F8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4746" w14:textId="562BAB1E" w:rsidR="004B5F81" w:rsidRDefault="004B5F8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853A" w14:textId="700D2E19" w:rsidR="001145F9" w:rsidRPr="00C37C18" w:rsidRDefault="00732CDB" w:rsidP="001145F9">
    <w:pPr>
      <w:pStyle w:val="Header"/>
      <w:tabs>
        <w:tab w:val="clear" w:pos="4320"/>
        <w:tab w:val="clear" w:pos="8640"/>
        <w:tab w:val="center" w:pos="9360"/>
      </w:tabs>
      <w:rPr>
        <w:rFonts w:ascii="Arial" w:hAnsi="Arial" w:cs="Arial"/>
      </w:rPr>
    </w:pPr>
    <w:sdt>
      <w:sdtPr>
        <w:rPr>
          <w:rFonts w:ascii="Arial" w:hAnsi="Arial" w:cs="Arial"/>
        </w:rPr>
        <w:id w:val="-2116045340"/>
        <w:docPartObj>
          <w:docPartGallery w:val="Page Numbers (Top of Page)"/>
          <w:docPartUnique/>
        </w:docPartObj>
      </w:sdtPr>
      <w:sdtEndPr>
        <w:rPr>
          <w:noProof/>
        </w:rPr>
      </w:sdtEndPr>
      <w:sdtContent>
        <w:r w:rsidR="001145F9" w:rsidRPr="00C37C18">
          <w:rPr>
            <w:rFonts w:ascii="Arial" w:hAnsi="Arial" w:cs="Arial"/>
            <w:sz w:val="20"/>
          </w:rPr>
          <w:t>202</w:t>
        </w:r>
        <w:r w:rsidR="00BE480E">
          <w:rPr>
            <w:rFonts w:ascii="Arial" w:hAnsi="Arial" w:cs="Arial"/>
            <w:sz w:val="20"/>
          </w:rPr>
          <w:t>5</w:t>
        </w:r>
        <w:r w:rsidR="001145F9" w:rsidRPr="00C37C18">
          <w:rPr>
            <w:rFonts w:ascii="Arial" w:hAnsi="Arial" w:cs="Arial"/>
            <w:sz w:val="20"/>
          </w:rPr>
          <w:t>-2</w:t>
        </w:r>
        <w:r w:rsidR="00BE480E">
          <w:rPr>
            <w:rFonts w:ascii="Arial" w:hAnsi="Arial" w:cs="Arial"/>
            <w:sz w:val="20"/>
          </w:rPr>
          <w:t>6</w:t>
        </w:r>
        <w:r w:rsidR="001145F9" w:rsidRPr="00C37C18">
          <w:rPr>
            <w:rFonts w:ascii="Arial" w:hAnsi="Arial" w:cs="Arial"/>
            <w:sz w:val="20"/>
          </w:rPr>
          <w:t xml:space="preserve"> Technical Guide for Accountability and Testing Results</w:t>
        </w:r>
        <w:r w:rsidR="001145F9" w:rsidRPr="00C37C18">
          <w:rPr>
            <w:rFonts w:ascii="Arial" w:hAnsi="Arial" w:cs="Arial"/>
            <w:sz w:val="20"/>
          </w:rPr>
          <w:tab/>
        </w:r>
        <w:r w:rsidR="001145F9" w:rsidRPr="00C37C18">
          <w:rPr>
            <w:rFonts w:ascii="Arial" w:hAnsi="Arial" w:cs="Arial"/>
            <w:sz w:val="20"/>
          </w:rPr>
          <w:fldChar w:fldCharType="begin"/>
        </w:r>
        <w:r w:rsidR="001145F9" w:rsidRPr="00C37C18">
          <w:rPr>
            <w:rFonts w:ascii="Arial" w:hAnsi="Arial" w:cs="Arial"/>
            <w:sz w:val="20"/>
          </w:rPr>
          <w:instrText xml:space="preserve"> PAGE   \* MERGEFORMAT </w:instrText>
        </w:r>
        <w:r w:rsidR="001145F9" w:rsidRPr="00C37C18">
          <w:rPr>
            <w:rFonts w:ascii="Arial" w:hAnsi="Arial" w:cs="Arial"/>
            <w:sz w:val="20"/>
          </w:rPr>
          <w:fldChar w:fldCharType="separate"/>
        </w:r>
        <w:r w:rsidR="001145F9" w:rsidRPr="00C37C18">
          <w:rPr>
            <w:rFonts w:ascii="Arial" w:hAnsi="Arial" w:cs="Arial"/>
            <w:sz w:val="20"/>
          </w:rPr>
          <w:t>6</w:t>
        </w:r>
        <w:r w:rsidR="001145F9" w:rsidRPr="00C37C18">
          <w:rPr>
            <w:rFonts w:ascii="Arial" w:hAnsi="Arial" w:cs="Arial"/>
            <w:noProof/>
            <w:sz w:val="20"/>
          </w:rPr>
          <w:fldChar w:fldCharType="end"/>
        </w:r>
      </w:sdtContent>
    </w:sdt>
  </w:p>
  <w:p w14:paraId="37589EF8" w14:textId="64508DFD" w:rsidR="004B5F81" w:rsidRPr="00C37C18" w:rsidRDefault="004B5F8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8085D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EC0317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8C24F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370E9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E229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8680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5027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B4799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005E3A63"/>
    <w:multiLevelType w:val="hybridMultilevel"/>
    <w:tmpl w:val="E0C46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5412AC"/>
    <w:multiLevelType w:val="hybridMultilevel"/>
    <w:tmpl w:val="E0F23B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4042D01"/>
    <w:multiLevelType w:val="hybridMultilevel"/>
    <w:tmpl w:val="FA425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4084B32"/>
    <w:multiLevelType w:val="hybridMultilevel"/>
    <w:tmpl w:val="60D06C1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45F69A3"/>
    <w:multiLevelType w:val="hybridMultilevel"/>
    <w:tmpl w:val="C52471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49F6F53"/>
    <w:multiLevelType w:val="hybridMultilevel"/>
    <w:tmpl w:val="F958621A"/>
    <w:lvl w:ilvl="0" w:tplc="04090001">
      <w:start w:val="1"/>
      <w:numFmt w:val="bullet"/>
      <w:lvlText w:val=""/>
      <w:lvlJc w:val="left"/>
      <w:pPr>
        <w:ind w:left="360" w:hanging="360"/>
      </w:pPr>
      <w:rPr>
        <w:rFonts w:ascii="Symbol" w:hAnsi="Symbol" w:hint="default"/>
      </w:rPr>
    </w:lvl>
    <w:lvl w:ilvl="1" w:tplc="EC4A83A4">
      <w:start w:val="1"/>
      <w:numFmt w:val="bullet"/>
      <w:lvlText w:val="o"/>
      <w:lvlJc w:val="left"/>
      <w:pPr>
        <w:ind w:left="1080" w:hanging="360"/>
      </w:pPr>
      <w:rPr>
        <w:rFonts w:ascii="Courier New" w:hAnsi="Courier New" w:cs="Courier New"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4FD1CA1"/>
    <w:multiLevelType w:val="hybridMultilevel"/>
    <w:tmpl w:val="7BDC2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5C26C0"/>
    <w:multiLevelType w:val="hybridMultilevel"/>
    <w:tmpl w:val="A7029CAA"/>
    <w:lvl w:ilvl="0" w:tplc="2ED4DFDC">
      <w:start w:val="1"/>
      <w:numFmt w:val="bullet"/>
      <w:lvlText w:val=""/>
      <w:lvlJc w:val="left"/>
      <w:pPr>
        <w:ind w:left="720" w:hanging="360"/>
      </w:pPr>
      <w:rPr>
        <w:rFonts w:ascii="Symbol" w:hAnsi="Symbol" w:hint="default"/>
        <w:spacing w:val="-6"/>
        <w:w w:val="99"/>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271726"/>
    <w:multiLevelType w:val="hybridMultilevel"/>
    <w:tmpl w:val="66FAED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8DF0BD4"/>
    <w:multiLevelType w:val="hybridMultilevel"/>
    <w:tmpl w:val="0F2E93F8"/>
    <w:lvl w:ilvl="0" w:tplc="C2329AAA">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A976D09"/>
    <w:multiLevelType w:val="hybridMultilevel"/>
    <w:tmpl w:val="8CDC615E"/>
    <w:lvl w:ilvl="0" w:tplc="C2329AAA">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B335B0C"/>
    <w:multiLevelType w:val="hybridMultilevel"/>
    <w:tmpl w:val="EC1200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B991D4B"/>
    <w:multiLevelType w:val="hybridMultilevel"/>
    <w:tmpl w:val="FEAE1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BB30EA0"/>
    <w:multiLevelType w:val="hybridMultilevel"/>
    <w:tmpl w:val="687CF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C734DA5"/>
    <w:multiLevelType w:val="multilevel"/>
    <w:tmpl w:val="CF324E82"/>
    <w:lvl w:ilvl="0">
      <w:start w:val="1"/>
      <w:numFmt w:val="bullet"/>
      <w:lvlText w:val=""/>
      <w:lvlJc w:val="left"/>
      <w:pPr>
        <w:ind w:left="720" w:hanging="360"/>
      </w:pPr>
      <w:rPr>
        <w:rFonts w:ascii="Symbol" w:hAnsi="Symbol"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CBB1A76"/>
    <w:multiLevelType w:val="hybridMultilevel"/>
    <w:tmpl w:val="AAFE7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CF36B37"/>
    <w:multiLevelType w:val="multilevel"/>
    <w:tmpl w:val="D0DE79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FD04BE"/>
    <w:multiLevelType w:val="hybridMultilevel"/>
    <w:tmpl w:val="1C8EC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CC0BF5"/>
    <w:multiLevelType w:val="hybridMultilevel"/>
    <w:tmpl w:val="5D0E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440326"/>
    <w:multiLevelType w:val="hybridMultilevel"/>
    <w:tmpl w:val="206C3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1FB7D63"/>
    <w:multiLevelType w:val="hybridMultilevel"/>
    <w:tmpl w:val="2856C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2230843"/>
    <w:multiLevelType w:val="multilevel"/>
    <w:tmpl w:val="72FA4B9A"/>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14C20B57"/>
    <w:multiLevelType w:val="hybridMultilevel"/>
    <w:tmpl w:val="627EEB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5534A6F"/>
    <w:multiLevelType w:val="hybridMultilevel"/>
    <w:tmpl w:val="A900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6E539D"/>
    <w:multiLevelType w:val="hybridMultilevel"/>
    <w:tmpl w:val="833AD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830658"/>
    <w:multiLevelType w:val="hybridMultilevel"/>
    <w:tmpl w:val="6150A81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4" w15:restartNumberingAfterBreak="0">
    <w:nsid w:val="1594104F"/>
    <w:multiLevelType w:val="hybridMultilevel"/>
    <w:tmpl w:val="9A540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6586F7E"/>
    <w:multiLevelType w:val="hybridMultilevel"/>
    <w:tmpl w:val="AA563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6C12CAA"/>
    <w:multiLevelType w:val="multilevel"/>
    <w:tmpl w:val="C63C689C"/>
    <w:lvl w:ilvl="0">
      <w:start w:val="1"/>
      <w:numFmt w:val="bullet"/>
      <w:lvlText w:val=""/>
      <w:lvlJc w:val="left"/>
      <w:pPr>
        <w:ind w:left="360" w:hanging="360"/>
      </w:pPr>
      <w:rPr>
        <w:rFonts w:ascii="Symbol" w:hAnsi="Symbol"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17327BE5"/>
    <w:multiLevelType w:val="hybridMultilevel"/>
    <w:tmpl w:val="3DCABE26"/>
    <w:lvl w:ilvl="0" w:tplc="6DC808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A026258"/>
    <w:multiLevelType w:val="hybridMultilevel"/>
    <w:tmpl w:val="3692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AF2639F"/>
    <w:multiLevelType w:val="hybridMultilevel"/>
    <w:tmpl w:val="3FB0A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C103D4C"/>
    <w:multiLevelType w:val="hybridMultilevel"/>
    <w:tmpl w:val="29C261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C5D5A3B"/>
    <w:multiLevelType w:val="hybridMultilevel"/>
    <w:tmpl w:val="BC2436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CAE7DD1"/>
    <w:multiLevelType w:val="hybridMultilevel"/>
    <w:tmpl w:val="743A6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D201200"/>
    <w:multiLevelType w:val="hybridMultilevel"/>
    <w:tmpl w:val="98E86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D284413"/>
    <w:multiLevelType w:val="hybridMultilevel"/>
    <w:tmpl w:val="101C41E8"/>
    <w:lvl w:ilvl="0" w:tplc="D88288E0">
      <w:start w:val="1"/>
      <w:numFmt w:val="decimal"/>
      <w:lvlText w:val="%1."/>
      <w:lvlJc w:val="left"/>
      <w:pPr>
        <w:ind w:left="360" w:hanging="360"/>
      </w:pPr>
      <w:rPr>
        <w:b w:val="0"/>
        <w:bCs/>
      </w:rPr>
    </w:lvl>
    <w:lvl w:ilvl="1" w:tplc="AE06C2C2">
      <w:start w:val="1"/>
      <w:numFmt w:val="lowerLetter"/>
      <w:lvlText w:val="%2."/>
      <w:lvlJc w:val="left"/>
      <w:pPr>
        <w:ind w:left="1080" w:hanging="360"/>
      </w:pPr>
    </w:lvl>
    <w:lvl w:ilvl="2" w:tplc="3CBA182C">
      <w:start w:val="1"/>
      <w:numFmt w:val="lowerRoman"/>
      <w:lvlText w:val="%3."/>
      <w:lvlJc w:val="right"/>
      <w:pPr>
        <w:ind w:left="1800" w:hanging="180"/>
      </w:pPr>
    </w:lvl>
    <w:lvl w:ilvl="3" w:tplc="D88E3FAA">
      <w:start w:val="1"/>
      <w:numFmt w:val="decimal"/>
      <w:lvlText w:val="%4."/>
      <w:lvlJc w:val="left"/>
      <w:pPr>
        <w:ind w:left="2520" w:hanging="360"/>
      </w:pPr>
    </w:lvl>
    <w:lvl w:ilvl="4" w:tplc="C9DEED24">
      <w:start w:val="1"/>
      <w:numFmt w:val="lowerLetter"/>
      <w:lvlText w:val="%5."/>
      <w:lvlJc w:val="left"/>
      <w:pPr>
        <w:ind w:left="3240" w:hanging="360"/>
      </w:pPr>
    </w:lvl>
    <w:lvl w:ilvl="5" w:tplc="210AD19C">
      <w:start w:val="1"/>
      <w:numFmt w:val="lowerRoman"/>
      <w:lvlText w:val="%6."/>
      <w:lvlJc w:val="right"/>
      <w:pPr>
        <w:ind w:left="3960" w:hanging="180"/>
      </w:pPr>
    </w:lvl>
    <w:lvl w:ilvl="6" w:tplc="02561706">
      <w:start w:val="1"/>
      <w:numFmt w:val="decimal"/>
      <w:lvlText w:val="%7."/>
      <w:lvlJc w:val="left"/>
      <w:pPr>
        <w:ind w:left="4680" w:hanging="360"/>
      </w:pPr>
    </w:lvl>
    <w:lvl w:ilvl="7" w:tplc="B7D01EEC">
      <w:start w:val="1"/>
      <w:numFmt w:val="lowerLetter"/>
      <w:lvlText w:val="%8."/>
      <w:lvlJc w:val="left"/>
      <w:pPr>
        <w:ind w:left="5400" w:hanging="360"/>
      </w:pPr>
    </w:lvl>
    <w:lvl w:ilvl="8" w:tplc="CBFC3816">
      <w:start w:val="1"/>
      <w:numFmt w:val="lowerRoman"/>
      <w:lvlText w:val="%9."/>
      <w:lvlJc w:val="right"/>
      <w:pPr>
        <w:ind w:left="6120" w:hanging="180"/>
      </w:pPr>
    </w:lvl>
  </w:abstractNum>
  <w:abstractNum w:abstractNumId="45" w15:restartNumberingAfterBreak="0">
    <w:nsid w:val="1DAE50FD"/>
    <w:multiLevelType w:val="multilevel"/>
    <w:tmpl w:val="85F22EF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360" w:hanging="360"/>
      </w:pPr>
      <w:rPr>
        <w:rFonts w:ascii="Courier New" w:hAnsi="Courier New" w:cs="Courier New" w:hint="default"/>
      </w:rPr>
    </w:lvl>
    <w:lvl w:ilvl="3">
      <w:start w:val="1"/>
      <w:numFmt w:val="bullet"/>
      <w:lvlText w:val="o"/>
      <w:lvlJc w:val="left"/>
      <w:pPr>
        <w:ind w:left="360" w:hanging="360"/>
      </w:pPr>
      <w:rPr>
        <w:rFonts w:ascii="Courier New" w:hAnsi="Courier New" w:cs="Courier New" w:hint="default"/>
      </w:rPr>
    </w:lvl>
    <w:lvl w:ilvl="4">
      <w:start w:val="1"/>
      <w:numFmt w:val="bullet"/>
      <w:lvlText w:val="o"/>
      <w:lvlJc w:val="left"/>
      <w:pPr>
        <w:ind w:left="360" w:hanging="360"/>
      </w:pPr>
      <w:rPr>
        <w:rFonts w:ascii="Courier New" w:hAnsi="Courier New" w:cs="Courier New"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1E705523"/>
    <w:multiLevelType w:val="hybridMultilevel"/>
    <w:tmpl w:val="B434DAF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EC116DF"/>
    <w:multiLevelType w:val="hybridMultilevel"/>
    <w:tmpl w:val="71BCA2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1FA36D44"/>
    <w:multiLevelType w:val="hybridMultilevel"/>
    <w:tmpl w:val="15AA7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12A76CC"/>
    <w:multiLevelType w:val="hybridMultilevel"/>
    <w:tmpl w:val="5E80E0C8"/>
    <w:lvl w:ilvl="0" w:tplc="18888D16">
      <w:start w:val="1"/>
      <w:numFmt w:val="bullet"/>
      <w:lvlText w:val=""/>
      <w:lvlJc w:val="left"/>
      <w:pPr>
        <w:ind w:left="360" w:hanging="360"/>
      </w:pPr>
      <w:rPr>
        <w:rFonts w:ascii="Symbol" w:hAnsi="Symbol" w:hint="default"/>
      </w:rPr>
    </w:lvl>
    <w:lvl w:ilvl="1" w:tplc="0EA05E4A">
      <w:start w:val="1"/>
      <w:numFmt w:val="bullet"/>
      <w:lvlText w:val="o"/>
      <w:lvlJc w:val="left"/>
      <w:pPr>
        <w:ind w:left="1080" w:hanging="360"/>
      </w:pPr>
      <w:rPr>
        <w:rFonts w:ascii="Courier New" w:hAnsi="Courier New" w:hint="default"/>
      </w:rPr>
    </w:lvl>
    <w:lvl w:ilvl="2" w:tplc="AAF4CECA" w:tentative="1">
      <w:start w:val="1"/>
      <w:numFmt w:val="bullet"/>
      <w:lvlText w:val=""/>
      <w:lvlJc w:val="left"/>
      <w:pPr>
        <w:ind w:left="1800" w:hanging="360"/>
      </w:pPr>
      <w:rPr>
        <w:rFonts w:ascii="Wingdings" w:hAnsi="Wingdings" w:hint="default"/>
      </w:rPr>
    </w:lvl>
    <w:lvl w:ilvl="3" w:tplc="D83C2CFA" w:tentative="1">
      <w:start w:val="1"/>
      <w:numFmt w:val="bullet"/>
      <w:lvlText w:val=""/>
      <w:lvlJc w:val="left"/>
      <w:pPr>
        <w:ind w:left="2520" w:hanging="360"/>
      </w:pPr>
      <w:rPr>
        <w:rFonts w:ascii="Symbol" w:hAnsi="Symbol" w:hint="default"/>
      </w:rPr>
    </w:lvl>
    <w:lvl w:ilvl="4" w:tplc="BB7ADAD8" w:tentative="1">
      <w:start w:val="1"/>
      <w:numFmt w:val="bullet"/>
      <w:lvlText w:val="o"/>
      <w:lvlJc w:val="left"/>
      <w:pPr>
        <w:ind w:left="3240" w:hanging="360"/>
      </w:pPr>
      <w:rPr>
        <w:rFonts w:ascii="Courier New" w:hAnsi="Courier New" w:hint="default"/>
      </w:rPr>
    </w:lvl>
    <w:lvl w:ilvl="5" w:tplc="0C928FBC" w:tentative="1">
      <w:start w:val="1"/>
      <w:numFmt w:val="bullet"/>
      <w:lvlText w:val=""/>
      <w:lvlJc w:val="left"/>
      <w:pPr>
        <w:ind w:left="3960" w:hanging="360"/>
      </w:pPr>
      <w:rPr>
        <w:rFonts w:ascii="Wingdings" w:hAnsi="Wingdings" w:hint="default"/>
      </w:rPr>
    </w:lvl>
    <w:lvl w:ilvl="6" w:tplc="92E86AE6" w:tentative="1">
      <w:start w:val="1"/>
      <w:numFmt w:val="bullet"/>
      <w:lvlText w:val=""/>
      <w:lvlJc w:val="left"/>
      <w:pPr>
        <w:ind w:left="4680" w:hanging="360"/>
      </w:pPr>
      <w:rPr>
        <w:rFonts w:ascii="Symbol" w:hAnsi="Symbol" w:hint="default"/>
      </w:rPr>
    </w:lvl>
    <w:lvl w:ilvl="7" w:tplc="4FEC63B6" w:tentative="1">
      <w:start w:val="1"/>
      <w:numFmt w:val="bullet"/>
      <w:lvlText w:val="o"/>
      <w:lvlJc w:val="left"/>
      <w:pPr>
        <w:ind w:left="5400" w:hanging="360"/>
      </w:pPr>
      <w:rPr>
        <w:rFonts w:ascii="Courier New" w:hAnsi="Courier New" w:hint="default"/>
      </w:rPr>
    </w:lvl>
    <w:lvl w:ilvl="8" w:tplc="D1646982" w:tentative="1">
      <w:start w:val="1"/>
      <w:numFmt w:val="bullet"/>
      <w:lvlText w:val=""/>
      <w:lvlJc w:val="left"/>
      <w:pPr>
        <w:ind w:left="6120" w:hanging="360"/>
      </w:pPr>
      <w:rPr>
        <w:rFonts w:ascii="Wingdings" w:hAnsi="Wingdings" w:hint="default"/>
      </w:rPr>
    </w:lvl>
  </w:abstractNum>
  <w:abstractNum w:abstractNumId="50" w15:restartNumberingAfterBreak="0">
    <w:nsid w:val="21C07C5F"/>
    <w:multiLevelType w:val="hybridMultilevel"/>
    <w:tmpl w:val="E676E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21C50B0"/>
    <w:multiLevelType w:val="hybridMultilevel"/>
    <w:tmpl w:val="B434DAFA"/>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22C93DF3"/>
    <w:multiLevelType w:val="hybridMultilevel"/>
    <w:tmpl w:val="A33CD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41E5EA6"/>
    <w:multiLevelType w:val="hybridMultilevel"/>
    <w:tmpl w:val="B5423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4C018E4"/>
    <w:multiLevelType w:val="hybridMultilevel"/>
    <w:tmpl w:val="0D9C6B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4E76C0F"/>
    <w:multiLevelType w:val="hybridMultilevel"/>
    <w:tmpl w:val="8EFE4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54031DF"/>
    <w:multiLevelType w:val="hybridMultilevel"/>
    <w:tmpl w:val="CE088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5710BC6"/>
    <w:multiLevelType w:val="multilevel"/>
    <w:tmpl w:val="1728BB0A"/>
    <w:lvl w:ilvl="0">
      <w:start w:val="1"/>
      <w:numFmt w:val="decimal"/>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i w:val="0"/>
        <w:iCs w:val="0"/>
      </w:rPr>
    </w:lvl>
    <w:lvl w:ilvl="2">
      <w:start w:val="1"/>
      <w:numFmt w:val="decimal"/>
      <w:suff w:val="space"/>
      <w:lvlText w:val="%1.%2.%3."/>
      <w:lvlJc w:val="left"/>
      <w:pPr>
        <w:ind w:left="0" w:firstLine="0"/>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5C356DE"/>
    <w:multiLevelType w:val="multilevel"/>
    <w:tmpl w:val="04090025"/>
    <w:styleLink w:val="TechGuideHeadings"/>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bCs w:val="0"/>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260E3380"/>
    <w:multiLevelType w:val="hybridMultilevel"/>
    <w:tmpl w:val="EBF6D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7081882"/>
    <w:multiLevelType w:val="hybridMultilevel"/>
    <w:tmpl w:val="CBE6D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72E4B2D"/>
    <w:multiLevelType w:val="hybridMultilevel"/>
    <w:tmpl w:val="798C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78E2B42"/>
    <w:multiLevelType w:val="multilevel"/>
    <w:tmpl w:val="77F8D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7C205CA"/>
    <w:multiLevelType w:val="multilevel"/>
    <w:tmpl w:val="9E349A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81451D2"/>
    <w:multiLevelType w:val="hybridMultilevel"/>
    <w:tmpl w:val="353224AE"/>
    <w:lvl w:ilvl="0" w:tplc="03C60C68">
      <w:start w:val="1"/>
      <w:numFmt w:val="decimal"/>
      <w:pStyle w:val="TOAHeading"/>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8A3412A"/>
    <w:multiLevelType w:val="multilevel"/>
    <w:tmpl w:val="B5F610E4"/>
    <w:lvl w:ilvl="0">
      <w:start w:val="1"/>
      <w:numFmt w:val="decimal"/>
      <w:lvlText w:val="%1."/>
      <w:lvlJc w:val="left"/>
      <w:pPr>
        <w:ind w:left="360" w:hanging="360"/>
      </w:pPr>
      <w:rPr>
        <w:rFonts w:hint="default"/>
      </w:rPr>
    </w:lvl>
    <w:lvl w:ilvl="1">
      <w:start w:val="7"/>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29140CE5"/>
    <w:multiLevelType w:val="hybridMultilevel"/>
    <w:tmpl w:val="E7368D4A"/>
    <w:lvl w:ilvl="0" w:tplc="38DE1D7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4A680B"/>
    <w:multiLevelType w:val="hybridMultilevel"/>
    <w:tmpl w:val="CBBC8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82432D"/>
    <w:multiLevelType w:val="hybridMultilevel"/>
    <w:tmpl w:val="F1E6B888"/>
    <w:lvl w:ilvl="0" w:tplc="04090001">
      <w:start w:val="1"/>
      <w:numFmt w:val="bullet"/>
      <w:lvlText w:val=""/>
      <w:lvlJc w:val="left"/>
      <w:pPr>
        <w:ind w:left="360" w:hanging="360"/>
      </w:pPr>
      <w:rPr>
        <w:rFonts w:ascii="Symbol" w:hAnsi="Symbol" w:hint="default"/>
      </w:rPr>
    </w:lvl>
    <w:lvl w:ilvl="1" w:tplc="EE54CAAE">
      <w:numFmt w:val="bullet"/>
      <w:lvlText w:val="-"/>
      <w:lvlJc w:val="left"/>
      <w:pPr>
        <w:ind w:left="1120" w:hanging="40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DE306F1"/>
    <w:multiLevelType w:val="hybridMultilevel"/>
    <w:tmpl w:val="6BD2B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E6F147A"/>
    <w:multiLevelType w:val="hybridMultilevel"/>
    <w:tmpl w:val="8A08B6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315717FC"/>
    <w:multiLevelType w:val="hybridMultilevel"/>
    <w:tmpl w:val="904632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2691EB9"/>
    <w:multiLevelType w:val="hybridMultilevel"/>
    <w:tmpl w:val="93BC3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2AA54F4"/>
    <w:multiLevelType w:val="multilevel"/>
    <w:tmpl w:val="C910FC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4" w15:restartNumberingAfterBreak="0">
    <w:nsid w:val="34141A19"/>
    <w:multiLevelType w:val="hybridMultilevel"/>
    <w:tmpl w:val="EF4CBF62"/>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36117A47"/>
    <w:multiLevelType w:val="hybridMultilevel"/>
    <w:tmpl w:val="7B7262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63A0609"/>
    <w:multiLevelType w:val="hybridMultilevel"/>
    <w:tmpl w:val="87EE1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667391F"/>
    <w:multiLevelType w:val="hybridMultilevel"/>
    <w:tmpl w:val="46B4C3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6DD0537"/>
    <w:multiLevelType w:val="hybridMultilevel"/>
    <w:tmpl w:val="70BC372A"/>
    <w:lvl w:ilvl="0" w:tplc="D35CF2F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7F50382"/>
    <w:multiLevelType w:val="hybridMultilevel"/>
    <w:tmpl w:val="82DC9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38863ADF"/>
    <w:multiLevelType w:val="hybridMultilevel"/>
    <w:tmpl w:val="9E9C73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9621D5C"/>
    <w:multiLevelType w:val="hybridMultilevel"/>
    <w:tmpl w:val="2996BD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97E4A8A"/>
    <w:multiLevelType w:val="multilevel"/>
    <w:tmpl w:val="9C12096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3" w15:restartNumberingAfterBreak="0">
    <w:nsid w:val="3B805A81"/>
    <w:multiLevelType w:val="hybridMultilevel"/>
    <w:tmpl w:val="7FC41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3B9D4102"/>
    <w:multiLevelType w:val="hybridMultilevel"/>
    <w:tmpl w:val="6DE0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BEB60B4"/>
    <w:multiLevelType w:val="multilevel"/>
    <w:tmpl w:val="65EC77EC"/>
    <w:lvl w:ilvl="0">
      <w:start w:val="1"/>
      <w:numFmt w:val="decimal"/>
      <w:lvlText w:val="%1."/>
      <w:lvlJc w:val="left"/>
      <w:pPr>
        <w:ind w:left="360" w:hanging="360"/>
      </w:pPr>
      <w:rPr>
        <w:rFonts w:hint="default"/>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3F0F5344"/>
    <w:multiLevelType w:val="multilevel"/>
    <w:tmpl w:val="1A56A9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8D43BE"/>
    <w:multiLevelType w:val="hybridMultilevel"/>
    <w:tmpl w:val="DCD2F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0152B92"/>
    <w:multiLevelType w:val="hybridMultilevel"/>
    <w:tmpl w:val="FDCC1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0AA6F51"/>
    <w:multiLevelType w:val="hybridMultilevel"/>
    <w:tmpl w:val="152C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19663F1"/>
    <w:multiLevelType w:val="hybridMultilevel"/>
    <w:tmpl w:val="C78CBB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41D953FF"/>
    <w:multiLevelType w:val="hybridMultilevel"/>
    <w:tmpl w:val="31BE9E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43317049"/>
    <w:multiLevelType w:val="hybridMultilevel"/>
    <w:tmpl w:val="C2ACD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4336389C"/>
    <w:multiLevelType w:val="hybridMultilevel"/>
    <w:tmpl w:val="F28A1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3CC28A2"/>
    <w:multiLevelType w:val="hybridMultilevel"/>
    <w:tmpl w:val="E4ECE7D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474B4327"/>
    <w:multiLevelType w:val="hybridMultilevel"/>
    <w:tmpl w:val="E2E8A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7D74C2E"/>
    <w:multiLevelType w:val="hybridMultilevel"/>
    <w:tmpl w:val="96A6D6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7DC7E12"/>
    <w:multiLevelType w:val="hybridMultilevel"/>
    <w:tmpl w:val="9AA2E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9421FA6"/>
    <w:multiLevelType w:val="hybridMultilevel"/>
    <w:tmpl w:val="9A30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9423EFC"/>
    <w:multiLevelType w:val="hybridMultilevel"/>
    <w:tmpl w:val="102CAC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9823CA3"/>
    <w:multiLevelType w:val="hybridMultilevel"/>
    <w:tmpl w:val="9F9A7A20"/>
    <w:lvl w:ilvl="0" w:tplc="AA589CC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49C3758D"/>
    <w:multiLevelType w:val="hybridMultilevel"/>
    <w:tmpl w:val="0A50E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C5114F7"/>
    <w:multiLevelType w:val="hybridMultilevel"/>
    <w:tmpl w:val="4740F0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CC27CE7"/>
    <w:multiLevelType w:val="hybridMultilevel"/>
    <w:tmpl w:val="B476B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FA413A5"/>
    <w:multiLevelType w:val="hybridMultilevel"/>
    <w:tmpl w:val="90E0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0FA4A51"/>
    <w:multiLevelType w:val="hybridMultilevel"/>
    <w:tmpl w:val="83A0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1AF6189"/>
    <w:multiLevelType w:val="multilevel"/>
    <w:tmpl w:val="971C93BA"/>
    <w:lvl w:ilvl="0">
      <w:start w:val="5"/>
      <w:numFmt w:val="decimal"/>
      <w:lvlText w:val="%1."/>
      <w:lvlJc w:val="left"/>
      <w:pPr>
        <w:tabs>
          <w:tab w:val="num" w:pos="0"/>
        </w:tabs>
        <w:ind w:left="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7" w15:restartNumberingAfterBreak="0">
    <w:nsid w:val="5205520D"/>
    <w:multiLevelType w:val="hybridMultilevel"/>
    <w:tmpl w:val="701A3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253759F"/>
    <w:multiLevelType w:val="hybridMultilevel"/>
    <w:tmpl w:val="C7F245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53F4046F"/>
    <w:multiLevelType w:val="multilevel"/>
    <w:tmpl w:val="3670EA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0" w15:restartNumberingAfterBreak="0">
    <w:nsid w:val="53FD539E"/>
    <w:multiLevelType w:val="hybridMultilevel"/>
    <w:tmpl w:val="23CA6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541E440F"/>
    <w:multiLevelType w:val="hybridMultilevel"/>
    <w:tmpl w:val="E916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48F4692"/>
    <w:multiLevelType w:val="hybridMultilevel"/>
    <w:tmpl w:val="10B691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555B4F9A"/>
    <w:multiLevelType w:val="hybridMultilevel"/>
    <w:tmpl w:val="FCAA8E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55F43E40"/>
    <w:multiLevelType w:val="hybridMultilevel"/>
    <w:tmpl w:val="5BFE7C60"/>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5" w15:restartNumberingAfterBreak="0">
    <w:nsid w:val="56BD6AB2"/>
    <w:multiLevelType w:val="hybridMultilevel"/>
    <w:tmpl w:val="07CA3A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58F57C37"/>
    <w:multiLevelType w:val="hybridMultilevel"/>
    <w:tmpl w:val="49A0F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596550DA"/>
    <w:multiLevelType w:val="hybridMultilevel"/>
    <w:tmpl w:val="1FC88BAE"/>
    <w:lvl w:ilvl="0" w:tplc="1C961EFC">
      <w:start w:val="1"/>
      <w:numFmt w:val="decimal"/>
      <w:pStyle w:val="ListNumber"/>
      <w:lvlText w:val="%1."/>
      <w:lvlJc w:val="left"/>
      <w:pPr>
        <w:tabs>
          <w:tab w:val="num" w:pos="907"/>
        </w:tabs>
        <w:ind w:left="907"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8" w15:restartNumberingAfterBreak="0">
    <w:nsid w:val="5B7D2611"/>
    <w:multiLevelType w:val="multilevel"/>
    <w:tmpl w:val="5E44DDB4"/>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9" w15:restartNumberingAfterBreak="0">
    <w:nsid w:val="5C305D54"/>
    <w:multiLevelType w:val="hybridMultilevel"/>
    <w:tmpl w:val="6BE0DC8A"/>
    <w:lvl w:ilvl="0" w:tplc="9D9864F6">
      <w:start w:val="1"/>
      <w:numFmt w:val="decimal"/>
      <w:pStyle w:val="Table"/>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C8E0B08"/>
    <w:multiLevelType w:val="hybridMultilevel"/>
    <w:tmpl w:val="DC509B80"/>
    <w:lvl w:ilvl="0" w:tplc="1BCCE80A">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5FB56787"/>
    <w:multiLevelType w:val="hybridMultilevel"/>
    <w:tmpl w:val="24E6D8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5FE64B6E"/>
    <w:multiLevelType w:val="hybridMultilevel"/>
    <w:tmpl w:val="B35412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606144F5"/>
    <w:multiLevelType w:val="hybridMultilevel"/>
    <w:tmpl w:val="667E54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60AF77C5"/>
    <w:multiLevelType w:val="hybridMultilevel"/>
    <w:tmpl w:val="1B480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611078DB"/>
    <w:multiLevelType w:val="hybridMultilevel"/>
    <w:tmpl w:val="84984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6152588A"/>
    <w:multiLevelType w:val="hybridMultilevel"/>
    <w:tmpl w:val="DD384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616822E5"/>
    <w:multiLevelType w:val="hybridMultilevel"/>
    <w:tmpl w:val="5E649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616B114E"/>
    <w:multiLevelType w:val="hybridMultilevel"/>
    <w:tmpl w:val="3DEC0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62F93916"/>
    <w:multiLevelType w:val="hybridMultilevel"/>
    <w:tmpl w:val="7988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30C1834"/>
    <w:multiLevelType w:val="multilevel"/>
    <w:tmpl w:val="A8C40B3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66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15:restartNumberingAfterBreak="0">
    <w:nsid w:val="64B55138"/>
    <w:multiLevelType w:val="hybridMultilevel"/>
    <w:tmpl w:val="03A6666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65292D39"/>
    <w:multiLevelType w:val="multilevel"/>
    <w:tmpl w:val="3110B5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15:restartNumberingAfterBreak="0">
    <w:nsid w:val="656C2091"/>
    <w:multiLevelType w:val="hybridMultilevel"/>
    <w:tmpl w:val="6256F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65B1778B"/>
    <w:multiLevelType w:val="hybridMultilevel"/>
    <w:tmpl w:val="FAC890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663267FE"/>
    <w:multiLevelType w:val="hybridMultilevel"/>
    <w:tmpl w:val="5B321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6F46E3A"/>
    <w:multiLevelType w:val="hybridMultilevel"/>
    <w:tmpl w:val="D2AA6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7741B7D"/>
    <w:multiLevelType w:val="hybridMultilevel"/>
    <w:tmpl w:val="6D4C5E5E"/>
    <w:lvl w:ilvl="0" w:tplc="04090001">
      <w:start w:val="1"/>
      <w:numFmt w:val="bullet"/>
      <w:lvlText w:val=""/>
      <w:lvlJc w:val="left"/>
      <w:pPr>
        <w:ind w:left="165" w:hanging="360"/>
      </w:pPr>
      <w:rPr>
        <w:rFonts w:ascii="Symbol" w:hAnsi="Symbol" w:hint="default"/>
      </w:rPr>
    </w:lvl>
    <w:lvl w:ilvl="1" w:tplc="04090003" w:tentative="1">
      <w:start w:val="1"/>
      <w:numFmt w:val="bullet"/>
      <w:lvlText w:val="o"/>
      <w:lvlJc w:val="left"/>
      <w:pPr>
        <w:ind w:left="885" w:hanging="360"/>
      </w:pPr>
      <w:rPr>
        <w:rFonts w:ascii="Courier New" w:hAnsi="Courier New" w:cs="Courier New" w:hint="default"/>
      </w:rPr>
    </w:lvl>
    <w:lvl w:ilvl="2" w:tplc="04090005" w:tentative="1">
      <w:start w:val="1"/>
      <w:numFmt w:val="bullet"/>
      <w:lvlText w:val=""/>
      <w:lvlJc w:val="left"/>
      <w:pPr>
        <w:ind w:left="1605" w:hanging="360"/>
      </w:pPr>
      <w:rPr>
        <w:rFonts w:ascii="Wingdings" w:hAnsi="Wingdings" w:hint="default"/>
      </w:rPr>
    </w:lvl>
    <w:lvl w:ilvl="3" w:tplc="04090001" w:tentative="1">
      <w:start w:val="1"/>
      <w:numFmt w:val="bullet"/>
      <w:lvlText w:val=""/>
      <w:lvlJc w:val="left"/>
      <w:pPr>
        <w:ind w:left="2325" w:hanging="360"/>
      </w:pPr>
      <w:rPr>
        <w:rFonts w:ascii="Symbol" w:hAnsi="Symbol" w:hint="default"/>
      </w:rPr>
    </w:lvl>
    <w:lvl w:ilvl="4" w:tplc="04090003" w:tentative="1">
      <w:start w:val="1"/>
      <w:numFmt w:val="bullet"/>
      <w:lvlText w:val="o"/>
      <w:lvlJc w:val="left"/>
      <w:pPr>
        <w:ind w:left="3045" w:hanging="360"/>
      </w:pPr>
      <w:rPr>
        <w:rFonts w:ascii="Courier New" w:hAnsi="Courier New" w:cs="Courier New" w:hint="default"/>
      </w:rPr>
    </w:lvl>
    <w:lvl w:ilvl="5" w:tplc="04090005" w:tentative="1">
      <w:start w:val="1"/>
      <w:numFmt w:val="bullet"/>
      <w:lvlText w:val=""/>
      <w:lvlJc w:val="left"/>
      <w:pPr>
        <w:ind w:left="3765" w:hanging="360"/>
      </w:pPr>
      <w:rPr>
        <w:rFonts w:ascii="Wingdings" w:hAnsi="Wingdings" w:hint="default"/>
      </w:rPr>
    </w:lvl>
    <w:lvl w:ilvl="6" w:tplc="04090001" w:tentative="1">
      <w:start w:val="1"/>
      <w:numFmt w:val="bullet"/>
      <w:lvlText w:val=""/>
      <w:lvlJc w:val="left"/>
      <w:pPr>
        <w:ind w:left="4485" w:hanging="360"/>
      </w:pPr>
      <w:rPr>
        <w:rFonts w:ascii="Symbol" w:hAnsi="Symbol" w:hint="default"/>
      </w:rPr>
    </w:lvl>
    <w:lvl w:ilvl="7" w:tplc="04090003" w:tentative="1">
      <w:start w:val="1"/>
      <w:numFmt w:val="bullet"/>
      <w:lvlText w:val="o"/>
      <w:lvlJc w:val="left"/>
      <w:pPr>
        <w:ind w:left="5205" w:hanging="360"/>
      </w:pPr>
      <w:rPr>
        <w:rFonts w:ascii="Courier New" w:hAnsi="Courier New" w:cs="Courier New" w:hint="default"/>
      </w:rPr>
    </w:lvl>
    <w:lvl w:ilvl="8" w:tplc="04090005" w:tentative="1">
      <w:start w:val="1"/>
      <w:numFmt w:val="bullet"/>
      <w:lvlText w:val=""/>
      <w:lvlJc w:val="left"/>
      <w:pPr>
        <w:ind w:left="5925" w:hanging="360"/>
      </w:pPr>
      <w:rPr>
        <w:rFonts w:ascii="Wingdings" w:hAnsi="Wingdings" w:hint="default"/>
      </w:rPr>
    </w:lvl>
  </w:abstractNum>
  <w:abstractNum w:abstractNumId="138" w15:restartNumberingAfterBreak="0">
    <w:nsid w:val="67E335E5"/>
    <w:multiLevelType w:val="multilevel"/>
    <w:tmpl w:val="85F22EF0"/>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080" w:hanging="360"/>
      </w:pPr>
      <w:rPr>
        <w:rFonts w:ascii="Courier New" w:hAnsi="Courier New" w:cs="Courier New" w:hint="default"/>
      </w:rPr>
    </w:lvl>
    <w:lvl w:ilvl="3">
      <w:start w:val="1"/>
      <w:numFmt w:val="bullet"/>
      <w:lvlText w:val="o"/>
      <w:lvlJc w:val="left"/>
      <w:pPr>
        <w:ind w:left="1080" w:hanging="360"/>
      </w:pPr>
      <w:rPr>
        <w:rFonts w:ascii="Courier New" w:hAnsi="Courier New" w:cs="Courier New" w:hint="default"/>
      </w:rPr>
    </w:lvl>
    <w:lvl w:ilvl="4">
      <w:start w:val="1"/>
      <w:numFmt w:val="bullet"/>
      <w:lvlText w:val="o"/>
      <w:lvlJc w:val="left"/>
      <w:pPr>
        <w:ind w:left="1080" w:hanging="360"/>
      </w:pPr>
      <w:rPr>
        <w:rFonts w:ascii="Courier New" w:hAnsi="Courier New" w:cs="Courier New"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9" w15:restartNumberingAfterBreak="0">
    <w:nsid w:val="6C815506"/>
    <w:multiLevelType w:val="hybridMultilevel"/>
    <w:tmpl w:val="F66066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6CB80B62"/>
    <w:multiLevelType w:val="hybridMultilevel"/>
    <w:tmpl w:val="63E2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CDA3F5D"/>
    <w:multiLevelType w:val="hybridMultilevel"/>
    <w:tmpl w:val="CCEC1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DA63957"/>
    <w:multiLevelType w:val="multilevel"/>
    <w:tmpl w:val="1F8A6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43" w15:restartNumberingAfterBreak="0">
    <w:nsid w:val="6DB163BC"/>
    <w:multiLevelType w:val="hybridMultilevel"/>
    <w:tmpl w:val="CFC43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DB87908"/>
    <w:multiLevelType w:val="hybridMultilevel"/>
    <w:tmpl w:val="23D86732"/>
    <w:lvl w:ilvl="0" w:tplc="FFFFFFF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DC3176B"/>
    <w:multiLevelType w:val="hybridMultilevel"/>
    <w:tmpl w:val="48AA08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6EA337FA"/>
    <w:multiLevelType w:val="hybridMultilevel"/>
    <w:tmpl w:val="72DE4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6F027642"/>
    <w:multiLevelType w:val="hybridMultilevel"/>
    <w:tmpl w:val="ADFC2336"/>
    <w:lvl w:ilvl="0" w:tplc="04090001">
      <w:start w:val="1"/>
      <w:numFmt w:val="bullet"/>
      <w:lvlText w:val=""/>
      <w:lvlJc w:val="left"/>
      <w:pPr>
        <w:ind w:left="720" w:hanging="360"/>
      </w:pPr>
      <w:rPr>
        <w:rFonts w:ascii="Symbol" w:hAnsi="Symbol" w:hint="default"/>
      </w:rPr>
    </w:lvl>
    <w:lvl w:ilvl="1" w:tplc="39FAAAE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F514DCE"/>
    <w:multiLevelType w:val="hybridMultilevel"/>
    <w:tmpl w:val="49C45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71BD38D8"/>
    <w:multiLevelType w:val="hybridMultilevel"/>
    <w:tmpl w:val="03D8B8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729F1F5D"/>
    <w:multiLevelType w:val="multilevel"/>
    <w:tmpl w:val="7C183236"/>
    <w:lvl w:ilvl="0">
      <w:start w:val="1"/>
      <w:numFmt w:val="decimal"/>
      <w:lvlText w:val="%1."/>
      <w:lvlJc w:val="left"/>
      <w:pPr>
        <w:ind w:left="720" w:hanging="360"/>
      </w:pPr>
      <w:rPr>
        <w:rFonts w:hint="default"/>
      </w:rPr>
    </w:lvl>
    <w:lvl w:ilvl="1">
      <w:start w:val="9"/>
      <w:numFmt w:val="decimal"/>
      <w:isLgl/>
      <w:lvlText w:val="%1.%2."/>
      <w:lvlJc w:val="left"/>
      <w:pPr>
        <w:ind w:left="360" w:hanging="360"/>
      </w:pPr>
      <w:rPr>
        <w:rFonts w:hint="default"/>
        <w:i w:val="0"/>
      </w:rPr>
    </w:lvl>
    <w:lvl w:ilvl="2">
      <w:start w:val="1"/>
      <w:numFmt w:val="decimal"/>
      <w:isLgl/>
      <w:lvlText w:val="%1.%2.%3."/>
      <w:lvlJc w:val="left"/>
      <w:pPr>
        <w:ind w:left="99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51" w15:restartNumberingAfterBreak="0">
    <w:nsid w:val="72B96F50"/>
    <w:multiLevelType w:val="hybridMultilevel"/>
    <w:tmpl w:val="55ECAB38"/>
    <w:lvl w:ilvl="0" w:tplc="1A800F66">
      <w:start w:val="1"/>
      <w:numFmt w:val="bullet"/>
      <w:pStyle w:val="ListBullet"/>
      <w:lvlText w:val="•"/>
      <w:lvlJc w:val="left"/>
      <w:pPr>
        <w:tabs>
          <w:tab w:val="num" w:pos="2520"/>
        </w:tabs>
        <w:ind w:left="2520" w:hanging="360"/>
      </w:pPr>
      <w:rPr>
        <w:rFonts w:ascii="Arial" w:hAnsi="Arial" w:hint="default"/>
        <w:sz w:val="24"/>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77710723"/>
    <w:multiLevelType w:val="hybridMultilevel"/>
    <w:tmpl w:val="38B61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7901311"/>
    <w:multiLevelType w:val="hybridMultilevel"/>
    <w:tmpl w:val="923694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78D12E20"/>
    <w:multiLevelType w:val="hybridMultilevel"/>
    <w:tmpl w:val="8188DC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78F2284D"/>
    <w:multiLevelType w:val="hybridMultilevel"/>
    <w:tmpl w:val="8D78B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7A3C23CE"/>
    <w:multiLevelType w:val="hybridMultilevel"/>
    <w:tmpl w:val="8CC86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B0D6941"/>
    <w:multiLevelType w:val="hybridMultilevel"/>
    <w:tmpl w:val="158ACD2C"/>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7B1E7C2B"/>
    <w:multiLevelType w:val="hybridMultilevel"/>
    <w:tmpl w:val="489296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7B925E6C"/>
    <w:multiLevelType w:val="hybridMultilevel"/>
    <w:tmpl w:val="38B4E056"/>
    <w:lvl w:ilvl="0" w:tplc="FFFFFFFF">
      <w:start w:val="1"/>
      <w:numFmt w:val="decimal"/>
      <w:lvlText w:val="%1."/>
      <w:lvlJc w:val="left"/>
      <w:pPr>
        <w:tabs>
          <w:tab w:val="num" w:pos="720"/>
        </w:tabs>
        <w:ind w:left="72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B972EB3"/>
    <w:multiLevelType w:val="hybridMultilevel"/>
    <w:tmpl w:val="9162C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CEE1834"/>
    <w:multiLevelType w:val="multilevel"/>
    <w:tmpl w:val="7C786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DD119AD"/>
    <w:multiLevelType w:val="hybridMultilevel"/>
    <w:tmpl w:val="8D22B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E7E6E7C"/>
    <w:multiLevelType w:val="hybridMultilevel"/>
    <w:tmpl w:val="2BC0C9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7E893376"/>
    <w:multiLevelType w:val="hybridMultilevel"/>
    <w:tmpl w:val="FF40E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7EB94542"/>
    <w:multiLevelType w:val="hybridMultilevel"/>
    <w:tmpl w:val="C99C19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3743432">
    <w:abstractNumId w:val="117"/>
  </w:num>
  <w:num w:numId="2" w16cid:durableId="1050151891">
    <w:abstractNumId w:val="151"/>
  </w:num>
  <w:num w:numId="3" w16cid:durableId="620574724">
    <w:abstractNumId w:val="35"/>
  </w:num>
  <w:num w:numId="4" w16cid:durableId="1879317398">
    <w:abstractNumId w:val="158"/>
  </w:num>
  <w:num w:numId="5" w16cid:durableId="766000984">
    <w:abstractNumId w:val="20"/>
  </w:num>
  <w:num w:numId="6" w16cid:durableId="977613275">
    <w:abstractNumId w:val="147"/>
  </w:num>
  <w:num w:numId="7" w16cid:durableId="1746952483">
    <w:abstractNumId w:val="105"/>
  </w:num>
  <w:num w:numId="8" w16cid:durableId="152455601">
    <w:abstractNumId w:val="8"/>
  </w:num>
  <w:num w:numId="9" w16cid:durableId="108817556">
    <w:abstractNumId w:val="111"/>
  </w:num>
  <w:num w:numId="10" w16cid:durableId="1931429417">
    <w:abstractNumId w:val="162"/>
  </w:num>
  <w:num w:numId="11" w16cid:durableId="2089691664">
    <w:abstractNumId w:val="136"/>
  </w:num>
  <w:num w:numId="12" w16cid:durableId="693658218">
    <w:abstractNumId w:val="32"/>
  </w:num>
  <w:num w:numId="13" w16cid:durableId="339233384">
    <w:abstractNumId w:val="84"/>
  </w:num>
  <w:num w:numId="14" w16cid:durableId="221598370">
    <w:abstractNumId w:val="156"/>
  </w:num>
  <w:num w:numId="15" w16cid:durableId="1666057716">
    <w:abstractNumId w:val="26"/>
  </w:num>
  <w:num w:numId="16" w16cid:durableId="391392154">
    <w:abstractNumId w:val="98"/>
  </w:num>
  <w:num w:numId="17" w16cid:durableId="147937957">
    <w:abstractNumId w:val="163"/>
  </w:num>
  <w:num w:numId="18" w16cid:durableId="727068095">
    <w:abstractNumId w:val="96"/>
  </w:num>
  <w:num w:numId="19" w16cid:durableId="1463502524">
    <w:abstractNumId w:val="40"/>
  </w:num>
  <w:num w:numId="20" w16cid:durableId="330525867">
    <w:abstractNumId w:val="87"/>
  </w:num>
  <w:num w:numId="21" w16cid:durableId="772633374">
    <w:abstractNumId w:val="68"/>
  </w:num>
  <w:num w:numId="22" w16cid:durableId="268582219">
    <w:abstractNumId w:val="60"/>
  </w:num>
  <w:num w:numId="23" w16cid:durableId="1660496783">
    <w:abstractNumId w:val="137"/>
  </w:num>
  <w:num w:numId="24" w16cid:durableId="1556700268">
    <w:abstractNumId w:val="153"/>
  </w:num>
  <w:num w:numId="25" w16cid:durableId="1398166150">
    <w:abstractNumId w:val="152"/>
  </w:num>
  <w:num w:numId="26" w16cid:durableId="1520848550">
    <w:abstractNumId w:val="134"/>
  </w:num>
  <w:num w:numId="27" w16cid:durableId="1425878256">
    <w:abstractNumId w:val="150"/>
  </w:num>
  <w:num w:numId="28" w16cid:durableId="1409620585">
    <w:abstractNumId w:val="37"/>
  </w:num>
  <w:num w:numId="29" w16cid:durableId="1336687249">
    <w:abstractNumId w:val="83"/>
  </w:num>
  <w:num w:numId="30" w16cid:durableId="662926931">
    <w:abstractNumId w:val="65"/>
  </w:num>
  <w:num w:numId="31" w16cid:durableId="496768325">
    <w:abstractNumId w:val="85"/>
  </w:num>
  <w:num w:numId="32" w16cid:durableId="83502228">
    <w:abstractNumId w:val="118"/>
  </w:num>
  <w:num w:numId="33" w16cid:durableId="192889495">
    <w:abstractNumId w:val="29"/>
  </w:num>
  <w:num w:numId="34" w16cid:durableId="302197364">
    <w:abstractNumId w:val="11"/>
  </w:num>
  <w:num w:numId="35" w16cid:durableId="327904362">
    <w:abstractNumId w:val="93"/>
  </w:num>
  <w:num w:numId="36" w16cid:durableId="1315376967">
    <w:abstractNumId w:val="135"/>
  </w:num>
  <w:num w:numId="37" w16cid:durableId="498423286">
    <w:abstractNumId w:val="14"/>
  </w:num>
  <w:num w:numId="38" w16cid:durableId="1094935007">
    <w:abstractNumId w:val="149"/>
  </w:num>
  <w:num w:numId="39" w16cid:durableId="327708577">
    <w:abstractNumId w:val="48"/>
  </w:num>
  <w:num w:numId="40" w16cid:durableId="1808814437">
    <w:abstractNumId w:val="127"/>
  </w:num>
  <w:num w:numId="41" w16cid:durableId="944465756">
    <w:abstractNumId w:val="102"/>
  </w:num>
  <w:num w:numId="42" w16cid:durableId="403652575">
    <w:abstractNumId w:val="9"/>
  </w:num>
  <w:num w:numId="43" w16cid:durableId="204028188">
    <w:abstractNumId w:val="144"/>
  </w:num>
  <w:num w:numId="44" w16cid:durableId="1643195430">
    <w:abstractNumId w:val="130"/>
  </w:num>
  <w:num w:numId="45" w16cid:durableId="836463176">
    <w:abstractNumId w:val="50"/>
  </w:num>
  <w:num w:numId="46" w16cid:durableId="820851408">
    <w:abstractNumId w:val="165"/>
  </w:num>
  <w:num w:numId="47" w16cid:durableId="570508105">
    <w:abstractNumId w:val="126"/>
  </w:num>
  <w:num w:numId="48" w16cid:durableId="287393152">
    <w:abstractNumId w:val="112"/>
  </w:num>
  <w:num w:numId="49" w16cid:durableId="1729106722">
    <w:abstractNumId w:val="25"/>
  </w:num>
  <w:num w:numId="50" w16cid:durableId="1440485037">
    <w:abstractNumId w:val="148"/>
  </w:num>
  <w:num w:numId="51" w16cid:durableId="344288188">
    <w:abstractNumId w:val="124"/>
  </w:num>
  <w:num w:numId="52" w16cid:durableId="830679988">
    <w:abstractNumId w:val="59"/>
  </w:num>
  <w:num w:numId="53" w16cid:durableId="421414920">
    <w:abstractNumId w:val="157"/>
  </w:num>
  <w:num w:numId="54" w16cid:durableId="127164385">
    <w:abstractNumId w:val="52"/>
  </w:num>
  <w:num w:numId="55" w16cid:durableId="2028290378">
    <w:abstractNumId w:val="81"/>
  </w:num>
  <w:num w:numId="56" w16cid:durableId="28115161">
    <w:abstractNumId w:val="114"/>
  </w:num>
  <w:num w:numId="57" w16cid:durableId="726145141">
    <w:abstractNumId w:val="47"/>
  </w:num>
  <w:num w:numId="58" w16cid:durableId="892696464">
    <w:abstractNumId w:val="122"/>
  </w:num>
  <w:num w:numId="59" w16cid:durableId="1403215704">
    <w:abstractNumId w:val="139"/>
  </w:num>
  <w:num w:numId="60" w16cid:durableId="1034694703">
    <w:abstractNumId w:val="56"/>
  </w:num>
  <w:num w:numId="61" w16cid:durableId="838041232">
    <w:abstractNumId w:val="143"/>
  </w:num>
  <w:num w:numId="62" w16cid:durableId="1205370032">
    <w:abstractNumId w:val="42"/>
  </w:num>
  <w:num w:numId="63" w16cid:durableId="152914005">
    <w:abstractNumId w:val="140"/>
  </w:num>
  <w:num w:numId="64" w16cid:durableId="1658146780">
    <w:abstractNumId w:val="97"/>
  </w:num>
  <w:num w:numId="65" w16cid:durableId="446849079">
    <w:abstractNumId w:val="131"/>
  </w:num>
  <w:num w:numId="66" w16cid:durableId="1356227097">
    <w:abstractNumId w:val="108"/>
  </w:num>
  <w:num w:numId="67" w16cid:durableId="1220247400">
    <w:abstractNumId w:val="67"/>
  </w:num>
  <w:num w:numId="68" w16cid:durableId="759983218">
    <w:abstractNumId w:val="103"/>
  </w:num>
  <w:num w:numId="69" w16cid:durableId="1413509075">
    <w:abstractNumId w:val="69"/>
  </w:num>
  <w:num w:numId="70" w16cid:durableId="1480686696">
    <w:abstractNumId w:val="49"/>
  </w:num>
  <w:num w:numId="71" w16cid:durableId="331224617">
    <w:abstractNumId w:val="44"/>
  </w:num>
  <w:num w:numId="72" w16cid:durableId="32194902">
    <w:abstractNumId w:val="17"/>
  </w:num>
  <w:num w:numId="73" w16cid:durableId="429162419">
    <w:abstractNumId w:val="18"/>
  </w:num>
  <w:num w:numId="74" w16cid:durableId="1835338142">
    <w:abstractNumId w:val="104"/>
  </w:num>
  <w:num w:numId="75" w16cid:durableId="1557863072">
    <w:abstractNumId w:val="23"/>
  </w:num>
  <w:num w:numId="76" w16cid:durableId="1773207944">
    <w:abstractNumId w:val="100"/>
  </w:num>
  <w:num w:numId="77" w16cid:durableId="1832866101">
    <w:abstractNumId w:val="129"/>
  </w:num>
  <w:num w:numId="78" w16cid:durableId="1622346971">
    <w:abstractNumId w:val="88"/>
  </w:num>
  <w:num w:numId="79" w16cid:durableId="1497764638">
    <w:abstractNumId w:val="101"/>
  </w:num>
  <w:num w:numId="80" w16cid:durableId="1439791721">
    <w:abstractNumId w:val="141"/>
  </w:num>
  <w:num w:numId="81" w16cid:durableId="632953796">
    <w:abstractNumId w:val="71"/>
  </w:num>
  <w:num w:numId="82" w16cid:durableId="1066950554">
    <w:abstractNumId w:val="145"/>
  </w:num>
  <w:num w:numId="83" w16cid:durableId="1914002516">
    <w:abstractNumId w:val="12"/>
  </w:num>
  <w:num w:numId="84" w16cid:durableId="1262451709">
    <w:abstractNumId w:val="41"/>
  </w:num>
  <w:num w:numId="85" w16cid:durableId="2051606035">
    <w:abstractNumId w:val="92"/>
  </w:num>
  <w:num w:numId="86" w16cid:durableId="1041826211">
    <w:abstractNumId w:val="110"/>
  </w:num>
  <w:num w:numId="87" w16cid:durableId="1875195433">
    <w:abstractNumId w:val="66"/>
  </w:num>
  <w:num w:numId="88" w16cid:durableId="1516263951">
    <w:abstractNumId w:val="120"/>
  </w:num>
  <w:num w:numId="89" w16cid:durableId="1943295916">
    <w:abstractNumId w:val="13"/>
  </w:num>
  <w:num w:numId="90" w16cid:durableId="1281914341">
    <w:abstractNumId w:val="55"/>
  </w:num>
  <w:num w:numId="91" w16cid:durableId="95752356">
    <w:abstractNumId w:val="80"/>
  </w:num>
  <w:num w:numId="92" w16cid:durableId="249316473">
    <w:abstractNumId w:val="61"/>
  </w:num>
  <w:num w:numId="93" w16cid:durableId="1957447650">
    <w:abstractNumId w:val="57"/>
  </w:num>
  <w:num w:numId="94" w16cid:durableId="1105273195">
    <w:abstractNumId w:val="64"/>
  </w:num>
  <w:num w:numId="95" w16cid:durableId="290793702">
    <w:abstractNumId w:val="119"/>
  </w:num>
  <w:num w:numId="96" w16cid:durableId="1804352045">
    <w:abstractNumId w:val="146"/>
  </w:num>
  <w:num w:numId="97" w16cid:durableId="324020048">
    <w:abstractNumId w:val="46"/>
  </w:num>
  <w:num w:numId="98" w16cid:durableId="421493024">
    <w:abstractNumId w:val="54"/>
  </w:num>
  <w:num w:numId="99" w16cid:durableId="1580866306">
    <w:abstractNumId w:val="15"/>
  </w:num>
  <w:num w:numId="100" w16cid:durableId="823591121">
    <w:abstractNumId w:val="58"/>
  </w:num>
  <w:num w:numId="101" w16cid:durableId="1404258959">
    <w:abstractNumId w:val="70"/>
  </w:num>
  <w:num w:numId="102" w16cid:durableId="1600523747">
    <w:abstractNumId w:val="34"/>
  </w:num>
  <w:num w:numId="103" w16cid:durableId="1561020210">
    <w:abstractNumId w:val="99"/>
  </w:num>
  <w:num w:numId="104" w16cid:durableId="179782787">
    <w:abstractNumId w:val="33"/>
  </w:num>
  <w:num w:numId="105" w16cid:durableId="64108401">
    <w:abstractNumId w:val="7"/>
  </w:num>
  <w:num w:numId="106" w16cid:durableId="1011374605">
    <w:abstractNumId w:val="6"/>
  </w:num>
  <w:num w:numId="107" w16cid:durableId="116489059">
    <w:abstractNumId w:val="5"/>
  </w:num>
  <w:num w:numId="108" w16cid:durableId="1784035878">
    <w:abstractNumId w:val="4"/>
  </w:num>
  <w:num w:numId="109" w16cid:durableId="708653294">
    <w:abstractNumId w:val="3"/>
  </w:num>
  <w:num w:numId="110" w16cid:durableId="1941835900">
    <w:abstractNumId w:val="2"/>
  </w:num>
  <w:num w:numId="111" w16cid:durableId="910389980">
    <w:abstractNumId w:val="1"/>
  </w:num>
  <w:num w:numId="112" w16cid:durableId="438843315">
    <w:abstractNumId w:val="0"/>
  </w:num>
  <w:num w:numId="113" w16cid:durableId="719062982">
    <w:abstractNumId w:val="43"/>
  </w:num>
  <w:num w:numId="114" w16cid:durableId="1119641505">
    <w:abstractNumId w:val="51"/>
  </w:num>
  <w:num w:numId="115" w16cid:durableId="2064669275">
    <w:abstractNumId w:val="106"/>
  </w:num>
  <w:num w:numId="116" w16cid:durableId="2063745668">
    <w:abstractNumId w:val="160"/>
  </w:num>
  <w:num w:numId="117" w16cid:durableId="1614286043">
    <w:abstractNumId w:val="73"/>
  </w:num>
  <w:num w:numId="118" w16cid:durableId="1322656360">
    <w:abstractNumId w:val="62"/>
  </w:num>
  <w:num w:numId="119" w16cid:durableId="634726662">
    <w:abstractNumId w:val="63"/>
  </w:num>
  <w:num w:numId="120" w16cid:durableId="83764179">
    <w:abstractNumId w:val="24"/>
  </w:num>
  <w:num w:numId="121" w16cid:durableId="31227427">
    <w:abstractNumId w:val="161"/>
  </w:num>
  <w:num w:numId="122" w16cid:durableId="1436484561">
    <w:abstractNumId w:val="86"/>
  </w:num>
  <w:num w:numId="123" w16cid:durableId="793788488">
    <w:abstractNumId w:val="107"/>
  </w:num>
  <w:num w:numId="124" w16cid:durableId="105661519">
    <w:abstractNumId w:val="89"/>
  </w:num>
  <w:num w:numId="125" w16cid:durableId="805245574">
    <w:abstractNumId w:val="36"/>
  </w:num>
  <w:num w:numId="126" w16cid:durableId="681054447">
    <w:abstractNumId w:val="125"/>
  </w:num>
  <w:num w:numId="127" w16cid:durableId="1143045050">
    <w:abstractNumId w:val="138"/>
  </w:num>
  <w:num w:numId="128" w16cid:durableId="726417915">
    <w:abstractNumId w:val="22"/>
  </w:num>
  <w:num w:numId="129" w16cid:durableId="787361189">
    <w:abstractNumId w:val="109"/>
  </w:num>
  <w:num w:numId="130" w16cid:durableId="2091930276">
    <w:abstractNumId w:val="142"/>
  </w:num>
  <w:num w:numId="131" w16cid:durableId="303311725">
    <w:abstractNumId w:val="132"/>
  </w:num>
  <w:num w:numId="132" w16cid:durableId="2085104222">
    <w:abstractNumId w:val="27"/>
  </w:num>
  <w:num w:numId="133" w16cid:durableId="1228034632">
    <w:abstractNumId w:val="133"/>
  </w:num>
  <w:num w:numId="134" w16cid:durableId="191916537">
    <w:abstractNumId w:val="79"/>
  </w:num>
  <w:num w:numId="135" w16cid:durableId="1298221455">
    <w:abstractNumId w:val="72"/>
  </w:num>
  <w:num w:numId="136" w16cid:durableId="819272223">
    <w:abstractNumId w:val="19"/>
  </w:num>
  <w:num w:numId="137" w16cid:durableId="265161455">
    <w:abstractNumId w:val="45"/>
  </w:num>
  <w:num w:numId="138" w16cid:durableId="376781093">
    <w:abstractNumId w:val="94"/>
  </w:num>
  <w:num w:numId="139" w16cid:durableId="857081605">
    <w:abstractNumId w:val="10"/>
  </w:num>
  <w:num w:numId="140" w16cid:durableId="1679120116">
    <w:abstractNumId w:val="31"/>
  </w:num>
  <w:num w:numId="141" w16cid:durableId="886642069">
    <w:abstractNumId w:val="82"/>
  </w:num>
  <w:num w:numId="142" w16cid:durableId="1189610462">
    <w:abstractNumId w:val="39"/>
  </w:num>
  <w:num w:numId="143" w16cid:durableId="965890135">
    <w:abstractNumId w:val="128"/>
  </w:num>
  <w:num w:numId="144" w16cid:durableId="552809935">
    <w:abstractNumId w:val="164"/>
  </w:num>
  <w:num w:numId="145" w16cid:durableId="55051957">
    <w:abstractNumId w:val="155"/>
  </w:num>
  <w:num w:numId="146" w16cid:durableId="528496457">
    <w:abstractNumId w:val="53"/>
  </w:num>
  <w:num w:numId="147" w16cid:durableId="773983574">
    <w:abstractNumId w:val="115"/>
  </w:num>
  <w:num w:numId="148" w16cid:durableId="1133793145">
    <w:abstractNumId w:val="121"/>
  </w:num>
  <w:num w:numId="149" w16cid:durableId="12189722">
    <w:abstractNumId w:val="28"/>
  </w:num>
  <w:num w:numId="150" w16cid:durableId="2081905056">
    <w:abstractNumId w:val="38"/>
  </w:num>
  <w:num w:numId="151" w16cid:durableId="887650430">
    <w:abstractNumId w:val="113"/>
  </w:num>
  <w:num w:numId="152" w16cid:durableId="572542453">
    <w:abstractNumId w:val="16"/>
  </w:num>
  <w:num w:numId="153" w16cid:durableId="1181893847">
    <w:abstractNumId w:val="77"/>
  </w:num>
  <w:num w:numId="154" w16cid:durableId="1602494515">
    <w:abstractNumId w:val="21"/>
  </w:num>
  <w:num w:numId="155" w16cid:durableId="934247053">
    <w:abstractNumId w:val="76"/>
  </w:num>
  <w:num w:numId="156" w16cid:durableId="489562542">
    <w:abstractNumId w:val="116"/>
  </w:num>
  <w:num w:numId="157" w16cid:durableId="615714239">
    <w:abstractNumId w:val="154"/>
  </w:num>
  <w:num w:numId="158" w16cid:durableId="1361516569">
    <w:abstractNumId w:val="75"/>
  </w:num>
  <w:num w:numId="159" w16cid:durableId="712997564">
    <w:abstractNumId w:val="95"/>
  </w:num>
  <w:num w:numId="160" w16cid:durableId="1992783357">
    <w:abstractNumId w:val="91"/>
  </w:num>
  <w:num w:numId="161" w16cid:durableId="2059351105">
    <w:abstractNumId w:val="123"/>
  </w:num>
  <w:num w:numId="162" w16cid:durableId="1213350660">
    <w:abstractNumId w:val="90"/>
  </w:num>
  <w:num w:numId="163" w16cid:durableId="1914198138">
    <w:abstractNumId w:val="30"/>
  </w:num>
  <w:num w:numId="164" w16cid:durableId="1580745458">
    <w:abstractNumId w:val="74"/>
  </w:num>
  <w:num w:numId="165" w16cid:durableId="610673452">
    <w:abstractNumId w:val="78"/>
  </w:num>
  <w:num w:numId="166" w16cid:durableId="657612687">
    <w:abstractNumId w:val="159"/>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1" w:cryptProviderType="rsaAES" w:cryptAlgorithmClass="hash" w:cryptAlgorithmType="typeAny" w:cryptAlgorithmSid="14" w:cryptSpinCount="100000" w:hash="7upLI8BuomYGeH0KpPNV4xeOYK3dEUBQRYM5KVV0UcQTKFyc4fSMnMnl4xGnmXzw6E2UYQrLRTIrApRZkqYxKw==" w:salt="0LhSNTiELpibKUEXgAZsqw=="/>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3FA"/>
    <w:rsid w:val="00000320"/>
    <w:rsid w:val="0000038D"/>
    <w:rsid w:val="00000505"/>
    <w:rsid w:val="0000051E"/>
    <w:rsid w:val="0000052A"/>
    <w:rsid w:val="0000074C"/>
    <w:rsid w:val="000007C0"/>
    <w:rsid w:val="000007CD"/>
    <w:rsid w:val="0000085F"/>
    <w:rsid w:val="00000997"/>
    <w:rsid w:val="000009D8"/>
    <w:rsid w:val="00000A83"/>
    <w:rsid w:val="00000C28"/>
    <w:rsid w:val="000011E4"/>
    <w:rsid w:val="000014D2"/>
    <w:rsid w:val="00001500"/>
    <w:rsid w:val="000016A0"/>
    <w:rsid w:val="000017D3"/>
    <w:rsid w:val="00001A05"/>
    <w:rsid w:val="00001CD8"/>
    <w:rsid w:val="00001D6A"/>
    <w:rsid w:val="00001DDA"/>
    <w:rsid w:val="00001F1E"/>
    <w:rsid w:val="00002336"/>
    <w:rsid w:val="000025F4"/>
    <w:rsid w:val="000025FD"/>
    <w:rsid w:val="00002753"/>
    <w:rsid w:val="000028C2"/>
    <w:rsid w:val="0000296F"/>
    <w:rsid w:val="000029D3"/>
    <w:rsid w:val="00002DC8"/>
    <w:rsid w:val="00002DCF"/>
    <w:rsid w:val="00002F7E"/>
    <w:rsid w:val="000030D6"/>
    <w:rsid w:val="00003157"/>
    <w:rsid w:val="00003480"/>
    <w:rsid w:val="000034D7"/>
    <w:rsid w:val="00003599"/>
    <w:rsid w:val="00003674"/>
    <w:rsid w:val="000036AE"/>
    <w:rsid w:val="000037FB"/>
    <w:rsid w:val="0000397D"/>
    <w:rsid w:val="00003C58"/>
    <w:rsid w:val="00003C73"/>
    <w:rsid w:val="00003CCB"/>
    <w:rsid w:val="00003DE0"/>
    <w:rsid w:val="00003E64"/>
    <w:rsid w:val="00003F79"/>
    <w:rsid w:val="000040E7"/>
    <w:rsid w:val="0000416C"/>
    <w:rsid w:val="000041C0"/>
    <w:rsid w:val="0000437E"/>
    <w:rsid w:val="000044B6"/>
    <w:rsid w:val="000048B0"/>
    <w:rsid w:val="00004982"/>
    <w:rsid w:val="00004C37"/>
    <w:rsid w:val="00004D5B"/>
    <w:rsid w:val="00004EBB"/>
    <w:rsid w:val="000050D0"/>
    <w:rsid w:val="00005109"/>
    <w:rsid w:val="0000521A"/>
    <w:rsid w:val="0000548F"/>
    <w:rsid w:val="000054A3"/>
    <w:rsid w:val="00005700"/>
    <w:rsid w:val="000058DB"/>
    <w:rsid w:val="00005AAE"/>
    <w:rsid w:val="00005AFE"/>
    <w:rsid w:val="00005D74"/>
    <w:rsid w:val="00005F49"/>
    <w:rsid w:val="00005F4E"/>
    <w:rsid w:val="0000600F"/>
    <w:rsid w:val="00006109"/>
    <w:rsid w:val="00006130"/>
    <w:rsid w:val="000062BF"/>
    <w:rsid w:val="000063AE"/>
    <w:rsid w:val="0000646F"/>
    <w:rsid w:val="00006489"/>
    <w:rsid w:val="00006558"/>
    <w:rsid w:val="000065ED"/>
    <w:rsid w:val="0000696C"/>
    <w:rsid w:val="00006DD5"/>
    <w:rsid w:val="00006E90"/>
    <w:rsid w:val="000071CD"/>
    <w:rsid w:val="0000724F"/>
    <w:rsid w:val="00007410"/>
    <w:rsid w:val="00007836"/>
    <w:rsid w:val="00007B7B"/>
    <w:rsid w:val="00007B91"/>
    <w:rsid w:val="0001023A"/>
    <w:rsid w:val="00010275"/>
    <w:rsid w:val="000102D5"/>
    <w:rsid w:val="00010441"/>
    <w:rsid w:val="00010570"/>
    <w:rsid w:val="000105D3"/>
    <w:rsid w:val="00010604"/>
    <w:rsid w:val="0001061D"/>
    <w:rsid w:val="00010638"/>
    <w:rsid w:val="000107B2"/>
    <w:rsid w:val="000107BA"/>
    <w:rsid w:val="000109C2"/>
    <w:rsid w:val="00010B34"/>
    <w:rsid w:val="00010B36"/>
    <w:rsid w:val="00010C80"/>
    <w:rsid w:val="00010CBF"/>
    <w:rsid w:val="00010DAE"/>
    <w:rsid w:val="00010DE3"/>
    <w:rsid w:val="00010E29"/>
    <w:rsid w:val="00010EBC"/>
    <w:rsid w:val="000110C0"/>
    <w:rsid w:val="000112B2"/>
    <w:rsid w:val="00011333"/>
    <w:rsid w:val="00011382"/>
    <w:rsid w:val="00011487"/>
    <w:rsid w:val="000114FD"/>
    <w:rsid w:val="0001153D"/>
    <w:rsid w:val="0001158F"/>
    <w:rsid w:val="00011898"/>
    <w:rsid w:val="000119E8"/>
    <w:rsid w:val="00011A12"/>
    <w:rsid w:val="00011AC8"/>
    <w:rsid w:val="00011ACC"/>
    <w:rsid w:val="00011B3E"/>
    <w:rsid w:val="00011FE0"/>
    <w:rsid w:val="00012224"/>
    <w:rsid w:val="000123F5"/>
    <w:rsid w:val="00012522"/>
    <w:rsid w:val="000125D3"/>
    <w:rsid w:val="000128FA"/>
    <w:rsid w:val="00012995"/>
    <w:rsid w:val="000129EB"/>
    <w:rsid w:val="00012A08"/>
    <w:rsid w:val="00012A13"/>
    <w:rsid w:val="00012C3D"/>
    <w:rsid w:val="0001303D"/>
    <w:rsid w:val="00013100"/>
    <w:rsid w:val="00013190"/>
    <w:rsid w:val="000131F9"/>
    <w:rsid w:val="0001354F"/>
    <w:rsid w:val="00013653"/>
    <w:rsid w:val="0001370B"/>
    <w:rsid w:val="000137D9"/>
    <w:rsid w:val="00013834"/>
    <w:rsid w:val="0001392C"/>
    <w:rsid w:val="00013D1C"/>
    <w:rsid w:val="00013D3F"/>
    <w:rsid w:val="00013E62"/>
    <w:rsid w:val="00013F32"/>
    <w:rsid w:val="0001408E"/>
    <w:rsid w:val="00014167"/>
    <w:rsid w:val="000142B2"/>
    <w:rsid w:val="00014307"/>
    <w:rsid w:val="0001432D"/>
    <w:rsid w:val="0001439D"/>
    <w:rsid w:val="000143A5"/>
    <w:rsid w:val="000144E7"/>
    <w:rsid w:val="00014608"/>
    <w:rsid w:val="000146B1"/>
    <w:rsid w:val="000147B2"/>
    <w:rsid w:val="000147F3"/>
    <w:rsid w:val="00014A39"/>
    <w:rsid w:val="00014B0A"/>
    <w:rsid w:val="00014BC1"/>
    <w:rsid w:val="00014E9A"/>
    <w:rsid w:val="00014EA6"/>
    <w:rsid w:val="00014F9C"/>
    <w:rsid w:val="000152D0"/>
    <w:rsid w:val="00015434"/>
    <w:rsid w:val="00015614"/>
    <w:rsid w:val="000156D4"/>
    <w:rsid w:val="00015711"/>
    <w:rsid w:val="00015750"/>
    <w:rsid w:val="00015A70"/>
    <w:rsid w:val="00015A7D"/>
    <w:rsid w:val="00015AF1"/>
    <w:rsid w:val="00015BDF"/>
    <w:rsid w:val="00015F61"/>
    <w:rsid w:val="00015F80"/>
    <w:rsid w:val="00015FAA"/>
    <w:rsid w:val="000161D5"/>
    <w:rsid w:val="00016504"/>
    <w:rsid w:val="0001664E"/>
    <w:rsid w:val="00016690"/>
    <w:rsid w:val="00016726"/>
    <w:rsid w:val="0001676A"/>
    <w:rsid w:val="000168A0"/>
    <w:rsid w:val="0001694A"/>
    <w:rsid w:val="00016999"/>
    <w:rsid w:val="00016DBB"/>
    <w:rsid w:val="00016DFD"/>
    <w:rsid w:val="00016F45"/>
    <w:rsid w:val="00016FD6"/>
    <w:rsid w:val="00017065"/>
    <w:rsid w:val="000173DC"/>
    <w:rsid w:val="000177B9"/>
    <w:rsid w:val="00017A6D"/>
    <w:rsid w:val="00017D1C"/>
    <w:rsid w:val="00017D6D"/>
    <w:rsid w:val="00017E58"/>
    <w:rsid w:val="00017FA4"/>
    <w:rsid w:val="00020141"/>
    <w:rsid w:val="00020151"/>
    <w:rsid w:val="000201D6"/>
    <w:rsid w:val="00020415"/>
    <w:rsid w:val="000204E5"/>
    <w:rsid w:val="0002067B"/>
    <w:rsid w:val="000206ED"/>
    <w:rsid w:val="00020729"/>
    <w:rsid w:val="00020767"/>
    <w:rsid w:val="00020788"/>
    <w:rsid w:val="000207B7"/>
    <w:rsid w:val="000207FB"/>
    <w:rsid w:val="000208E2"/>
    <w:rsid w:val="00020971"/>
    <w:rsid w:val="000209AE"/>
    <w:rsid w:val="00020A63"/>
    <w:rsid w:val="00020C76"/>
    <w:rsid w:val="00020DED"/>
    <w:rsid w:val="00020E59"/>
    <w:rsid w:val="0002108F"/>
    <w:rsid w:val="0002148D"/>
    <w:rsid w:val="00021644"/>
    <w:rsid w:val="00021AF0"/>
    <w:rsid w:val="00021C3C"/>
    <w:rsid w:val="00021CE3"/>
    <w:rsid w:val="00021D43"/>
    <w:rsid w:val="00022028"/>
    <w:rsid w:val="0002213B"/>
    <w:rsid w:val="00022211"/>
    <w:rsid w:val="00022330"/>
    <w:rsid w:val="0002237F"/>
    <w:rsid w:val="000223C8"/>
    <w:rsid w:val="00022473"/>
    <w:rsid w:val="0002275A"/>
    <w:rsid w:val="00022943"/>
    <w:rsid w:val="0002296C"/>
    <w:rsid w:val="00022C3A"/>
    <w:rsid w:val="00022CBC"/>
    <w:rsid w:val="00022D1F"/>
    <w:rsid w:val="00022D84"/>
    <w:rsid w:val="00022EE2"/>
    <w:rsid w:val="00022EF7"/>
    <w:rsid w:val="00023022"/>
    <w:rsid w:val="00023261"/>
    <w:rsid w:val="0002373B"/>
    <w:rsid w:val="0002391E"/>
    <w:rsid w:val="00023AAF"/>
    <w:rsid w:val="00023B94"/>
    <w:rsid w:val="00023BEC"/>
    <w:rsid w:val="00023DA6"/>
    <w:rsid w:val="00023DB5"/>
    <w:rsid w:val="00023F69"/>
    <w:rsid w:val="0002409F"/>
    <w:rsid w:val="000240ED"/>
    <w:rsid w:val="000241CE"/>
    <w:rsid w:val="000242DF"/>
    <w:rsid w:val="00024394"/>
    <w:rsid w:val="000245E9"/>
    <w:rsid w:val="000245F7"/>
    <w:rsid w:val="0002460D"/>
    <w:rsid w:val="0002472B"/>
    <w:rsid w:val="00024818"/>
    <w:rsid w:val="000248A2"/>
    <w:rsid w:val="000248F6"/>
    <w:rsid w:val="00024933"/>
    <w:rsid w:val="00024955"/>
    <w:rsid w:val="00024968"/>
    <w:rsid w:val="00024A28"/>
    <w:rsid w:val="00024A3B"/>
    <w:rsid w:val="00024ACD"/>
    <w:rsid w:val="00024B3B"/>
    <w:rsid w:val="00024D2F"/>
    <w:rsid w:val="00024D91"/>
    <w:rsid w:val="00024F1F"/>
    <w:rsid w:val="00025128"/>
    <w:rsid w:val="000251B6"/>
    <w:rsid w:val="00025336"/>
    <w:rsid w:val="0002543D"/>
    <w:rsid w:val="000255ED"/>
    <w:rsid w:val="00025830"/>
    <w:rsid w:val="00025920"/>
    <w:rsid w:val="00025949"/>
    <w:rsid w:val="00025962"/>
    <w:rsid w:val="00025BBD"/>
    <w:rsid w:val="00025C93"/>
    <w:rsid w:val="00025D84"/>
    <w:rsid w:val="00025D92"/>
    <w:rsid w:val="00025DD5"/>
    <w:rsid w:val="00025DD8"/>
    <w:rsid w:val="00025F2E"/>
    <w:rsid w:val="000261DA"/>
    <w:rsid w:val="000261F5"/>
    <w:rsid w:val="000264FF"/>
    <w:rsid w:val="00026540"/>
    <w:rsid w:val="000266C9"/>
    <w:rsid w:val="000266FA"/>
    <w:rsid w:val="00026706"/>
    <w:rsid w:val="0002694E"/>
    <w:rsid w:val="00026DDB"/>
    <w:rsid w:val="00026F8A"/>
    <w:rsid w:val="000270C6"/>
    <w:rsid w:val="000270C9"/>
    <w:rsid w:val="0002753D"/>
    <w:rsid w:val="00027588"/>
    <w:rsid w:val="0002779E"/>
    <w:rsid w:val="00027A00"/>
    <w:rsid w:val="00027A0A"/>
    <w:rsid w:val="00027AFE"/>
    <w:rsid w:val="00027D0B"/>
    <w:rsid w:val="00027DCD"/>
    <w:rsid w:val="00027FF8"/>
    <w:rsid w:val="00030165"/>
    <w:rsid w:val="0003016D"/>
    <w:rsid w:val="0003018E"/>
    <w:rsid w:val="000302C3"/>
    <w:rsid w:val="00030543"/>
    <w:rsid w:val="00030559"/>
    <w:rsid w:val="00030610"/>
    <w:rsid w:val="00030930"/>
    <w:rsid w:val="00030BBE"/>
    <w:rsid w:val="00030C4B"/>
    <w:rsid w:val="00030CD6"/>
    <w:rsid w:val="000311F9"/>
    <w:rsid w:val="000312AA"/>
    <w:rsid w:val="000313A3"/>
    <w:rsid w:val="000313FD"/>
    <w:rsid w:val="0003155A"/>
    <w:rsid w:val="00031682"/>
    <w:rsid w:val="00031809"/>
    <w:rsid w:val="00031814"/>
    <w:rsid w:val="000318E8"/>
    <w:rsid w:val="000318F8"/>
    <w:rsid w:val="0003197D"/>
    <w:rsid w:val="00031CB7"/>
    <w:rsid w:val="00031FC1"/>
    <w:rsid w:val="0003204C"/>
    <w:rsid w:val="0003223D"/>
    <w:rsid w:val="0003240F"/>
    <w:rsid w:val="00032431"/>
    <w:rsid w:val="000325BB"/>
    <w:rsid w:val="00032628"/>
    <w:rsid w:val="00032861"/>
    <w:rsid w:val="00032D6F"/>
    <w:rsid w:val="00032D89"/>
    <w:rsid w:val="00032DDD"/>
    <w:rsid w:val="00032EAB"/>
    <w:rsid w:val="00032F7B"/>
    <w:rsid w:val="00033162"/>
    <w:rsid w:val="000333B6"/>
    <w:rsid w:val="000334BC"/>
    <w:rsid w:val="000334D4"/>
    <w:rsid w:val="000335C2"/>
    <w:rsid w:val="00033720"/>
    <w:rsid w:val="000337A6"/>
    <w:rsid w:val="00033885"/>
    <w:rsid w:val="000339C4"/>
    <w:rsid w:val="00033A44"/>
    <w:rsid w:val="00033A5A"/>
    <w:rsid w:val="00033B00"/>
    <w:rsid w:val="00033CDF"/>
    <w:rsid w:val="00033EF4"/>
    <w:rsid w:val="00033F85"/>
    <w:rsid w:val="000340A0"/>
    <w:rsid w:val="000343A6"/>
    <w:rsid w:val="000345D4"/>
    <w:rsid w:val="00034899"/>
    <w:rsid w:val="000349DB"/>
    <w:rsid w:val="00034A0D"/>
    <w:rsid w:val="00034A93"/>
    <w:rsid w:val="00034CBD"/>
    <w:rsid w:val="00034E77"/>
    <w:rsid w:val="00034EFF"/>
    <w:rsid w:val="00035065"/>
    <w:rsid w:val="00035321"/>
    <w:rsid w:val="00035368"/>
    <w:rsid w:val="000353AC"/>
    <w:rsid w:val="000354F0"/>
    <w:rsid w:val="0003587C"/>
    <w:rsid w:val="000358F3"/>
    <w:rsid w:val="00035909"/>
    <w:rsid w:val="00035A8D"/>
    <w:rsid w:val="00035B68"/>
    <w:rsid w:val="00035C81"/>
    <w:rsid w:val="00035CE0"/>
    <w:rsid w:val="00035E02"/>
    <w:rsid w:val="00035E1B"/>
    <w:rsid w:val="00035F52"/>
    <w:rsid w:val="00035FE8"/>
    <w:rsid w:val="000360A9"/>
    <w:rsid w:val="000360BF"/>
    <w:rsid w:val="00036182"/>
    <w:rsid w:val="0003623C"/>
    <w:rsid w:val="000364A8"/>
    <w:rsid w:val="0003671C"/>
    <w:rsid w:val="00036807"/>
    <w:rsid w:val="00036828"/>
    <w:rsid w:val="00036992"/>
    <w:rsid w:val="00036AEB"/>
    <w:rsid w:val="00036AF5"/>
    <w:rsid w:val="00036B14"/>
    <w:rsid w:val="00036C37"/>
    <w:rsid w:val="00036C67"/>
    <w:rsid w:val="00036D24"/>
    <w:rsid w:val="00036E4E"/>
    <w:rsid w:val="00036E83"/>
    <w:rsid w:val="00036EE6"/>
    <w:rsid w:val="00036F1C"/>
    <w:rsid w:val="00036F89"/>
    <w:rsid w:val="000370E8"/>
    <w:rsid w:val="00037213"/>
    <w:rsid w:val="00037257"/>
    <w:rsid w:val="00037454"/>
    <w:rsid w:val="000375E8"/>
    <w:rsid w:val="00037794"/>
    <w:rsid w:val="000377E9"/>
    <w:rsid w:val="000378CD"/>
    <w:rsid w:val="00037BB4"/>
    <w:rsid w:val="00037D0B"/>
    <w:rsid w:val="00037DE9"/>
    <w:rsid w:val="00037EEB"/>
    <w:rsid w:val="00037EEE"/>
    <w:rsid w:val="00037F06"/>
    <w:rsid w:val="0004004F"/>
    <w:rsid w:val="00040059"/>
    <w:rsid w:val="0004009B"/>
    <w:rsid w:val="0004042C"/>
    <w:rsid w:val="000404E8"/>
    <w:rsid w:val="00040617"/>
    <w:rsid w:val="000406E2"/>
    <w:rsid w:val="0004091C"/>
    <w:rsid w:val="000409D7"/>
    <w:rsid w:val="00040B03"/>
    <w:rsid w:val="00040EE6"/>
    <w:rsid w:val="0004103A"/>
    <w:rsid w:val="00041212"/>
    <w:rsid w:val="000412CB"/>
    <w:rsid w:val="000412FA"/>
    <w:rsid w:val="00041BD5"/>
    <w:rsid w:val="00041C2D"/>
    <w:rsid w:val="00041CDF"/>
    <w:rsid w:val="00041E98"/>
    <w:rsid w:val="00041EF1"/>
    <w:rsid w:val="00041F3F"/>
    <w:rsid w:val="00041F9C"/>
    <w:rsid w:val="0004201C"/>
    <w:rsid w:val="000424EE"/>
    <w:rsid w:val="00042A16"/>
    <w:rsid w:val="00042A4A"/>
    <w:rsid w:val="00042CB9"/>
    <w:rsid w:val="00042E45"/>
    <w:rsid w:val="000430BE"/>
    <w:rsid w:val="00043533"/>
    <w:rsid w:val="00043741"/>
    <w:rsid w:val="00043B39"/>
    <w:rsid w:val="00043C02"/>
    <w:rsid w:val="00043C2D"/>
    <w:rsid w:val="00043CEA"/>
    <w:rsid w:val="00043EAA"/>
    <w:rsid w:val="00043F18"/>
    <w:rsid w:val="000441BC"/>
    <w:rsid w:val="0004439C"/>
    <w:rsid w:val="0004441E"/>
    <w:rsid w:val="000444DD"/>
    <w:rsid w:val="0004450B"/>
    <w:rsid w:val="000446D8"/>
    <w:rsid w:val="00044770"/>
    <w:rsid w:val="000448CE"/>
    <w:rsid w:val="00044937"/>
    <w:rsid w:val="00044C65"/>
    <w:rsid w:val="00044DC4"/>
    <w:rsid w:val="00044DF0"/>
    <w:rsid w:val="00044E0B"/>
    <w:rsid w:val="00044EF1"/>
    <w:rsid w:val="00044F0A"/>
    <w:rsid w:val="0004532D"/>
    <w:rsid w:val="00045492"/>
    <w:rsid w:val="0004554E"/>
    <w:rsid w:val="000457A5"/>
    <w:rsid w:val="000457C8"/>
    <w:rsid w:val="0004582A"/>
    <w:rsid w:val="00045907"/>
    <w:rsid w:val="0004594F"/>
    <w:rsid w:val="00045E11"/>
    <w:rsid w:val="00045E73"/>
    <w:rsid w:val="000460E6"/>
    <w:rsid w:val="00046219"/>
    <w:rsid w:val="000466B2"/>
    <w:rsid w:val="00046943"/>
    <w:rsid w:val="00046B2A"/>
    <w:rsid w:val="00046BAB"/>
    <w:rsid w:val="00046DEF"/>
    <w:rsid w:val="00046E20"/>
    <w:rsid w:val="00046E5B"/>
    <w:rsid w:val="000471B4"/>
    <w:rsid w:val="0004726E"/>
    <w:rsid w:val="000472EF"/>
    <w:rsid w:val="00047835"/>
    <w:rsid w:val="00047859"/>
    <w:rsid w:val="000479AD"/>
    <w:rsid w:val="00047B04"/>
    <w:rsid w:val="00047B14"/>
    <w:rsid w:val="00047CDE"/>
    <w:rsid w:val="00047D71"/>
    <w:rsid w:val="00047EBF"/>
    <w:rsid w:val="000500AF"/>
    <w:rsid w:val="000500B5"/>
    <w:rsid w:val="000500D3"/>
    <w:rsid w:val="0005014F"/>
    <w:rsid w:val="000501F2"/>
    <w:rsid w:val="0005029C"/>
    <w:rsid w:val="00050381"/>
    <w:rsid w:val="00050937"/>
    <w:rsid w:val="00050B13"/>
    <w:rsid w:val="00050C83"/>
    <w:rsid w:val="00050F08"/>
    <w:rsid w:val="00050F74"/>
    <w:rsid w:val="00050F8D"/>
    <w:rsid w:val="0005115A"/>
    <w:rsid w:val="000511E2"/>
    <w:rsid w:val="000512BD"/>
    <w:rsid w:val="000512C7"/>
    <w:rsid w:val="00051415"/>
    <w:rsid w:val="00051455"/>
    <w:rsid w:val="0005146E"/>
    <w:rsid w:val="00051693"/>
    <w:rsid w:val="0005170F"/>
    <w:rsid w:val="000517DD"/>
    <w:rsid w:val="0005189E"/>
    <w:rsid w:val="00051A42"/>
    <w:rsid w:val="00051B62"/>
    <w:rsid w:val="00051FBF"/>
    <w:rsid w:val="0005202F"/>
    <w:rsid w:val="000520EB"/>
    <w:rsid w:val="0005222D"/>
    <w:rsid w:val="00052240"/>
    <w:rsid w:val="00052283"/>
    <w:rsid w:val="00052316"/>
    <w:rsid w:val="0005250F"/>
    <w:rsid w:val="0005266E"/>
    <w:rsid w:val="000526A7"/>
    <w:rsid w:val="000529CF"/>
    <w:rsid w:val="00052BFF"/>
    <w:rsid w:val="00052C30"/>
    <w:rsid w:val="00052E16"/>
    <w:rsid w:val="00052E96"/>
    <w:rsid w:val="00052ED5"/>
    <w:rsid w:val="000530AD"/>
    <w:rsid w:val="000531B1"/>
    <w:rsid w:val="00053289"/>
    <w:rsid w:val="000534E7"/>
    <w:rsid w:val="00053588"/>
    <w:rsid w:val="00053658"/>
    <w:rsid w:val="00053ACD"/>
    <w:rsid w:val="00053B04"/>
    <w:rsid w:val="00053CDF"/>
    <w:rsid w:val="00053DA7"/>
    <w:rsid w:val="00053E0F"/>
    <w:rsid w:val="00053F5C"/>
    <w:rsid w:val="00053F6F"/>
    <w:rsid w:val="0005402E"/>
    <w:rsid w:val="000542EF"/>
    <w:rsid w:val="0005434F"/>
    <w:rsid w:val="00054741"/>
    <w:rsid w:val="000548C9"/>
    <w:rsid w:val="00054930"/>
    <w:rsid w:val="000549EF"/>
    <w:rsid w:val="00054EAF"/>
    <w:rsid w:val="00054FFF"/>
    <w:rsid w:val="000550B6"/>
    <w:rsid w:val="000551DC"/>
    <w:rsid w:val="00055202"/>
    <w:rsid w:val="0005532C"/>
    <w:rsid w:val="00055645"/>
    <w:rsid w:val="00055AB5"/>
    <w:rsid w:val="00055BE2"/>
    <w:rsid w:val="0005629F"/>
    <w:rsid w:val="00056491"/>
    <w:rsid w:val="0005652B"/>
    <w:rsid w:val="0005679E"/>
    <w:rsid w:val="0005697E"/>
    <w:rsid w:val="00056D49"/>
    <w:rsid w:val="00056E15"/>
    <w:rsid w:val="00056FE2"/>
    <w:rsid w:val="0005723E"/>
    <w:rsid w:val="000575F1"/>
    <w:rsid w:val="000576B0"/>
    <w:rsid w:val="000577BB"/>
    <w:rsid w:val="000577F4"/>
    <w:rsid w:val="00057A33"/>
    <w:rsid w:val="00057AC3"/>
    <w:rsid w:val="00057B97"/>
    <w:rsid w:val="00057CF0"/>
    <w:rsid w:val="000601F2"/>
    <w:rsid w:val="000603ED"/>
    <w:rsid w:val="00060470"/>
    <w:rsid w:val="00060512"/>
    <w:rsid w:val="000606B5"/>
    <w:rsid w:val="0006090A"/>
    <w:rsid w:val="00060B9D"/>
    <w:rsid w:val="00060EF7"/>
    <w:rsid w:val="00060F23"/>
    <w:rsid w:val="00061070"/>
    <w:rsid w:val="0006136E"/>
    <w:rsid w:val="00061420"/>
    <w:rsid w:val="000619BF"/>
    <w:rsid w:val="00061F05"/>
    <w:rsid w:val="00062000"/>
    <w:rsid w:val="00062099"/>
    <w:rsid w:val="000621A7"/>
    <w:rsid w:val="0006258E"/>
    <w:rsid w:val="00062626"/>
    <w:rsid w:val="00062661"/>
    <w:rsid w:val="00062977"/>
    <w:rsid w:val="00062B4A"/>
    <w:rsid w:val="00062D0D"/>
    <w:rsid w:val="00062E47"/>
    <w:rsid w:val="00062EFE"/>
    <w:rsid w:val="00062F4B"/>
    <w:rsid w:val="00063243"/>
    <w:rsid w:val="00063326"/>
    <w:rsid w:val="00063889"/>
    <w:rsid w:val="00063E05"/>
    <w:rsid w:val="00063FAA"/>
    <w:rsid w:val="0006409F"/>
    <w:rsid w:val="000640B5"/>
    <w:rsid w:val="000641CA"/>
    <w:rsid w:val="0006447B"/>
    <w:rsid w:val="000644E3"/>
    <w:rsid w:val="0006487D"/>
    <w:rsid w:val="0006489A"/>
    <w:rsid w:val="000649FE"/>
    <w:rsid w:val="00064BCE"/>
    <w:rsid w:val="00064C56"/>
    <w:rsid w:val="0006538A"/>
    <w:rsid w:val="000653EC"/>
    <w:rsid w:val="00065671"/>
    <w:rsid w:val="000656ED"/>
    <w:rsid w:val="00065741"/>
    <w:rsid w:val="00065768"/>
    <w:rsid w:val="0006596A"/>
    <w:rsid w:val="00065B1F"/>
    <w:rsid w:val="00065B4A"/>
    <w:rsid w:val="00065B77"/>
    <w:rsid w:val="00065C80"/>
    <w:rsid w:val="00065CD4"/>
    <w:rsid w:val="00065CEC"/>
    <w:rsid w:val="00066258"/>
    <w:rsid w:val="000662BF"/>
    <w:rsid w:val="0006644E"/>
    <w:rsid w:val="00066461"/>
    <w:rsid w:val="0006664E"/>
    <w:rsid w:val="00066684"/>
    <w:rsid w:val="000666F9"/>
    <w:rsid w:val="0006672A"/>
    <w:rsid w:val="000669A3"/>
    <w:rsid w:val="00066D0A"/>
    <w:rsid w:val="00066F8B"/>
    <w:rsid w:val="000673B9"/>
    <w:rsid w:val="000675A4"/>
    <w:rsid w:val="00067727"/>
    <w:rsid w:val="0006772E"/>
    <w:rsid w:val="000677E7"/>
    <w:rsid w:val="00067918"/>
    <w:rsid w:val="00067A36"/>
    <w:rsid w:val="00067A40"/>
    <w:rsid w:val="00067A90"/>
    <w:rsid w:val="00067B6E"/>
    <w:rsid w:val="00067C36"/>
    <w:rsid w:val="00067D92"/>
    <w:rsid w:val="00067FA7"/>
    <w:rsid w:val="00070139"/>
    <w:rsid w:val="000701E8"/>
    <w:rsid w:val="000701FF"/>
    <w:rsid w:val="000705FE"/>
    <w:rsid w:val="0007064E"/>
    <w:rsid w:val="0007066A"/>
    <w:rsid w:val="000709F3"/>
    <w:rsid w:val="00070B9D"/>
    <w:rsid w:val="00070BD2"/>
    <w:rsid w:val="00070D77"/>
    <w:rsid w:val="00070E87"/>
    <w:rsid w:val="00070ED1"/>
    <w:rsid w:val="00070F2F"/>
    <w:rsid w:val="00071235"/>
    <w:rsid w:val="00071419"/>
    <w:rsid w:val="000714C9"/>
    <w:rsid w:val="00071501"/>
    <w:rsid w:val="000715EC"/>
    <w:rsid w:val="00071813"/>
    <w:rsid w:val="00071C15"/>
    <w:rsid w:val="00071CBF"/>
    <w:rsid w:val="00071CE9"/>
    <w:rsid w:val="00071DAE"/>
    <w:rsid w:val="00071F4D"/>
    <w:rsid w:val="00071FB8"/>
    <w:rsid w:val="00072088"/>
    <w:rsid w:val="0007213A"/>
    <w:rsid w:val="0007213D"/>
    <w:rsid w:val="00072322"/>
    <w:rsid w:val="0007241B"/>
    <w:rsid w:val="00072429"/>
    <w:rsid w:val="0007264D"/>
    <w:rsid w:val="00072801"/>
    <w:rsid w:val="000728C0"/>
    <w:rsid w:val="000728E1"/>
    <w:rsid w:val="00072AE6"/>
    <w:rsid w:val="00072BDE"/>
    <w:rsid w:val="00072C1B"/>
    <w:rsid w:val="00072E4F"/>
    <w:rsid w:val="00072FB7"/>
    <w:rsid w:val="00072FF4"/>
    <w:rsid w:val="00073028"/>
    <w:rsid w:val="0007336B"/>
    <w:rsid w:val="00073526"/>
    <w:rsid w:val="00073809"/>
    <w:rsid w:val="000738C8"/>
    <w:rsid w:val="00073965"/>
    <w:rsid w:val="00073A3A"/>
    <w:rsid w:val="00073B6A"/>
    <w:rsid w:val="00073B7F"/>
    <w:rsid w:val="00073C98"/>
    <w:rsid w:val="000740FC"/>
    <w:rsid w:val="0007412D"/>
    <w:rsid w:val="0007417F"/>
    <w:rsid w:val="0007419C"/>
    <w:rsid w:val="000742AD"/>
    <w:rsid w:val="000742F4"/>
    <w:rsid w:val="000743AD"/>
    <w:rsid w:val="00074453"/>
    <w:rsid w:val="00074473"/>
    <w:rsid w:val="000745D6"/>
    <w:rsid w:val="00074660"/>
    <w:rsid w:val="0007466F"/>
    <w:rsid w:val="000746E4"/>
    <w:rsid w:val="00074899"/>
    <w:rsid w:val="00074961"/>
    <w:rsid w:val="00074AB5"/>
    <w:rsid w:val="00074C43"/>
    <w:rsid w:val="00074D9E"/>
    <w:rsid w:val="0007501C"/>
    <w:rsid w:val="00075067"/>
    <w:rsid w:val="000751E6"/>
    <w:rsid w:val="0007544A"/>
    <w:rsid w:val="0007547E"/>
    <w:rsid w:val="000754EE"/>
    <w:rsid w:val="00075514"/>
    <w:rsid w:val="0007568F"/>
    <w:rsid w:val="000756C6"/>
    <w:rsid w:val="00075711"/>
    <w:rsid w:val="000757DF"/>
    <w:rsid w:val="000757FF"/>
    <w:rsid w:val="000759E7"/>
    <w:rsid w:val="00075A22"/>
    <w:rsid w:val="00075A78"/>
    <w:rsid w:val="00075C55"/>
    <w:rsid w:val="00075EEF"/>
    <w:rsid w:val="00076276"/>
    <w:rsid w:val="000764B5"/>
    <w:rsid w:val="000766AB"/>
    <w:rsid w:val="00076834"/>
    <w:rsid w:val="00076872"/>
    <w:rsid w:val="00076A42"/>
    <w:rsid w:val="00076AF0"/>
    <w:rsid w:val="00076B0E"/>
    <w:rsid w:val="00076C4A"/>
    <w:rsid w:val="00076C6D"/>
    <w:rsid w:val="00076C95"/>
    <w:rsid w:val="00077042"/>
    <w:rsid w:val="00077105"/>
    <w:rsid w:val="00077110"/>
    <w:rsid w:val="0007720C"/>
    <w:rsid w:val="0007720F"/>
    <w:rsid w:val="00077297"/>
    <w:rsid w:val="0007738C"/>
    <w:rsid w:val="000773D9"/>
    <w:rsid w:val="00077603"/>
    <w:rsid w:val="0007764F"/>
    <w:rsid w:val="00077670"/>
    <w:rsid w:val="00077901"/>
    <w:rsid w:val="000779D3"/>
    <w:rsid w:val="00077D9E"/>
    <w:rsid w:val="00077DE1"/>
    <w:rsid w:val="00077FE6"/>
    <w:rsid w:val="00080067"/>
    <w:rsid w:val="000802A1"/>
    <w:rsid w:val="000802A9"/>
    <w:rsid w:val="00080476"/>
    <w:rsid w:val="000804C1"/>
    <w:rsid w:val="00080663"/>
    <w:rsid w:val="00080AA6"/>
    <w:rsid w:val="00080C5B"/>
    <w:rsid w:val="00080E8E"/>
    <w:rsid w:val="00080EC1"/>
    <w:rsid w:val="00080F8A"/>
    <w:rsid w:val="00080FD7"/>
    <w:rsid w:val="0008103D"/>
    <w:rsid w:val="000811BF"/>
    <w:rsid w:val="000813CC"/>
    <w:rsid w:val="00081455"/>
    <w:rsid w:val="000815F4"/>
    <w:rsid w:val="0008177B"/>
    <w:rsid w:val="00081AEC"/>
    <w:rsid w:val="00081D4C"/>
    <w:rsid w:val="00081E56"/>
    <w:rsid w:val="00081EFE"/>
    <w:rsid w:val="00081F4C"/>
    <w:rsid w:val="0008227C"/>
    <w:rsid w:val="000822AD"/>
    <w:rsid w:val="0008236D"/>
    <w:rsid w:val="00082849"/>
    <w:rsid w:val="00082B39"/>
    <w:rsid w:val="00082BDD"/>
    <w:rsid w:val="00082C9B"/>
    <w:rsid w:val="00082D21"/>
    <w:rsid w:val="00082E4E"/>
    <w:rsid w:val="00082F6E"/>
    <w:rsid w:val="0008322C"/>
    <w:rsid w:val="000833E1"/>
    <w:rsid w:val="000834D0"/>
    <w:rsid w:val="0008385B"/>
    <w:rsid w:val="0008387B"/>
    <w:rsid w:val="0008394C"/>
    <w:rsid w:val="00083AF4"/>
    <w:rsid w:val="00083BAB"/>
    <w:rsid w:val="00083C7A"/>
    <w:rsid w:val="00083CAA"/>
    <w:rsid w:val="00083E46"/>
    <w:rsid w:val="00084008"/>
    <w:rsid w:val="000841B1"/>
    <w:rsid w:val="0008425D"/>
    <w:rsid w:val="0008427E"/>
    <w:rsid w:val="00084316"/>
    <w:rsid w:val="000843DD"/>
    <w:rsid w:val="00084435"/>
    <w:rsid w:val="0008456E"/>
    <w:rsid w:val="0008474E"/>
    <w:rsid w:val="00084761"/>
    <w:rsid w:val="00084AFA"/>
    <w:rsid w:val="00084C32"/>
    <w:rsid w:val="00084E7D"/>
    <w:rsid w:val="00085056"/>
    <w:rsid w:val="0008521B"/>
    <w:rsid w:val="0008523B"/>
    <w:rsid w:val="00085598"/>
    <w:rsid w:val="000855FA"/>
    <w:rsid w:val="0008565B"/>
    <w:rsid w:val="000856BA"/>
    <w:rsid w:val="00085B5E"/>
    <w:rsid w:val="00085B97"/>
    <w:rsid w:val="00085F3E"/>
    <w:rsid w:val="00085F46"/>
    <w:rsid w:val="00085FC7"/>
    <w:rsid w:val="00086065"/>
    <w:rsid w:val="000860FF"/>
    <w:rsid w:val="000862F8"/>
    <w:rsid w:val="0008652F"/>
    <w:rsid w:val="0008674F"/>
    <w:rsid w:val="0008679F"/>
    <w:rsid w:val="000867C7"/>
    <w:rsid w:val="0008686C"/>
    <w:rsid w:val="000869AE"/>
    <w:rsid w:val="00086A2D"/>
    <w:rsid w:val="00086A6E"/>
    <w:rsid w:val="00086C22"/>
    <w:rsid w:val="00086CC3"/>
    <w:rsid w:val="00086D0E"/>
    <w:rsid w:val="00086DC3"/>
    <w:rsid w:val="00086E0D"/>
    <w:rsid w:val="00087064"/>
    <w:rsid w:val="0008707D"/>
    <w:rsid w:val="000872D1"/>
    <w:rsid w:val="00087356"/>
    <w:rsid w:val="000874B6"/>
    <w:rsid w:val="00087644"/>
    <w:rsid w:val="00087A30"/>
    <w:rsid w:val="00087A6E"/>
    <w:rsid w:val="00087E7D"/>
    <w:rsid w:val="00087E9B"/>
    <w:rsid w:val="00087F8E"/>
    <w:rsid w:val="00090127"/>
    <w:rsid w:val="0009017D"/>
    <w:rsid w:val="00090217"/>
    <w:rsid w:val="0009033B"/>
    <w:rsid w:val="0009056F"/>
    <w:rsid w:val="0009075C"/>
    <w:rsid w:val="00090946"/>
    <w:rsid w:val="00090B94"/>
    <w:rsid w:val="00090E17"/>
    <w:rsid w:val="00090E32"/>
    <w:rsid w:val="00090F21"/>
    <w:rsid w:val="00090FB7"/>
    <w:rsid w:val="0009121F"/>
    <w:rsid w:val="000912AD"/>
    <w:rsid w:val="00091354"/>
    <w:rsid w:val="0009146F"/>
    <w:rsid w:val="0009172A"/>
    <w:rsid w:val="000918C5"/>
    <w:rsid w:val="000918D0"/>
    <w:rsid w:val="00091F61"/>
    <w:rsid w:val="000921B5"/>
    <w:rsid w:val="000922A5"/>
    <w:rsid w:val="00092301"/>
    <w:rsid w:val="000925CD"/>
    <w:rsid w:val="00092654"/>
    <w:rsid w:val="000926A7"/>
    <w:rsid w:val="000927E6"/>
    <w:rsid w:val="000928E9"/>
    <w:rsid w:val="000929CA"/>
    <w:rsid w:val="000929FC"/>
    <w:rsid w:val="00092CEC"/>
    <w:rsid w:val="00092D82"/>
    <w:rsid w:val="0009327B"/>
    <w:rsid w:val="0009348D"/>
    <w:rsid w:val="000935B5"/>
    <w:rsid w:val="00093911"/>
    <w:rsid w:val="00093987"/>
    <w:rsid w:val="00093D2A"/>
    <w:rsid w:val="00093DD5"/>
    <w:rsid w:val="0009403E"/>
    <w:rsid w:val="000940EB"/>
    <w:rsid w:val="000941F0"/>
    <w:rsid w:val="000942DA"/>
    <w:rsid w:val="00094366"/>
    <w:rsid w:val="00094373"/>
    <w:rsid w:val="00094471"/>
    <w:rsid w:val="000944A6"/>
    <w:rsid w:val="0009465F"/>
    <w:rsid w:val="00094ACA"/>
    <w:rsid w:val="00094C46"/>
    <w:rsid w:val="00094EC3"/>
    <w:rsid w:val="00094F97"/>
    <w:rsid w:val="000952DE"/>
    <w:rsid w:val="00095303"/>
    <w:rsid w:val="00095530"/>
    <w:rsid w:val="00095750"/>
    <w:rsid w:val="00095A3D"/>
    <w:rsid w:val="00095B42"/>
    <w:rsid w:val="00095CB7"/>
    <w:rsid w:val="00095E6C"/>
    <w:rsid w:val="00096020"/>
    <w:rsid w:val="00096093"/>
    <w:rsid w:val="0009618B"/>
    <w:rsid w:val="00096235"/>
    <w:rsid w:val="0009624C"/>
    <w:rsid w:val="000963C5"/>
    <w:rsid w:val="00096521"/>
    <w:rsid w:val="000967BE"/>
    <w:rsid w:val="00096888"/>
    <w:rsid w:val="00096937"/>
    <w:rsid w:val="000969CF"/>
    <w:rsid w:val="000969E1"/>
    <w:rsid w:val="00096B8C"/>
    <w:rsid w:val="00096DB0"/>
    <w:rsid w:val="000970A1"/>
    <w:rsid w:val="000970BD"/>
    <w:rsid w:val="000970CC"/>
    <w:rsid w:val="000970EE"/>
    <w:rsid w:val="00097218"/>
    <w:rsid w:val="0009734B"/>
    <w:rsid w:val="00097453"/>
    <w:rsid w:val="000974ED"/>
    <w:rsid w:val="000975E1"/>
    <w:rsid w:val="0009779A"/>
    <w:rsid w:val="0009798F"/>
    <w:rsid w:val="0009799A"/>
    <w:rsid w:val="00097AC3"/>
    <w:rsid w:val="00097AF2"/>
    <w:rsid w:val="00097D2E"/>
    <w:rsid w:val="00097FB1"/>
    <w:rsid w:val="000A00A7"/>
    <w:rsid w:val="000A0173"/>
    <w:rsid w:val="000A022A"/>
    <w:rsid w:val="000A0537"/>
    <w:rsid w:val="000A06A4"/>
    <w:rsid w:val="000A081A"/>
    <w:rsid w:val="000A0850"/>
    <w:rsid w:val="000A0AC6"/>
    <w:rsid w:val="000A0DAF"/>
    <w:rsid w:val="000A0EE3"/>
    <w:rsid w:val="000A0F20"/>
    <w:rsid w:val="000A0F54"/>
    <w:rsid w:val="000A103C"/>
    <w:rsid w:val="000A1290"/>
    <w:rsid w:val="000A135D"/>
    <w:rsid w:val="000A13D2"/>
    <w:rsid w:val="000A14C0"/>
    <w:rsid w:val="000A1845"/>
    <w:rsid w:val="000A1896"/>
    <w:rsid w:val="000A18E5"/>
    <w:rsid w:val="000A1A63"/>
    <w:rsid w:val="000A1A96"/>
    <w:rsid w:val="000A1B8C"/>
    <w:rsid w:val="000A1BA3"/>
    <w:rsid w:val="000A1BBD"/>
    <w:rsid w:val="000A1CD3"/>
    <w:rsid w:val="000A2061"/>
    <w:rsid w:val="000A20B1"/>
    <w:rsid w:val="000A2985"/>
    <w:rsid w:val="000A2986"/>
    <w:rsid w:val="000A2AF3"/>
    <w:rsid w:val="000A2B43"/>
    <w:rsid w:val="000A2C40"/>
    <w:rsid w:val="000A2C79"/>
    <w:rsid w:val="000A2E09"/>
    <w:rsid w:val="000A2F66"/>
    <w:rsid w:val="000A3083"/>
    <w:rsid w:val="000A3503"/>
    <w:rsid w:val="000A35C5"/>
    <w:rsid w:val="000A3815"/>
    <w:rsid w:val="000A38FA"/>
    <w:rsid w:val="000A3A7E"/>
    <w:rsid w:val="000A3B15"/>
    <w:rsid w:val="000A3B55"/>
    <w:rsid w:val="000A3C62"/>
    <w:rsid w:val="000A3EF7"/>
    <w:rsid w:val="000A3F50"/>
    <w:rsid w:val="000A3F60"/>
    <w:rsid w:val="000A3F9A"/>
    <w:rsid w:val="000A4011"/>
    <w:rsid w:val="000A4074"/>
    <w:rsid w:val="000A437A"/>
    <w:rsid w:val="000A440D"/>
    <w:rsid w:val="000A4526"/>
    <w:rsid w:val="000A45A0"/>
    <w:rsid w:val="000A461F"/>
    <w:rsid w:val="000A470D"/>
    <w:rsid w:val="000A4868"/>
    <w:rsid w:val="000A4A2E"/>
    <w:rsid w:val="000A4CEE"/>
    <w:rsid w:val="000A4FA7"/>
    <w:rsid w:val="000A506E"/>
    <w:rsid w:val="000A50DE"/>
    <w:rsid w:val="000A53FD"/>
    <w:rsid w:val="000A552E"/>
    <w:rsid w:val="000A5548"/>
    <w:rsid w:val="000A5599"/>
    <w:rsid w:val="000A57BB"/>
    <w:rsid w:val="000A590E"/>
    <w:rsid w:val="000A59F4"/>
    <w:rsid w:val="000A5A92"/>
    <w:rsid w:val="000A5DB0"/>
    <w:rsid w:val="000A5E06"/>
    <w:rsid w:val="000A5F32"/>
    <w:rsid w:val="000A604E"/>
    <w:rsid w:val="000A60F6"/>
    <w:rsid w:val="000A62C0"/>
    <w:rsid w:val="000A67DA"/>
    <w:rsid w:val="000A6858"/>
    <w:rsid w:val="000A6A35"/>
    <w:rsid w:val="000A6CF0"/>
    <w:rsid w:val="000A7198"/>
    <w:rsid w:val="000A726A"/>
    <w:rsid w:val="000A7398"/>
    <w:rsid w:val="000A75EA"/>
    <w:rsid w:val="000A764E"/>
    <w:rsid w:val="000A76B2"/>
    <w:rsid w:val="000A76D9"/>
    <w:rsid w:val="000A77E5"/>
    <w:rsid w:val="000A789E"/>
    <w:rsid w:val="000A7B04"/>
    <w:rsid w:val="000A7CA1"/>
    <w:rsid w:val="000A7CB6"/>
    <w:rsid w:val="000A7EE8"/>
    <w:rsid w:val="000A7FBA"/>
    <w:rsid w:val="000B00C7"/>
    <w:rsid w:val="000B064C"/>
    <w:rsid w:val="000B069B"/>
    <w:rsid w:val="000B06F6"/>
    <w:rsid w:val="000B0761"/>
    <w:rsid w:val="000B0773"/>
    <w:rsid w:val="000B09CC"/>
    <w:rsid w:val="000B109E"/>
    <w:rsid w:val="000B11CD"/>
    <w:rsid w:val="000B1238"/>
    <w:rsid w:val="000B12E2"/>
    <w:rsid w:val="000B1566"/>
    <w:rsid w:val="000B1658"/>
    <w:rsid w:val="000B1751"/>
    <w:rsid w:val="000B18DF"/>
    <w:rsid w:val="000B1919"/>
    <w:rsid w:val="000B1A4C"/>
    <w:rsid w:val="000B1A64"/>
    <w:rsid w:val="000B1A84"/>
    <w:rsid w:val="000B1C37"/>
    <w:rsid w:val="000B1DAA"/>
    <w:rsid w:val="000B1E99"/>
    <w:rsid w:val="000B1F05"/>
    <w:rsid w:val="000B1FB5"/>
    <w:rsid w:val="000B1FE0"/>
    <w:rsid w:val="000B20AF"/>
    <w:rsid w:val="000B2261"/>
    <w:rsid w:val="000B2345"/>
    <w:rsid w:val="000B2591"/>
    <w:rsid w:val="000B2603"/>
    <w:rsid w:val="000B26AF"/>
    <w:rsid w:val="000B287F"/>
    <w:rsid w:val="000B2927"/>
    <w:rsid w:val="000B29AB"/>
    <w:rsid w:val="000B2D1A"/>
    <w:rsid w:val="000B2D3B"/>
    <w:rsid w:val="000B2E94"/>
    <w:rsid w:val="000B31DF"/>
    <w:rsid w:val="000B3344"/>
    <w:rsid w:val="000B3351"/>
    <w:rsid w:val="000B3483"/>
    <w:rsid w:val="000B35BB"/>
    <w:rsid w:val="000B3686"/>
    <w:rsid w:val="000B36A9"/>
    <w:rsid w:val="000B36C6"/>
    <w:rsid w:val="000B3709"/>
    <w:rsid w:val="000B38E9"/>
    <w:rsid w:val="000B390A"/>
    <w:rsid w:val="000B3947"/>
    <w:rsid w:val="000B3A95"/>
    <w:rsid w:val="000B3AB5"/>
    <w:rsid w:val="000B3B72"/>
    <w:rsid w:val="000B3D07"/>
    <w:rsid w:val="000B3DC3"/>
    <w:rsid w:val="000B402D"/>
    <w:rsid w:val="000B417C"/>
    <w:rsid w:val="000B43FE"/>
    <w:rsid w:val="000B4517"/>
    <w:rsid w:val="000B45EB"/>
    <w:rsid w:val="000B46CD"/>
    <w:rsid w:val="000B47A7"/>
    <w:rsid w:val="000B4B92"/>
    <w:rsid w:val="000B4BD7"/>
    <w:rsid w:val="000B4C8E"/>
    <w:rsid w:val="000B4CDD"/>
    <w:rsid w:val="000B4D37"/>
    <w:rsid w:val="000B4E1E"/>
    <w:rsid w:val="000B4E36"/>
    <w:rsid w:val="000B4E42"/>
    <w:rsid w:val="000B52AF"/>
    <w:rsid w:val="000B533D"/>
    <w:rsid w:val="000B55B7"/>
    <w:rsid w:val="000B55E3"/>
    <w:rsid w:val="000B561C"/>
    <w:rsid w:val="000B568F"/>
    <w:rsid w:val="000B5914"/>
    <w:rsid w:val="000B59A6"/>
    <w:rsid w:val="000B5B69"/>
    <w:rsid w:val="000B5B7A"/>
    <w:rsid w:val="000B5D35"/>
    <w:rsid w:val="000B5F6E"/>
    <w:rsid w:val="000B61B6"/>
    <w:rsid w:val="000B6276"/>
    <w:rsid w:val="000B6387"/>
    <w:rsid w:val="000B64DA"/>
    <w:rsid w:val="000B64F9"/>
    <w:rsid w:val="000B6AEE"/>
    <w:rsid w:val="000B6BDB"/>
    <w:rsid w:val="000B6C82"/>
    <w:rsid w:val="000B6E0D"/>
    <w:rsid w:val="000B6EFE"/>
    <w:rsid w:val="000B717C"/>
    <w:rsid w:val="000B71A3"/>
    <w:rsid w:val="000B72F0"/>
    <w:rsid w:val="000B738B"/>
    <w:rsid w:val="000B7480"/>
    <w:rsid w:val="000B74EF"/>
    <w:rsid w:val="000B7550"/>
    <w:rsid w:val="000B767C"/>
    <w:rsid w:val="000B76A8"/>
    <w:rsid w:val="000B7A86"/>
    <w:rsid w:val="000B7CA6"/>
    <w:rsid w:val="000C01A8"/>
    <w:rsid w:val="000C01E8"/>
    <w:rsid w:val="000C0230"/>
    <w:rsid w:val="000C0370"/>
    <w:rsid w:val="000C0400"/>
    <w:rsid w:val="000C04AD"/>
    <w:rsid w:val="000C0545"/>
    <w:rsid w:val="000C069B"/>
    <w:rsid w:val="000C09C6"/>
    <w:rsid w:val="000C0A20"/>
    <w:rsid w:val="000C0C5A"/>
    <w:rsid w:val="000C0CD1"/>
    <w:rsid w:val="000C0D2B"/>
    <w:rsid w:val="000C0DA3"/>
    <w:rsid w:val="000C1049"/>
    <w:rsid w:val="000C1149"/>
    <w:rsid w:val="000C1171"/>
    <w:rsid w:val="000C11B2"/>
    <w:rsid w:val="000C1615"/>
    <w:rsid w:val="000C1CE1"/>
    <w:rsid w:val="000C1EF4"/>
    <w:rsid w:val="000C1FBF"/>
    <w:rsid w:val="000C2168"/>
    <w:rsid w:val="000C2290"/>
    <w:rsid w:val="000C229A"/>
    <w:rsid w:val="000C2322"/>
    <w:rsid w:val="000C2449"/>
    <w:rsid w:val="000C263D"/>
    <w:rsid w:val="000C27DB"/>
    <w:rsid w:val="000C2987"/>
    <w:rsid w:val="000C298C"/>
    <w:rsid w:val="000C2C24"/>
    <w:rsid w:val="000C2D6F"/>
    <w:rsid w:val="000C2DF4"/>
    <w:rsid w:val="000C2ED5"/>
    <w:rsid w:val="000C30EC"/>
    <w:rsid w:val="000C31C2"/>
    <w:rsid w:val="000C3245"/>
    <w:rsid w:val="000C3373"/>
    <w:rsid w:val="000C342F"/>
    <w:rsid w:val="000C346D"/>
    <w:rsid w:val="000C351B"/>
    <w:rsid w:val="000C3580"/>
    <w:rsid w:val="000C35A5"/>
    <w:rsid w:val="000C36D5"/>
    <w:rsid w:val="000C37F3"/>
    <w:rsid w:val="000C384E"/>
    <w:rsid w:val="000C3936"/>
    <w:rsid w:val="000C39C1"/>
    <w:rsid w:val="000C3A3E"/>
    <w:rsid w:val="000C3AFB"/>
    <w:rsid w:val="000C3C7C"/>
    <w:rsid w:val="000C3CB7"/>
    <w:rsid w:val="000C3CB9"/>
    <w:rsid w:val="000C3D74"/>
    <w:rsid w:val="000C3DCD"/>
    <w:rsid w:val="000C3F8C"/>
    <w:rsid w:val="000C3FB1"/>
    <w:rsid w:val="000C4085"/>
    <w:rsid w:val="000C422C"/>
    <w:rsid w:val="000C4300"/>
    <w:rsid w:val="000C43B8"/>
    <w:rsid w:val="000C473E"/>
    <w:rsid w:val="000C47A9"/>
    <w:rsid w:val="000C48B9"/>
    <w:rsid w:val="000C4932"/>
    <w:rsid w:val="000C4C65"/>
    <w:rsid w:val="000C4E40"/>
    <w:rsid w:val="000C4FD1"/>
    <w:rsid w:val="000C51D6"/>
    <w:rsid w:val="000C5220"/>
    <w:rsid w:val="000C52D8"/>
    <w:rsid w:val="000C53B0"/>
    <w:rsid w:val="000C575D"/>
    <w:rsid w:val="000C593C"/>
    <w:rsid w:val="000C5A7A"/>
    <w:rsid w:val="000C5E81"/>
    <w:rsid w:val="000C5FE0"/>
    <w:rsid w:val="000C65DE"/>
    <w:rsid w:val="000C6794"/>
    <w:rsid w:val="000C68E8"/>
    <w:rsid w:val="000C6985"/>
    <w:rsid w:val="000C69DF"/>
    <w:rsid w:val="000C6AF9"/>
    <w:rsid w:val="000C6BA8"/>
    <w:rsid w:val="000C6BD1"/>
    <w:rsid w:val="000C6CC6"/>
    <w:rsid w:val="000C6CD2"/>
    <w:rsid w:val="000C6D76"/>
    <w:rsid w:val="000C6D9D"/>
    <w:rsid w:val="000C70FE"/>
    <w:rsid w:val="000C722F"/>
    <w:rsid w:val="000C72D4"/>
    <w:rsid w:val="000C75C6"/>
    <w:rsid w:val="000C762D"/>
    <w:rsid w:val="000C77A5"/>
    <w:rsid w:val="000C7AA3"/>
    <w:rsid w:val="000C7C79"/>
    <w:rsid w:val="000C7CF5"/>
    <w:rsid w:val="000C7D4D"/>
    <w:rsid w:val="000C7F91"/>
    <w:rsid w:val="000D01D0"/>
    <w:rsid w:val="000D024A"/>
    <w:rsid w:val="000D04A2"/>
    <w:rsid w:val="000D04BA"/>
    <w:rsid w:val="000D05AA"/>
    <w:rsid w:val="000D0698"/>
    <w:rsid w:val="000D0772"/>
    <w:rsid w:val="000D0A4D"/>
    <w:rsid w:val="000D0AB8"/>
    <w:rsid w:val="000D0D3A"/>
    <w:rsid w:val="000D10E9"/>
    <w:rsid w:val="000D1295"/>
    <w:rsid w:val="000D1340"/>
    <w:rsid w:val="000D1527"/>
    <w:rsid w:val="000D1585"/>
    <w:rsid w:val="000D19A2"/>
    <w:rsid w:val="000D1BBC"/>
    <w:rsid w:val="000D1BE5"/>
    <w:rsid w:val="000D1C2C"/>
    <w:rsid w:val="000D1C3F"/>
    <w:rsid w:val="000D1C83"/>
    <w:rsid w:val="000D1D7C"/>
    <w:rsid w:val="000D20EB"/>
    <w:rsid w:val="000D215F"/>
    <w:rsid w:val="000D2325"/>
    <w:rsid w:val="000D237B"/>
    <w:rsid w:val="000D248B"/>
    <w:rsid w:val="000D25D3"/>
    <w:rsid w:val="000D27A2"/>
    <w:rsid w:val="000D2A8E"/>
    <w:rsid w:val="000D2AF8"/>
    <w:rsid w:val="000D2B3E"/>
    <w:rsid w:val="000D2E5A"/>
    <w:rsid w:val="000D2FED"/>
    <w:rsid w:val="000D3000"/>
    <w:rsid w:val="000D319A"/>
    <w:rsid w:val="000D321B"/>
    <w:rsid w:val="000D341C"/>
    <w:rsid w:val="000D3425"/>
    <w:rsid w:val="000D352C"/>
    <w:rsid w:val="000D3683"/>
    <w:rsid w:val="000D3A53"/>
    <w:rsid w:val="000D3B48"/>
    <w:rsid w:val="000D3D86"/>
    <w:rsid w:val="000D3D91"/>
    <w:rsid w:val="000D3DFE"/>
    <w:rsid w:val="000D3F44"/>
    <w:rsid w:val="000D4001"/>
    <w:rsid w:val="000D4034"/>
    <w:rsid w:val="000D415F"/>
    <w:rsid w:val="000D41E6"/>
    <w:rsid w:val="000D427C"/>
    <w:rsid w:val="000D42A3"/>
    <w:rsid w:val="000D4337"/>
    <w:rsid w:val="000D4440"/>
    <w:rsid w:val="000D45B3"/>
    <w:rsid w:val="000D4895"/>
    <w:rsid w:val="000D4B94"/>
    <w:rsid w:val="000D4CBF"/>
    <w:rsid w:val="000D4D7F"/>
    <w:rsid w:val="000D4E15"/>
    <w:rsid w:val="000D4E8B"/>
    <w:rsid w:val="000D4F13"/>
    <w:rsid w:val="000D5370"/>
    <w:rsid w:val="000D5445"/>
    <w:rsid w:val="000D5461"/>
    <w:rsid w:val="000D5466"/>
    <w:rsid w:val="000D5554"/>
    <w:rsid w:val="000D5608"/>
    <w:rsid w:val="000D59D5"/>
    <w:rsid w:val="000D5A18"/>
    <w:rsid w:val="000D5B97"/>
    <w:rsid w:val="000D5C31"/>
    <w:rsid w:val="000D5CE6"/>
    <w:rsid w:val="000D5E17"/>
    <w:rsid w:val="000D5FE4"/>
    <w:rsid w:val="000D60D7"/>
    <w:rsid w:val="000D6125"/>
    <w:rsid w:val="000D6196"/>
    <w:rsid w:val="000D6281"/>
    <w:rsid w:val="000D6374"/>
    <w:rsid w:val="000D646E"/>
    <w:rsid w:val="000D65CA"/>
    <w:rsid w:val="000D664A"/>
    <w:rsid w:val="000D670A"/>
    <w:rsid w:val="000D67CC"/>
    <w:rsid w:val="000D680C"/>
    <w:rsid w:val="000D6B98"/>
    <w:rsid w:val="000D6CB1"/>
    <w:rsid w:val="000D6D8A"/>
    <w:rsid w:val="000D6E49"/>
    <w:rsid w:val="000D708E"/>
    <w:rsid w:val="000D7119"/>
    <w:rsid w:val="000D74A7"/>
    <w:rsid w:val="000D74CE"/>
    <w:rsid w:val="000D763A"/>
    <w:rsid w:val="000D76F2"/>
    <w:rsid w:val="000D7881"/>
    <w:rsid w:val="000D7BBA"/>
    <w:rsid w:val="000D7BBF"/>
    <w:rsid w:val="000D7C5D"/>
    <w:rsid w:val="000D7C9D"/>
    <w:rsid w:val="000D7E30"/>
    <w:rsid w:val="000D7EA8"/>
    <w:rsid w:val="000D7F7B"/>
    <w:rsid w:val="000E0336"/>
    <w:rsid w:val="000E03E0"/>
    <w:rsid w:val="000E0434"/>
    <w:rsid w:val="000E0529"/>
    <w:rsid w:val="000E0672"/>
    <w:rsid w:val="000E0751"/>
    <w:rsid w:val="000E08FF"/>
    <w:rsid w:val="000E0A1C"/>
    <w:rsid w:val="000E0BE2"/>
    <w:rsid w:val="000E0DE7"/>
    <w:rsid w:val="000E0F63"/>
    <w:rsid w:val="000E10B0"/>
    <w:rsid w:val="000E111D"/>
    <w:rsid w:val="000E149D"/>
    <w:rsid w:val="000E14C1"/>
    <w:rsid w:val="000E1659"/>
    <w:rsid w:val="000E1779"/>
    <w:rsid w:val="000E1808"/>
    <w:rsid w:val="000E18BF"/>
    <w:rsid w:val="000E1A04"/>
    <w:rsid w:val="000E1E77"/>
    <w:rsid w:val="000E1ED2"/>
    <w:rsid w:val="000E271C"/>
    <w:rsid w:val="000E2A3B"/>
    <w:rsid w:val="000E2A5B"/>
    <w:rsid w:val="000E2A80"/>
    <w:rsid w:val="000E2AC2"/>
    <w:rsid w:val="000E2B43"/>
    <w:rsid w:val="000E2B63"/>
    <w:rsid w:val="000E306D"/>
    <w:rsid w:val="000E3449"/>
    <w:rsid w:val="000E3545"/>
    <w:rsid w:val="000E35B1"/>
    <w:rsid w:val="000E36AC"/>
    <w:rsid w:val="000E3704"/>
    <w:rsid w:val="000E3831"/>
    <w:rsid w:val="000E398E"/>
    <w:rsid w:val="000E3991"/>
    <w:rsid w:val="000E39DB"/>
    <w:rsid w:val="000E3A02"/>
    <w:rsid w:val="000E3AA9"/>
    <w:rsid w:val="000E3E24"/>
    <w:rsid w:val="000E3E68"/>
    <w:rsid w:val="000E3EBE"/>
    <w:rsid w:val="000E3F75"/>
    <w:rsid w:val="000E402A"/>
    <w:rsid w:val="000E4132"/>
    <w:rsid w:val="000E41B9"/>
    <w:rsid w:val="000E421B"/>
    <w:rsid w:val="000E445F"/>
    <w:rsid w:val="000E4804"/>
    <w:rsid w:val="000E4878"/>
    <w:rsid w:val="000E4988"/>
    <w:rsid w:val="000E4C9E"/>
    <w:rsid w:val="000E4D27"/>
    <w:rsid w:val="000E4DCC"/>
    <w:rsid w:val="000E4E15"/>
    <w:rsid w:val="000E4E49"/>
    <w:rsid w:val="000E500B"/>
    <w:rsid w:val="000E5020"/>
    <w:rsid w:val="000E5038"/>
    <w:rsid w:val="000E5072"/>
    <w:rsid w:val="000E50AF"/>
    <w:rsid w:val="000E51AF"/>
    <w:rsid w:val="000E52DE"/>
    <w:rsid w:val="000E562C"/>
    <w:rsid w:val="000E5665"/>
    <w:rsid w:val="000E56CA"/>
    <w:rsid w:val="000E58EB"/>
    <w:rsid w:val="000E5943"/>
    <w:rsid w:val="000E5A05"/>
    <w:rsid w:val="000E5AD3"/>
    <w:rsid w:val="000E5B6D"/>
    <w:rsid w:val="000E5C0C"/>
    <w:rsid w:val="000E5CD0"/>
    <w:rsid w:val="000E5E35"/>
    <w:rsid w:val="000E5F67"/>
    <w:rsid w:val="000E5F8C"/>
    <w:rsid w:val="000E5F9D"/>
    <w:rsid w:val="000E6025"/>
    <w:rsid w:val="000E612C"/>
    <w:rsid w:val="000E6131"/>
    <w:rsid w:val="000E61A1"/>
    <w:rsid w:val="000E61B6"/>
    <w:rsid w:val="000E6336"/>
    <w:rsid w:val="000E65AF"/>
    <w:rsid w:val="000E6604"/>
    <w:rsid w:val="000E6712"/>
    <w:rsid w:val="000E67AD"/>
    <w:rsid w:val="000E67B8"/>
    <w:rsid w:val="000E6892"/>
    <w:rsid w:val="000E693B"/>
    <w:rsid w:val="000E697C"/>
    <w:rsid w:val="000E6B84"/>
    <w:rsid w:val="000E6C15"/>
    <w:rsid w:val="000E6E3F"/>
    <w:rsid w:val="000E6E43"/>
    <w:rsid w:val="000E6E7B"/>
    <w:rsid w:val="000E6F95"/>
    <w:rsid w:val="000E72EC"/>
    <w:rsid w:val="000E742E"/>
    <w:rsid w:val="000E7671"/>
    <w:rsid w:val="000E76BA"/>
    <w:rsid w:val="000E78AB"/>
    <w:rsid w:val="000E7953"/>
    <w:rsid w:val="000E79C4"/>
    <w:rsid w:val="000E7B8E"/>
    <w:rsid w:val="000E7C9C"/>
    <w:rsid w:val="000E7D10"/>
    <w:rsid w:val="000E7D92"/>
    <w:rsid w:val="000E7E36"/>
    <w:rsid w:val="000F0126"/>
    <w:rsid w:val="000F014B"/>
    <w:rsid w:val="000F023E"/>
    <w:rsid w:val="000F0452"/>
    <w:rsid w:val="000F05D8"/>
    <w:rsid w:val="000F0AA0"/>
    <w:rsid w:val="000F0AAE"/>
    <w:rsid w:val="000F0E05"/>
    <w:rsid w:val="000F0FEC"/>
    <w:rsid w:val="000F1024"/>
    <w:rsid w:val="000F106F"/>
    <w:rsid w:val="000F11A4"/>
    <w:rsid w:val="000F1210"/>
    <w:rsid w:val="000F1280"/>
    <w:rsid w:val="000F1296"/>
    <w:rsid w:val="000F188E"/>
    <w:rsid w:val="000F1AE0"/>
    <w:rsid w:val="000F1B2C"/>
    <w:rsid w:val="000F1B68"/>
    <w:rsid w:val="000F1B74"/>
    <w:rsid w:val="000F1C10"/>
    <w:rsid w:val="000F1CCF"/>
    <w:rsid w:val="000F1D45"/>
    <w:rsid w:val="000F211E"/>
    <w:rsid w:val="000F2210"/>
    <w:rsid w:val="000F2262"/>
    <w:rsid w:val="000F250B"/>
    <w:rsid w:val="000F260A"/>
    <w:rsid w:val="000F28C1"/>
    <w:rsid w:val="000F292A"/>
    <w:rsid w:val="000F2976"/>
    <w:rsid w:val="000F2A33"/>
    <w:rsid w:val="000F2AE8"/>
    <w:rsid w:val="000F2B38"/>
    <w:rsid w:val="000F2B9B"/>
    <w:rsid w:val="000F2C3A"/>
    <w:rsid w:val="000F2F0A"/>
    <w:rsid w:val="000F3035"/>
    <w:rsid w:val="000F3172"/>
    <w:rsid w:val="000F3268"/>
    <w:rsid w:val="000F375A"/>
    <w:rsid w:val="000F37CD"/>
    <w:rsid w:val="000F38B3"/>
    <w:rsid w:val="000F3A44"/>
    <w:rsid w:val="000F3A72"/>
    <w:rsid w:val="000F3A80"/>
    <w:rsid w:val="000F3C1D"/>
    <w:rsid w:val="000F3CA6"/>
    <w:rsid w:val="000F3CCE"/>
    <w:rsid w:val="000F3D4D"/>
    <w:rsid w:val="000F3E4C"/>
    <w:rsid w:val="000F3F16"/>
    <w:rsid w:val="000F3F75"/>
    <w:rsid w:val="000F3FCF"/>
    <w:rsid w:val="000F418C"/>
    <w:rsid w:val="000F42F4"/>
    <w:rsid w:val="000F43A9"/>
    <w:rsid w:val="000F4930"/>
    <w:rsid w:val="000F4A7A"/>
    <w:rsid w:val="000F4CB6"/>
    <w:rsid w:val="000F4DA9"/>
    <w:rsid w:val="000F4EF6"/>
    <w:rsid w:val="000F4F96"/>
    <w:rsid w:val="000F50C1"/>
    <w:rsid w:val="000F50D5"/>
    <w:rsid w:val="000F5243"/>
    <w:rsid w:val="000F525A"/>
    <w:rsid w:val="000F55B6"/>
    <w:rsid w:val="000F593D"/>
    <w:rsid w:val="000F59C6"/>
    <w:rsid w:val="000F5B29"/>
    <w:rsid w:val="000F6022"/>
    <w:rsid w:val="000F60AC"/>
    <w:rsid w:val="000F61FC"/>
    <w:rsid w:val="000F62BC"/>
    <w:rsid w:val="000F6493"/>
    <w:rsid w:val="000F65A1"/>
    <w:rsid w:val="000F65E3"/>
    <w:rsid w:val="000F6670"/>
    <w:rsid w:val="000F6740"/>
    <w:rsid w:val="000F67E1"/>
    <w:rsid w:val="000F6848"/>
    <w:rsid w:val="000F6967"/>
    <w:rsid w:val="000F6B83"/>
    <w:rsid w:val="000F6CD3"/>
    <w:rsid w:val="000F6D1E"/>
    <w:rsid w:val="000F6E45"/>
    <w:rsid w:val="000F70EA"/>
    <w:rsid w:val="000F7172"/>
    <w:rsid w:val="000F71B3"/>
    <w:rsid w:val="000F71DD"/>
    <w:rsid w:val="000F71E2"/>
    <w:rsid w:val="000F72B6"/>
    <w:rsid w:val="000F72EE"/>
    <w:rsid w:val="000F72FC"/>
    <w:rsid w:val="000F74DD"/>
    <w:rsid w:val="000F77E4"/>
    <w:rsid w:val="000F7878"/>
    <w:rsid w:val="000F787D"/>
    <w:rsid w:val="000F78E9"/>
    <w:rsid w:val="000F7947"/>
    <w:rsid w:val="000F79CF"/>
    <w:rsid w:val="000F7B68"/>
    <w:rsid w:val="000F7CDA"/>
    <w:rsid w:val="000F7CFE"/>
    <w:rsid w:val="000F7EE3"/>
    <w:rsid w:val="000F7FAA"/>
    <w:rsid w:val="000F7FCB"/>
    <w:rsid w:val="000F7FFA"/>
    <w:rsid w:val="000F7FFB"/>
    <w:rsid w:val="001005DC"/>
    <w:rsid w:val="00100684"/>
    <w:rsid w:val="001007E9"/>
    <w:rsid w:val="00100AB0"/>
    <w:rsid w:val="00100B8C"/>
    <w:rsid w:val="00100BDF"/>
    <w:rsid w:val="00100C5E"/>
    <w:rsid w:val="00100D6C"/>
    <w:rsid w:val="00100F96"/>
    <w:rsid w:val="0010125D"/>
    <w:rsid w:val="001012F3"/>
    <w:rsid w:val="00101487"/>
    <w:rsid w:val="001015EA"/>
    <w:rsid w:val="0010161C"/>
    <w:rsid w:val="0010167C"/>
    <w:rsid w:val="001017C4"/>
    <w:rsid w:val="001017E2"/>
    <w:rsid w:val="001017E8"/>
    <w:rsid w:val="0010180D"/>
    <w:rsid w:val="001019D5"/>
    <w:rsid w:val="001019E8"/>
    <w:rsid w:val="00101D49"/>
    <w:rsid w:val="0010228D"/>
    <w:rsid w:val="001023D3"/>
    <w:rsid w:val="00102432"/>
    <w:rsid w:val="00102459"/>
    <w:rsid w:val="00102904"/>
    <w:rsid w:val="00102B7E"/>
    <w:rsid w:val="00102BA7"/>
    <w:rsid w:val="00102FA3"/>
    <w:rsid w:val="00102FAF"/>
    <w:rsid w:val="0010311D"/>
    <w:rsid w:val="00103266"/>
    <w:rsid w:val="001032EB"/>
    <w:rsid w:val="001034CA"/>
    <w:rsid w:val="0010356D"/>
    <w:rsid w:val="00103586"/>
    <w:rsid w:val="00103615"/>
    <w:rsid w:val="001036AB"/>
    <w:rsid w:val="001036B3"/>
    <w:rsid w:val="001037DD"/>
    <w:rsid w:val="00103ABD"/>
    <w:rsid w:val="00103B06"/>
    <w:rsid w:val="00103E82"/>
    <w:rsid w:val="0010403B"/>
    <w:rsid w:val="0010407F"/>
    <w:rsid w:val="001041E1"/>
    <w:rsid w:val="0010425B"/>
    <w:rsid w:val="001042B1"/>
    <w:rsid w:val="001043BB"/>
    <w:rsid w:val="00104558"/>
    <w:rsid w:val="00104605"/>
    <w:rsid w:val="001046BB"/>
    <w:rsid w:val="0010498D"/>
    <w:rsid w:val="00104B0C"/>
    <w:rsid w:val="00104C84"/>
    <w:rsid w:val="00104CD0"/>
    <w:rsid w:val="0010501B"/>
    <w:rsid w:val="00105185"/>
    <w:rsid w:val="001052B6"/>
    <w:rsid w:val="0010532D"/>
    <w:rsid w:val="00105480"/>
    <w:rsid w:val="00105827"/>
    <w:rsid w:val="0010584B"/>
    <w:rsid w:val="001059A6"/>
    <w:rsid w:val="00105A30"/>
    <w:rsid w:val="00105C55"/>
    <w:rsid w:val="00105F31"/>
    <w:rsid w:val="00105F68"/>
    <w:rsid w:val="0010614E"/>
    <w:rsid w:val="001061E0"/>
    <w:rsid w:val="00106333"/>
    <w:rsid w:val="00106399"/>
    <w:rsid w:val="00106484"/>
    <w:rsid w:val="001064A5"/>
    <w:rsid w:val="00106743"/>
    <w:rsid w:val="0010677A"/>
    <w:rsid w:val="00106999"/>
    <w:rsid w:val="00106A78"/>
    <w:rsid w:val="00106B62"/>
    <w:rsid w:val="00106D8C"/>
    <w:rsid w:val="00106DFF"/>
    <w:rsid w:val="00106E38"/>
    <w:rsid w:val="001071D0"/>
    <w:rsid w:val="001071F4"/>
    <w:rsid w:val="00107263"/>
    <w:rsid w:val="00107283"/>
    <w:rsid w:val="001076DB"/>
    <w:rsid w:val="00107829"/>
    <w:rsid w:val="001079FB"/>
    <w:rsid w:val="00107B90"/>
    <w:rsid w:val="00107BE5"/>
    <w:rsid w:val="00107CFA"/>
    <w:rsid w:val="00107F3A"/>
    <w:rsid w:val="00110009"/>
    <w:rsid w:val="00110317"/>
    <w:rsid w:val="00110358"/>
    <w:rsid w:val="001103AB"/>
    <w:rsid w:val="0011052B"/>
    <w:rsid w:val="001105B7"/>
    <w:rsid w:val="00110609"/>
    <w:rsid w:val="00110641"/>
    <w:rsid w:val="00110710"/>
    <w:rsid w:val="0011083A"/>
    <w:rsid w:val="0011083C"/>
    <w:rsid w:val="001108CC"/>
    <w:rsid w:val="00110A33"/>
    <w:rsid w:val="00110D4C"/>
    <w:rsid w:val="00110E6F"/>
    <w:rsid w:val="00110F0F"/>
    <w:rsid w:val="00111469"/>
    <w:rsid w:val="00111662"/>
    <w:rsid w:val="001118C2"/>
    <w:rsid w:val="0011192A"/>
    <w:rsid w:val="001119A6"/>
    <w:rsid w:val="001119D8"/>
    <w:rsid w:val="00111B44"/>
    <w:rsid w:val="00111B8A"/>
    <w:rsid w:val="00111F2D"/>
    <w:rsid w:val="00112035"/>
    <w:rsid w:val="00112157"/>
    <w:rsid w:val="001121B8"/>
    <w:rsid w:val="001122D4"/>
    <w:rsid w:val="00112341"/>
    <w:rsid w:val="001123DF"/>
    <w:rsid w:val="00112966"/>
    <w:rsid w:val="0011297A"/>
    <w:rsid w:val="001129E5"/>
    <w:rsid w:val="00112B95"/>
    <w:rsid w:val="00112BC5"/>
    <w:rsid w:val="00112C2A"/>
    <w:rsid w:val="00112CCA"/>
    <w:rsid w:val="00112CF9"/>
    <w:rsid w:val="00112E60"/>
    <w:rsid w:val="00112EB5"/>
    <w:rsid w:val="00112EBD"/>
    <w:rsid w:val="00112F71"/>
    <w:rsid w:val="001130A3"/>
    <w:rsid w:val="001132CC"/>
    <w:rsid w:val="0011363B"/>
    <w:rsid w:val="0011364D"/>
    <w:rsid w:val="00113695"/>
    <w:rsid w:val="001137F0"/>
    <w:rsid w:val="001138C9"/>
    <w:rsid w:val="00113940"/>
    <w:rsid w:val="00113B42"/>
    <w:rsid w:val="00113BF5"/>
    <w:rsid w:val="00113E2A"/>
    <w:rsid w:val="00113E4E"/>
    <w:rsid w:val="00113FB2"/>
    <w:rsid w:val="00113FE7"/>
    <w:rsid w:val="001140E3"/>
    <w:rsid w:val="0011413E"/>
    <w:rsid w:val="00114171"/>
    <w:rsid w:val="0011428B"/>
    <w:rsid w:val="0011450F"/>
    <w:rsid w:val="00114519"/>
    <w:rsid w:val="001145F9"/>
    <w:rsid w:val="001146BC"/>
    <w:rsid w:val="0011479B"/>
    <w:rsid w:val="00114BE9"/>
    <w:rsid w:val="00114C88"/>
    <w:rsid w:val="00114E45"/>
    <w:rsid w:val="00114F3D"/>
    <w:rsid w:val="00114F5F"/>
    <w:rsid w:val="00114F6A"/>
    <w:rsid w:val="00115304"/>
    <w:rsid w:val="00115432"/>
    <w:rsid w:val="00115463"/>
    <w:rsid w:val="00115620"/>
    <w:rsid w:val="00115AFD"/>
    <w:rsid w:val="00115BBB"/>
    <w:rsid w:val="00115DEE"/>
    <w:rsid w:val="00115E48"/>
    <w:rsid w:val="00115EAE"/>
    <w:rsid w:val="00116015"/>
    <w:rsid w:val="001160F9"/>
    <w:rsid w:val="001165B5"/>
    <w:rsid w:val="0011672F"/>
    <w:rsid w:val="00116784"/>
    <w:rsid w:val="0011679D"/>
    <w:rsid w:val="001167BA"/>
    <w:rsid w:val="001168C4"/>
    <w:rsid w:val="0011692C"/>
    <w:rsid w:val="00116956"/>
    <w:rsid w:val="00116A1E"/>
    <w:rsid w:val="00116A21"/>
    <w:rsid w:val="00116A9E"/>
    <w:rsid w:val="00116ADD"/>
    <w:rsid w:val="00116B40"/>
    <w:rsid w:val="00116BA2"/>
    <w:rsid w:val="00116BC6"/>
    <w:rsid w:val="00116EA3"/>
    <w:rsid w:val="0011722B"/>
    <w:rsid w:val="00117241"/>
    <w:rsid w:val="0011728E"/>
    <w:rsid w:val="00117388"/>
    <w:rsid w:val="0011744F"/>
    <w:rsid w:val="00117958"/>
    <w:rsid w:val="001179FB"/>
    <w:rsid w:val="00117AA2"/>
    <w:rsid w:val="00117AB6"/>
    <w:rsid w:val="00117ABD"/>
    <w:rsid w:val="00117B5D"/>
    <w:rsid w:val="00117D70"/>
    <w:rsid w:val="0012036F"/>
    <w:rsid w:val="00120416"/>
    <w:rsid w:val="00120446"/>
    <w:rsid w:val="001204C6"/>
    <w:rsid w:val="00120540"/>
    <w:rsid w:val="0012066E"/>
    <w:rsid w:val="001207DF"/>
    <w:rsid w:val="00120911"/>
    <w:rsid w:val="001209A5"/>
    <w:rsid w:val="00120A5E"/>
    <w:rsid w:val="00120BC2"/>
    <w:rsid w:val="00120C59"/>
    <w:rsid w:val="00120C74"/>
    <w:rsid w:val="00120D67"/>
    <w:rsid w:val="00120E8B"/>
    <w:rsid w:val="0012124C"/>
    <w:rsid w:val="001212C0"/>
    <w:rsid w:val="0012146B"/>
    <w:rsid w:val="001216BC"/>
    <w:rsid w:val="001216EF"/>
    <w:rsid w:val="001218BB"/>
    <w:rsid w:val="00121951"/>
    <w:rsid w:val="00121A25"/>
    <w:rsid w:val="00121A4F"/>
    <w:rsid w:val="00121FFC"/>
    <w:rsid w:val="0012203A"/>
    <w:rsid w:val="00122062"/>
    <w:rsid w:val="00122181"/>
    <w:rsid w:val="0012230F"/>
    <w:rsid w:val="00122663"/>
    <w:rsid w:val="00122A57"/>
    <w:rsid w:val="00122DF3"/>
    <w:rsid w:val="00122ED4"/>
    <w:rsid w:val="00123180"/>
    <w:rsid w:val="001231A0"/>
    <w:rsid w:val="001231A2"/>
    <w:rsid w:val="001232B2"/>
    <w:rsid w:val="00123607"/>
    <w:rsid w:val="00123950"/>
    <w:rsid w:val="00123B8B"/>
    <w:rsid w:val="00123C04"/>
    <w:rsid w:val="00123C05"/>
    <w:rsid w:val="00123E1A"/>
    <w:rsid w:val="00123EE5"/>
    <w:rsid w:val="00123EFB"/>
    <w:rsid w:val="001240BC"/>
    <w:rsid w:val="001241B1"/>
    <w:rsid w:val="00124304"/>
    <w:rsid w:val="001244F9"/>
    <w:rsid w:val="00124523"/>
    <w:rsid w:val="001247DE"/>
    <w:rsid w:val="0012482E"/>
    <w:rsid w:val="001249A7"/>
    <w:rsid w:val="001249F8"/>
    <w:rsid w:val="00124A0D"/>
    <w:rsid w:val="00124B86"/>
    <w:rsid w:val="00124D4B"/>
    <w:rsid w:val="00124E4F"/>
    <w:rsid w:val="00125019"/>
    <w:rsid w:val="00125190"/>
    <w:rsid w:val="001251E5"/>
    <w:rsid w:val="001252E9"/>
    <w:rsid w:val="00125341"/>
    <w:rsid w:val="0012552C"/>
    <w:rsid w:val="00125662"/>
    <w:rsid w:val="001258A0"/>
    <w:rsid w:val="00125BC5"/>
    <w:rsid w:val="00125BD0"/>
    <w:rsid w:val="00125C54"/>
    <w:rsid w:val="00125CE8"/>
    <w:rsid w:val="00125DAF"/>
    <w:rsid w:val="0012622E"/>
    <w:rsid w:val="0012672E"/>
    <w:rsid w:val="0012682B"/>
    <w:rsid w:val="001268C9"/>
    <w:rsid w:val="00126A35"/>
    <w:rsid w:val="001271F7"/>
    <w:rsid w:val="00127231"/>
    <w:rsid w:val="0012724C"/>
    <w:rsid w:val="001272EE"/>
    <w:rsid w:val="0012740D"/>
    <w:rsid w:val="001279D4"/>
    <w:rsid w:val="00127F27"/>
    <w:rsid w:val="0013032C"/>
    <w:rsid w:val="00130792"/>
    <w:rsid w:val="00130809"/>
    <w:rsid w:val="00130842"/>
    <w:rsid w:val="001308ED"/>
    <w:rsid w:val="00130906"/>
    <w:rsid w:val="00130A0C"/>
    <w:rsid w:val="00130A63"/>
    <w:rsid w:val="00130AD1"/>
    <w:rsid w:val="00130B51"/>
    <w:rsid w:val="00130BB3"/>
    <w:rsid w:val="00130D2D"/>
    <w:rsid w:val="00131130"/>
    <w:rsid w:val="0013149C"/>
    <w:rsid w:val="001315B7"/>
    <w:rsid w:val="001318E2"/>
    <w:rsid w:val="00131CC5"/>
    <w:rsid w:val="00132012"/>
    <w:rsid w:val="00132175"/>
    <w:rsid w:val="00132268"/>
    <w:rsid w:val="00132445"/>
    <w:rsid w:val="001325B3"/>
    <w:rsid w:val="00132B30"/>
    <w:rsid w:val="00132BE1"/>
    <w:rsid w:val="00132C5C"/>
    <w:rsid w:val="00132D20"/>
    <w:rsid w:val="00132DEB"/>
    <w:rsid w:val="00132E14"/>
    <w:rsid w:val="00132E53"/>
    <w:rsid w:val="00132EE6"/>
    <w:rsid w:val="00132F86"/>
    <w:rsid w:val="0013300A"/>
    <w:rsid w:val="00133110"/>
    <w:rsid w:val="001332CE"/>
    <w:rsid w:val="00133334"/>
    <w:rsid w:val="00133438"/>
    <w:rsid w:val="00133541"/>
    <w:rsid w:val="0013358A"/>
    <w:rsid w:val="001335CA"/>
    <w:rsid w:val="001335F2"/>
    <w:rsid w:val="0013366F"/>
    <w:rsid w:val="00133775"/>
    <w:rsid w:val="0013394C"/>
    <w:rsid w:val="001339B2"/>
    <w:rsid w:val="00133BA5"/>
    <w:rsid w:val="00133D10"/>
    <w:rsid w:val="00133D8D"/>
    <w:rsid w:val="00133E7C"/>
    <w:rsid w:val="001340ED"/>
    <w:rsid w:val="001341E8"/>
    <w:rsid w:val="00134600"/>
    <w:rsid w:val="001347C5"/>
    <w:rsid w:val="0013493B"/>
    <w:rsid w:val="00134D0D"/>
    <w:rsid w:val="00134DFC"/>
    <w:rsid w:val="00134E23"/>
    <w:rsid w:val="00134E53"/>
    <w:rsid w:val="00135081"/>
    <w:rsid w:val="0013510D"/>
    <w:rsid w:val="00135187"/>
    <w:rsid w:val="0013518E"/>
    <w:rsid w:val="0013524D"/>
    <w:rsid w:val="001353BF"/>
    <w:rsid w:val="00135422"/>
    <w:rsid w:val="001354F7"/>
    <w:rsid w:val="0013551B"/>
    <w:rsid w:val="00135850"/>
    <w:rsid w:val="00135871"/>
    <w:rsid w:val="00135B23"/>
    <w:rsid w:val="00135CA5"/>
    <w:rsid w:val="00135E3B"/>
    <w:rsid w:val="00136180"/>
    <w:rsid w:val="00136265"/>
    <w:rsid w:val="001362D8"/>
    <w:rsid w:val="001363BF"/>
    <w:rsid w:val="00136548"/>
    <w:rsid w:val="0013671F"/>
    <w:rsid w:val="00136948"/>
    <w:rsid w:val="00136AB2"/>
    <w:rsid w:val="00136C60"/>
    <w:rsid w:val="00136E3E"/>
    <w:rsid w:val="00136EAF"/>
    <w:rsid w:val="00136F80"/>
    <w:rsid w:val="0013708B"/>
    <w:rsid w:val="00137151"/>
    <w:rsid w:val="001371D0"/>
    <w:rsid w:val="001371E0"/>
    <w:rsid w:val="00137341"/>
    <w:rsid w:val="0013736E"/>
    <w:rsid w:val="001373CD"/>
    <w:rsid w:val="001373E4"/>
    <w:rsid w:val="001374FB"/>
    <w:rsid w:val="001376A8"/>
    <w:rsid w:val="001376B4"/>
    <w:rsid w:val="00137707"/>
    <w:rsid w:val="0013779F"/>
    <w:rsid w:val="00137872"/>
    <w:rsid w:val="001378E9"/>
    <w:rsid w:val="00137ABB"/>
    <w:rsid w:val="00137F37"/>
    <w:rsid w:val="0014006A"/>
    <w:rsid w:val="0014008C"/>
    <w:rsid w:val="001400D1"/>
    <w:rsid w:val="0014011A"/>
    <w:rsid w:val="0014028B"/>
    <w:rsid w:val="00140296"/>
    <w:rsid w:val="0014030E"/>
    <w:rsid w:val="001405B3"/>
    <w:rsid w:val="001406A8"/>
    <w:rsid w:val="001406F5"/>
    <w:rsid w:val="00140722"/>
    <w:rsid w:val="00140759"/>
    <w:rsid w:val="0014077C"/>
    <w:rsid w:val="00140AB0"/>
    <w:rsid w:val="00140BFA"/>
    <w:rsid w:val="00140C9A"/>
    <w:rsid w:val="00140F1F"/>
    <w:rsid w:val="001410B4"/>
    <w:rsid w:val="00141218"/>
    <w:rsid w:val="00141571"/>
    <w:rsid w:val="00141936"/>
    <w:rsid w:val="00141A7C"/>
    <w:rsid w:val="00141C49"/>
    <w:rsid w:val="00141C64"/>
    <w:rsid w:val="00141E5A"/>
    <w:rsid w:val="00142035"/>
    <w:rsid w:val="00142301"/>
    <w:rsid w:val="00142528"/>
    <w:rsid w:val="001425FB"/>
    <w:rsid w:val="0014266C"/>
    <w:rsid w:val="001427AF"/>
    <w:rsid w:val="00142BC9"/>
    <w:rsid w:val="00142C49"/>
    <w:rsid w:val="00142D07"/>
    <w:rsid w:val="00142E29"/>
    <w:rsid w:val="00142E79"/>
    <w:rsid w:val="00142F07"/>
    <w:rsid w:val="0014322A"/>
    <w:rsid w:val="0014336F"/>
    <w:rsid w:val="00143403"/>
    <w:rsid w:val="00143476"/>
    <w:rsid w:val="001434D1"/>
    <w:rsid w:val="001434E9"/>
    <w:rsid w:val="00143BAD"/>
    <w:rsid w:val="00143DA8"/>
    <w:rsid w:val="00143EC5"/>
    <w:rsid w:val="00143F80"/>
    <w:rsid w:val="00143F92"/>
    <w:rsid w:val="00144011"/>
    <w:rsid w:val="001443D3"/>
    <w:rsid w:val="0014486E"/>
    <w:rsid w:val="001448F5"/>
    <w:rsid w:val="00144916"/>
    <w:rsid w:val="0014494F"/>
    <w:rsid w:val="00144B71"/>
    <w:rsid w:val="00144C5F"/>
    <w:rsid w:val="00144E66"/>
    <w:rsid w:val="0014509B"/>
    <w:rsid w:val="001450E3"/>
    <w:rsid w:val="0014552C"/>
    <w:rsid w:val="00145627"/>
    <w:rsid w:val="0014567D"/>
    <w:rsid w:val="00145686"/>
    <w:rsid w:val="001456E1"/>
    <w:rsid w:val="001456FC"/>
    <w:rsid w:val="001457B6"/>
    <w:rsid w:val="0014591B"/>
    <w:rsid w:val="00145A3C"/>
    <w:rsid w:val="00145BE9"/>
    <w:rsid w:val="00145C0B"/>
    <w:rsid w:val="00145CD9"/>
    <w:rsid w:val="00146054"/>
    <w:rsid w:val="00146101"/>
    <w:rsid w:val="00146666"/>
    <w:rsid w:val="00146978"/>
    <w:rsid w:val="001469C9"/>
    <w:rsid w:val="00146D40"/>
    <w:rsid w:val="00146DF3"/>
    <w:rsid w:val="00146F6C"/>
    <w:rsid w:val="00146F7F"/>
    <w:rsid w:val="00146F8E"/>
    <w:rsid w:val="0014700E"/>
    <w:rsid w:val="0014701D"/>
    <w:rsid w:val="0014719C"/>
    <w:rsid w:val="0014730A"/>
    <w:rsid w:val="0014757C"/>
    <w:rsid w:val="00147636"/>
    <w:rsid w:val="001477DF"/>
    <w:rsid w:val="001479FB"/>
    <w:rsid w:val="00147B07"/>
    <w:rsid w:val="00147B6A"/>
    <w:rsid w:val="00147B8D"/>
    <w:rsid w:val="00147C7B"/>
    <w:rsid w:val="00147DE0"/>
    <w:rsid w:val="00147E56"/>
    <w:rsid w:val="00147EE5"/>
    <w:rsid w:val="00147FD3"/>
    <w:rsid w:val="00150541"/>
    <w:rsid w:val="001505B5"/>
    <w:rsid w:val="001505DB"/>
    <w:rsid w:val="00150708"/>
    <w:rsid w:val="001508E9"/>
    <w:rsid w:val="00150B8D"/>
    <w:rsid w:val="00150CE4"/>
    <w:rsid w:val="00150E85"/>
    <w:rsid w:val="00151062"/>
    <w:rsid w:val="001514B0"/>
    <w:rsid w:val="001514C3"/>
    <w:rsid w:val="001515AF"/>
    <w:rsid w:val="00151646"/>
    <w:rsid w:val="0015165A"/>
    <w:rsid w:val="00151C00"/>
    <w:rsid w:val="00151D2E"/>
    <w:rsid w:val="00151F58"/>
    <w:rsid w:val="00152062"/>
    <w:rsid w:val="00152136"/>
    <w:rsid w:val="001521FD"/>
    <w:rsid w:val="001522CE"/>
    <w:rsid w:val="00152316"/>
    <w:rsid w:val="00152488"/>
    <w:rsid w:val="00152501"/>
    <w:rsid w:val="00152503"/>
    <w:rsid w:val="0015255C"/>
    <w:rsid w:val="00152587"/>
    <w:rsid w:val="001525F5"/>
    <w:rsid w:val="0015299D"/>
    <w:rsid w:val="001529DF"/>
    <w:rsid w:val="00152A8A"/>
    <w:rsid w:val="00152BA9"/>
    <w:rsid w:val="00152C13"/>
    <w:rsid w:val="00152D33"/>
    <w:rsid w:val="0015307C"/>
    <w:rsid w:val="00153090"/>
    <w:rsid w:val="001531B8"/>
    <w:rsid w:val="00153239"/>
    <w:rsid w:val="0015332E"/>
    <w:rsid w:val="001533F6"/>
    <w:rsid w:val="001535E1"/>
    <w:rsid w:val="001537AD"/>
    <w:rsid w:val="001538AC"/>
    <w:rsid w:val="0015399E"/>
    <w:rsid w:val="00153A9F"/>
    <w:rsid w:val="00153ADB"/>
    <w:rsid w:val="00153AFC"/>
    <w:rsid w:val="00153BD3"/>
    <w:rsid w:val="00153C09"/>
    <w:rsid w:val="00153E1C"/>
    <w:rsid w:val="00154252"/>
    <w:rsid w:val="0015440E"/>
    <w:rsid w:val="00154499"/>
    <w:rsid w:val="0015468B"/>
    <w:rsid w:val="00154898"/>
    <w:rsid w:val="00154A13"/>
    <w:rsid w:val="00154AD2"/>
    <w:rsid w:val="00154B0D"/>
    <w:rsid w:val="00154C0A"/>
    <w:rsid w:val="00154E68"/>
    <w:rsid w:val="00154F73"/>
    <w:rsid w:val="00155141"/>
    <w:rsid w:val="0015516E"/>
    <w:rsid w:val="0015532C"/>
    <w:rsid w:val="00155500"/>
    <w:rsid w:val="00155802"/>
    <w:rsid w:val="001558DA"/>
    <w:rsid w:val="00155943"/>
    <w:rsid w:val="00155A08"/>
    <w:rsid w:val="00155A81"/>
    <w:rsid w:val="00155A98"/>
    <w:rsid w:val="00155B03"/>
    <w:rsid w:val="00155B09"/>
    <w:rsid w:val="00155CDB"/>
    <w:rsid w:val="00155D11"/>
    <w:rsid w:val="00155E1D"/>
    <w:rsid w:val="00155EFA"/>
    <w:rsid w:val="00156142"/>
    <w:rsid w:val="001561F8"/>
    <w:rsid w:val="00156342"/>
    <w:rsid w:val="0015636B"/>
    <w:rsid w:val="00156431"/>
    <w:rsid w:val="00156577"/>
    <w:rsid w:val="001565AF"/>
    <w:rsid w:val="001565C7"/>
    <w:rsid w:val="001565F6"/>
    <w:rsid w:val="0015661F"/>
    <w:rsid w:val="00156628"/>
    <w:rsid w:val="00156DBE"/>
    <w:rsid w:val="00156E72"/>
    <w:rsid w:val="00156FBC"/>
    <w:rsid w:val="00157238"/>
    <w:rsid w:val="00157308"/>
    <w:rsid w:val="001575F4"/>
    <w:rsid w:val="001576D1"/>
    <w:rsid w:val="0015772F"/>
    <w:rsid w:val="001578DD"/>
    <w:rsid w:val="00157A7C"/>
    <w:rsid w:val="00157B00"/>
    <w:rsid w:val="00157B27"/>
    <w:rsid w:val="00157E24"/>
    <w:rsid w:val="0016013A"/>
    <w:rsid w:val="0016026B"/>
    <w:rsid w:val="00160324"/>
    <w:rsid w:val="00160441"/>
    <w:rsid w:val="0016085A"/>
    <w:rsid w:val="00160A35"/>
    <w:rsid w:val="00160B0C"/>
    <w:rsid w:val="00160C1D"/>
    <w:rsid w:val="00160D3C"/>
    <w:rsid w:val="00160D8C"/>
    <w:rsid w:val="00160E09"/>
    <w:rsid w:val="00160F32"/>
    <w:rsid w:val="00160F53"/>
    <w:rsid w:val="0016123C"/>
    <w:rsid w:val="00161333"/>
    <w:rsid w:val="001613E9"/>
    <w:rsid w:val="001615E2"/>
    <w:rsid w:val="00161A13"/>
    <w:rsid w:val="00161A2B"/>
    <w:rsid w:val="00161B95"/>
    <w:rsid w:val="00161CB8"/>
    <w:rsid w:val="00161E52"/>
    <w:rsid w:val="00161F10"/>
    <w:rsid w:val="00161F32"/>
    <w:rsid w:val="00162203"/>
    <w:rsid w:val="00162237"/>
    <w:rsid w:val="001622AE"/>
    <w:rsid w:val="00162308"/>
    <w:rsid w:val="00162339"/>
    <w:rsid w:val="001624E2"/>
    <w:rsid w:val="001625D9"/>
    <w:rsid w:val="00162615"/>
    <w:rsid w:val="0016263E"/>
    <w:rsid w:val="001626FA"/>
    <w:rsid w:val="0016274D"/>
    <w:rsid w:val="00162753"/>
    <w:rsid w:val="0016284C"/>
    <w:rsid w:val="0016286E"/>
    <w:rsid w:val="00162C15"/>
    <w:rsid w:val="00162FFF"/>
    <w:rsid w:val="00163388"/>
    <w:rsid w:val="00163413"/>
    <w:rsid w:val="001635B3"/>
    <w:rsid w:val="001638A1"/>
    <w:rsid w:val="00163B0A"/>
    <w:rsid w:val="00163B69"/>
    <w:rsid w:val="00163BE1"/>
    <w:rsid w:val="00163CFF"/>
    <w:rsid w:val="00163EF4"/>
    <w:rsid w:val="00164022"/>
    <w:rsid w:val="001640D3"/>
    <w:rsid w:val="001642B4"/>
    <w:rsid w:val="0016457A"/>
    <w:rsid w:val="0016478A"/>
    <w:rsid w:val="00164794"/>
    <w:rsid w:val="00164911"/>
    <w:rsid w:val="00164968"/>
    <w:rsid w:val="00164BCB"/>
    <w:rsid w:val="00164C5A"/>
    <w:rsid w:val="00165009"/>
    <w:rsid w:val="001651DD"/>
    <w:rsid w:val="001651E2"/>
    <w:rsid w:val="0016542B"/>
    <w:rsid w:val="0016547A"/>
    <w:rsid w:val="001654C5"/>
    <w:rsid w:val="0016558C"/>
    <w:rsid w:val="0016566B"/>
    <w:rsid w:val="0016579C"/>
    <w:rsid w:val="0016582D"/>
    <w:rsid w:val="0016594D"/>
    <w:rsid w:val="001659A3"/>
    <w:rsid w:val="00165AE7"/>
    <w:rsid w:val="00165E60"/>
    <w:rsid w:val="00165FF9"/>
    <w:rsid w:val="00166373"/>
    <w:rsid w:val="001663CA"/>
    <w:rsid w:val="00166584"/>
    <w:rsid w:val="00166718"/>
    <w:rsid w:val="001667D3"/>
    <w:rsid w:val="0016681A"/>
    <w:rsid w:val="0016681D"/>
    <w:rsid w:val="0016698A"/>
    <w:rsid w:val="001669B7"/>
    <w:rsid w:val="00166A59"/>
    <w:rsid w:val="00166AD2"/>
    <w:rsid w:val="00166D91"/>
    <w:rsid w:val="00166E74"/>
    <w:rsid w:val="00166EC1"/>
    <w:rsid w:val="00166F13"/>
    <w:rsid w:val="00166F30"/>
    <w:rsid w:val="00167221"/>
    <w:rsid w:val="00167248"/>
    <w:rsid w:val="00167383"/>
    <w:rsid w:val="001673CC"/>
    <w:rsid w:val="0016758F"/>
    <w:rsid w:val="00167667"/>
    <w:rsid w:val="001677D4"/>
    <w:rsid w:val="0016783F"/>
    <w:rsid w:val="001678D6"/>
    <w:rsid w:val="00167B16"/>
    <w:rsid w:val="00167BE6"/>
    <w:rsid w:val="00167C00"/>
    <w:rsid w:val="00167C0C"/>
    <w:rsid w:val="00167C8B"/>
    <w:rsid w:val="00167CCE"/>
    <w:rsid w:val="00167EB7"/>
    <w:rsid w:val="00167F2B"/>
    <w:rsid w:val="00167FFC"/>
    <w:rsid w:val="00170004"/>
    <w:rsid w:val="0017025F"/>
    <w:rsid w:val="001702A1"/>
    <w:rsid w:val="0017081E"/>
    <w:rsid w:val="00170A23"/>
    <w:rsid w:val="00170BB5"/>
    <w:rsid w:val="00170D71"/>
    <w:rsid w:val="00170E6B"/>
    <w:rsid w:val="00170EC9"/>
    <w:rsid w:val="00170ECD"/>
    <w:rsid w:val="00170EDC"/>
    <w:rsid w:val="00171095"/>
    <w:rsid w:val="00171204"/>
    <w:rsid w:val="001712F8"/>
    <w:rsid w:val="0017135F"/>
    <w:rsid w:val="001715F0"/>
    <w:rsid w:val="001715F4"/>
    <w:rsid w:val="0017169D"/>
    <w:rsid w:val="001719DC"/>
    <w:rsid w:val="00171B5D"/>
    <w:rsid w:val="00171D2B"/>
    <w:rsid w:val="00171E69"/>
    <w:rsid w:val="00171E6C"/>
    <w:rsid w:val="00171EA7"/>
    <w:rsid w:val="0017207C"/>
    <w:rsid w:val="001720A9"/>
    <w:rsid w:val="00172106"/>
    <w:rsid w:val="0017240A"/>
    <w:rsid w:val="00172824"/>
    <w:rsid w:val="00172851"/>
    <w:rsid w:val="001729F4"/>
    <w:rsid w:val="001729F6"/>
    <w:rsid w:val="00172AB1"/>
    <w:rsid w:val="00172B33"/>
    <w:rsid w:val="00172BD5"/>
    <w:rsid w:val="00172FE7"/>
    <w:rsid w:val="00172FF9"/>
    <w:rsid w:val="0017305D"/>
    <w:rsid w:val="0017306B"/>
    <w:rsid w:val="001730E0"/>
    <w:rsid w:val="0017313D"/>
    <w:rsid w:val="00173221"/>
    <w:rsid w:val="001733E6"/>
    <w:rsid w:val="00173523"/>
    <w:rsid w:val="0017361F"/>
    <w:rsid w:val="00173664"/>
    <w:rsid w:val="001737EA"/>
    <w:rsid w:val="00173826"/>
    <w:rsid w:val="00173C4C"/>
    <w:rsid w:val="00173DA7"/>
    <w:rsid w:val="00173E43"/>
    <w:rsid w:val="00173F7F"/>
    <w:rsid w:val="00173FA3"/>
    <w:rsid w:val="00174002"/>
    <w:rsid w:val="00174009"/>
    <w:rsid w:val="00174018"/>
    <w:rsid w:val="00174154"/>
    <w:rsid w:val="001741F1"/>
    <w:rsid w:val="00174394"/>
    <w:rsid w:val="0017446D"/>
    <w:rsid w:val="0017470E"/>
    <w:rsid w:val="00174A67"/>
    <w:rsid w:val="00174B8B"/>
    <w:rsid w:val="00174BE6"/>
    <w:rsid w:val="00174D07"/>
    <w:rsid w:val="00174D08"/>
    <w:rsid w:val="00174E3E"/>
    <w:rsid w:val="00174F6A"/>
    <w:rsid w:val="001756F4"/>
    <w:rsid w:val="00175B61"/>
    <w:rsid w:val="00175CCC"/>
    <w:rsid w:val="001761E9"/>
    <w:rsid w:val="0017622B"/>
    <w:rsid w:val="001763D1"/>
    <w:rsid w:val="00176630"/>
    <w:rsid w:val="00176821"/>
    <w:rsid w:val="00176967"/>
    <w:rsid w:val="00176BCE"/>
    <w:rsid w:val="00177400"/>
    <w:rsid w:val="00177444"/>
    <w:rsid w:val="0017777A"/>
    <w:rsid w:val="00177881"/>
    <w:rsid w:val="001778B1"/>
    <w:rsid w:val="00177925"/>
    <w:rsid w:val="00177928"/>
    <w:rsid w:val="00177ABB"/>
    <w:rsid w:val="00177B19"/>
    <w:rsid w:val="00177B2A"/>
    <w:rsid w:val="00177BFD"/>
    <w:rsid w:val="00177D2C"/>
    <w:rsid w:val="00177EFD"/>
    <w:rsid w:val="00177F06"/>
    <w:rsid w:val="0018030A"/>
    <w:rsid w:val="001803F4"/>
    <w:rsid w:val="001805CA"/>
    <w:rsid w:val="0018061A"/>
    <w:rsid w:val="00180AA9"/>
    <w:rsid w:val="00180B9D"/>
    <w:rsid w:val="00180BE7"/>
    <w:rsid w:val="00180D27"/>
    <w:rsid w:val="00180D2A"/>
    <w:rsid w:val="00180FF6"/>
    <w:rsid w:val="001813AD"/>
    <w:rsid w:val="00181425"/>
    <w:rsid w:val="00181581"/>
    <w:rsid w:val="0018174C"/>
    <w:rsid w:val="0018198F"/>
    <w:rsid w:val="001819A1"/>
    <w:rsid w:val="00181A51"/>
    <w:rsid w:val="00181BBB"/>
    <w:rsid w:val="00181DB3"/>
    <w:rsid w:val="00181F5B"/>
    <w:rsid w:val="0018211F"/>
    <w:rsid w:val="00182134"/>
    <w:rsid w:val="00182139"/>
    <w:rsid w:val="00182176"/>
    <w:rsid w:val="00182280"/>
    <w:rsid w:val="00182302"/>
    <w:rsid w:val="00182400"/>
    <w:rsid w:val="0018245F"/>
    <w:rsid w:val="00182500"/>
    <w:rsid w:val="00182550"/>
    <w:rsid w:val="001825DC"/>
    <w:rsid w:val="00182859"/>
    <w:rsid w:val="00182899"/>
    <w:rsid w:val="00182A5B"/>
    <w:rsid w:val="00182C6F"/>
    <w:rsid w:val="00182D6B"/>
    <w:rsid w:val="00182DD0"/>
    <w:rsid w:val="00182F3B"/>
    <w:rsid w:val="001830DE"/>
    <w:rsid w:val="0018315C"/>
    <w:rsid w:val="001831F7"/>
    <w:rsid w:val="00183210"/>
    <w:rsid w:val="00183432"/>
    <w:rsid w:val="001835F0"/>
    <w:rsid w:val="0018376B"/>
    <w:rsid w:val="00183852"/>
    <w:rsid w:val="001838E8"/>
    <w:rsid w:val="00183943"/>
    <w:rsid w:val="00183AA0"/>
    <w:rsid w:val="00183BBE"/>
    <w:rsid w:val="00183C88"/>
    <w:rsid w:val="00183D14"/>
    <w:rsid w:val="00183D43"/>
    <w:rsid w:val="00183E31"/>
    <w:rsid w:val="00183EC6"/>
    <w:rsid w:val="00183FC2"/>
    <w:rsid w:val="00184415"/>
    <w:rsid w:val="00184443"/>
    <w:rsid w:val="0018455C"/>
    <w:rsid w:val="00184819"/>
    <w:rsid w:val="001848F4"/>
    <w:rsid w:val="0018491D"/>
    <w:rsid w:val="00184A83"/>
    <w:rsid w:val="00184BBF"/>
    <w:rsid w:val="00184C7A"/>
    <w:rsid w:val="00184DDF"/>
    <w:rsid w:val="00185003"/>
    <w:rsid w:val="001850EB"/>
    <w:rsid w:val="001850FB"/>
    <w:rsid w:val="001853BB"/>
    <w:rsid w:val="001854CF"/>
    <w:rsid w:val="00185558"/>
    <w:rsid w:val="001856BF"/>
    <w:rsid w:val="00185873"/>
    <w:rsid w:val="00185905"/>
    <w:rsid w:val="00185B55"/>
    <w:rsid w:val="00185C7D"/>
    <w:rsid w:val="00185CE0"/>
    <w:rsid w:val="00185ECF"/>
    <w:rsid w:val="00186160"/>
    <w:rsid w:val="0018616F"/>
    <w:rsid w:val="0018639E"/>
    <w:rsid w:val="001863D9"/>
    <w:rsid w:val="001863F8"/>
    <w:rsid w:val="00186913"/>
    <w:rsid w:val="001869D2"/>
    <w:rsid w:val="00186AAE"/>
    <w:rsid w:val="00186AC3"/>
    <w:rsid w:val="00186B5F"/>
    <w:rsid w:val="00187283"/>
    <w:rsid w:val="00187494"/>
    <w:rsid w:val="0018749B"/>
    <w:rsid w:val="001874EF"/>
    <w:rsid w:val="001876C3"/>
    <w:rsid w:val="0018784C"/>
    <w:rsid w:val="001878D2"/>
    <w:rsid w:val="00187926"/>
    <w:rsid w:val="0018795B"/>
    <w:rsid w:val="00187A27"/>
    <w:rsid w:val="00187AE0"/>
    <w:rsid w:val="00187D10"/>
    <w:rsid w:val="00187D21"/>
    <w:rsid w:val="00190741"/>
    <w:rsid w:val="001907FA"/>
    <w:rsid w:val="0019094C"/>
    <w:rsid w:val="00190B0E"/>
    <w:rsid w:val="00190CFA"/>
    <w:rsid w:val="00190DA1"/>
    <w:rsid w:val="00190E69"/>
    <w:rsid w:val="0019124C"/>
    <w:rsid w:val="001912FB"/>
    <w:rsid w:val="001913CA"/>
    <w:rsid w:val="001914A6"/>
    <w:rsid w:val="001916D8"/>
    <w:rsid w:val="00191725"/>
    <w:rsid w:val="00191892"/>
    <w:rsid w:val="0019192F"/>
    <w:rsid w:val="0019193D"/>
    <w:rsid w:val="001919BF"/>
    <w:rsid w:val="00191AD4"/>
    <w:rsid w:val="00191B15"/>
    <w:rsid w:val="00191B6E"/>
    <w:rsid w:val="00191CD9"/>
    <w:rsid w:val="00191D98"/>
    <w:rsid w:val="00191EC2"/>
    <w:rsid w:val="00192063"/>
    <w:rsid w:val="0019210B"/>
    <w:rsid w:val="0019234F"/>
    <w:rsid w:val="00192513"/>
    <w:rsid w:val="00192553"/>
    <w:rsid w:val="001926E7"/>
    <w:rsid w:val="00192735"/>
    <w:rsid w:val="0019285F"/>
    <w:rsid w:val="001928AF"/>
    <w:rsid w:val="001928BC"/>
    <w:rsid w:val="00192B99"/>
    <w:rsid w:val="00192CF6"/>
    <w:rsid w:val="00192FD3"/>
    <w:rsid w:val="00193079"/>
    <w:rsid w:val="00193315"/>
    <w:rsid w:val="00193382"/>
    <w:rsid w:val="00193563"/>
    <w:rsid w:val="00193608"/>
    <w:rsid w:val="001936A4"/>
    <w:rsid w:val="0019380B"/>
    <w:rsid w:val="0019386F"/>
    <w:rsid w:val="00193A04"/>
    <w:rsid w:val="00193E46"/>
    <w:rsid w:val="0019410F"/>
    <w:rsid w:val="001941B2"/>
    <w:rsid w:val="001942BD"/>
    <w:rsid w:val="001945C9"/>
    <w:rsid w:val="001945DF"/>
    <w:rsid w:val="001945F7"/>
    <w:rsid w:val="001946AD"/>
    <w:rsid w:val="001946D5"/>
    <w:rsid w:val="001946E1"/>
    <w:rsid w:val="0019482E"/>
    <w:rsid w:val="00194853"/>
    <w:rsid w:val="0019485A"/>
    <w:rsid w:val="00194B79"/>
    <w:rsid w:val="0019502A"/>
    <w:rsid w:val="00195057"/>
    <w:rsid w:val="0019521C"/>
    <w:rsid w:val="00195261"/>
    <w:rsid w:val="00195329"/>
    <w:rsid w:val="0019545E"/>
    <w:rsid w:val="001956C6"/>
    <w:rsid w:val="00195736"/>
    <w:rsid w:val="0019598E"/>
    <w:rsid w:val="00195A32"/>
    <w:rsid w:val="00195B3A"/>
    <w:rsid w:val="00195BAD"/>
    <w:rsid w:val="00195D70"/>
    <w:rsid w:val="00195D74"/>
    <w:rsid w:val="00195E72"/>
    <w:rsid w:val="00195E93"/>
    <w:rsid w:val="00196072"/>
    <w:rsid w:val="00196306"/>
    <w:rsid w:val="00196339"/>
    <w:rsid w:val="00196374"/>
    <w:rsid w:val="00196375"/>
    <w:rsid w:val="001963EA"/>
    <w:rsid w:val="00196592"/>
    <w:rsid w:val="001965B3"/>
    <w:rsid w:val="001966CE"/>
    <w:rsid w:val="0019684D"/>
    <w:rsid w:val="00196883"/>
    <w:rsid w:val="00196AE9"/>
    <w:rsid w:val="00196B45"/>
    <w:rsid w:val="00196B72"/>
    <w:rsid w:val="00196DCE"/>
    <w:rsid w:val="00197094"/>
    <w:rsid w:val="001971C5"/>
    <w:rsid w:val="0019732D"/>
    <w:rsid w:val="00197384"/>
    <w:rsid w:val="00197A01"/>
    <w:rsid w:val="00197AA2"/>
    <w:rsid w:val="00197CA9"/>
    <w:rsid w:val="00197F68"/>
    <w:rsid w:val="001A0179"/>
    <w:rsid w:val="001A0196"/>
    <w:rsid w:val="001A023B"/>
    <w:rsid w:val="001A0377"/>
    <w:rsid w:val="001A0516"/>
    <w:rsid w:val="001A0535"/>
    <w:rsid w:val="001A05E2"/>
    <w:rsid w:val="001A0ACA"/>
    <w:rsid w:val="001A0BA4"/>
    <w:rsid w:val="001A0D10"/>
    <w:rsid w:val="001A0E3B"/>
    <w:rsid w:val="001A0F0C"/>
    <w:rsid w:val="001A10DC"/>
    <w:rsid w:val="001A14DF"/>
    <w:rsid w:val="001A1690"/>
    <w:rsid w:val="001A174A"/>
    <w:rsid w:val="001A17B4"/>
    <w:rsid w:val="001A18DB"/>
    <w:rsid w:val="001A190F"/>
    <w:rsid w:val="001A1913"/>
    <w:rsid w:val="001A1994"/>
    <w:rsid w:val="001A1B61"/>
    <w:rsid w:val="001A1CBC"/>
    <w:rsid w:val="001A1DC6"/>
    <w:rsid w:val="001A1F0E"/>
    <w:rsid w:val="001A20B3"/>
    <w:rsid w:val="001A225E"/>
    <w:rsid w:val="001A25FC"/>
    <w:rsid w:val="001A2770"/>
    <w:rsid w:val="001A289C"/>
    <w:rsid w:val="001A29D7"/>
    <w:rsid w:val="001A2DD0"/>
    <w:rsid w:val="001A2E14"/>
    <w:rsid w:val="001A2EF1"/>
    <w:rsid w:val="001A2F81"/>
    <w:rsid w:val="001A305E"/>
    <w:rsid w:val="001A30D7"/>
    <w:rsid w:val="001A31B3"/>
    <w:rsid w:val="001A31DA"/>
    <w:rsid w:val="001A3337"/>
    <w:rsid w:val="001A33FA"/>
    <w:rsid w:val="001A343A"/>
    <w:rsid w:val="001A343B"/>
    <w:rsid w:val="001A3534"/>
    <w:rsid w:val="001A3837"/>
    <w:rsid w:val="001A388E"/>
    <w:rsid w:val="001A397E"/>
    <w:rsid w:val="001A3B92"/>
    <w:rsid w:val="001A3D48"/>
    <w:rsid w:val="001A3E23"/>
    <w:rsid w:val="001A41F2"/>
    <w:rsid w:val="001A421F"/>
    <w:rsid w:val="001A423B"/>
    <w:rsid w:val="001A444B"/>
    <w:rsid w:val="001A4596"/>
    <w:rsid w:val="001A4910"/>
    <w:rsid w:val="001A49F4"/>
    <w:rsid w:val="001A4A0D"/>
    <w:rsid w:val="001A4AAC"/>
    <w:rsid w:val="001A4BD0"/>
    <w:rsid w:val="001A4C15"/>
    <w:rsid w:val="001A4E05"/>
    <w:rsid w:val="001A4F0B"/>
    <w:rsid w:val="001A4FA4"/>
    <w:rsid w:val="001A52A6"/>
    <w:rsid w:val="001A535F"/>
    <w:rsid w:val="001A543C"/>
    <w:rsid w:val="001A54A7"/>
    <w:rsid w:val="001A54CE"/>
    <w:rsid w:val="001A57C4"/>
    <w:rsid w:val="001A5812"/>
    <w:rsid w:val="001A59DD"/>
    <w:rsid w:val="001A5B43"/>
    <w:rsid w:val="001A5BE1"/>
    <w:rsid w:val="001A5C7A"/>
    <w:rsid w:val="001A5E16"/>
    <w:rsid w:val="001A5E58"/>
    <w:rsid w:val="001A5FCD"/>
    <w:rsid w:val="001A6018"/>
    <w:rsid w:val="001A624C"/>
    <w:rsid w:val="001A630B"/>
    <w:rsid w:val="001A63D6"/>
    <w:rsid w:val="001A6560"/>
    <w:rsid w:val="001A6670"/>
    <w:rsid w:val="001A66F7"/>
    <w:rsid w:val="001A6786"/>
    <w:rsid w:val="001A682D"/>
    <w:rsid w:val="001A68EF"/>
    <w:rsid w:val="001A6A2A"/>
    <w:rsid w:val="001A6BD1"/>
    <w:rsid w:val="001A6C75"/>
    <w:rsid w:val="001A6D17"/>
    <w:rsid w:val="001A6E85"/>
    <w:rsid w:val="001A6F0E"/>
    <w:rsid w:val="001A701C"/>
    <w:rsid w:val="001A70E7"/>
    <w:rsid w:val="001A7158"/>
    <w:rsid w:val="001A7345"/>
    <w:rsid w:val="001A7413"/>
    <w:rsid w:val="001A7418"/>
    <w:rsid w:val="001A75F2"/>
    <w:rsid w:val="001A7ABE"/>
    <w:rsid w:val="001A7B88"/>
    <w:rsid w:val="001A7D5D"/>
    <w:rsid w:val="001A7F1C"/>
    <w:rsid w:val="001B00C5"/>
    <w:rsid w:val="001B0117"/>
    <w:rsid w:val="001B013B"/>
    <w:rsid w:val="001B0270"/>
    <w:rsid w:val="001B03A4"/>
    <w:rsid w:val="001B04FD"/>
    <w:rsid w:val="001B053A"/>
    <w:rsid w:val="001B0608"/>
    <w:rsid w:val="001B07FD"/>
    <w:rsid w:val="001B0800"/>
    <w:rsid w:val="001B090D"/>
    <w:rsid w:val="001B0A13"/>
    <w:rsid w:val="001B0A58"/>
    <w:rsid w:val="001B0A9E"/>
    <w:rsid w:val="001B0BC6"/>
    <w:rsid w:val="001B0D9D"/>
    <w:rsid w:val="001B0DBF"/>
    <w:rsid w:val="001B0EF1"/>
    <w:rsid w:val="001B0F89"/>
    <w:rsid w:val="001B0FE7"/>
    <w:rsid w:val="001B10D8"/>
    <w:rsid w:val="001B1146"/>
    <w:rsid w:val="001B11B8"/>
    <w:rsid w:val="001B1223"/>
    <w:rsid w:val="001B1602"/>
    <w:rsid w:val="001B1E52"/>
    <w:rsid w:val="001B1F3B"/>
    <w:rsid w:val="001B20F5"/>
    <w:rsid w:val="001B229D"/>
    <w:rsid w:val="001B23A1"/>
    <w:rsid w:val="001B2539"/>
    <w:rsid w:val="001B25DC"/>
    <w:rsid w:val="001B26BD"/>
    <w:rsid w:val="001B2876"/>
    <w:rsid w:val="001B2899"/>
    <w:rsid w:val="001B28EF"/>
    <w:rsid w:val="001B299A"/>
    <w:rsid w:val="001B2A2D"/>
    <w:rsid w:val="001B2C70"/>
    <w:rsid w:val="001B2E27"/>
    <w:rsid w:val="001B2F58"/>
    <w:rsid w:val="001B3040"/>
    <w:rsid w:val="001B309F"/>
    <w:rsid w:val="001B30DC"/>
    <w:rsid w:val="001B3318"/>
    <w:rsid w:val="001B3344"/>
    <w:rsid w:val="001B33A8"/>
    <w:rsid w:val="001B33E8"/>
    <w:rsid w:val="001B3955"/>
    <w:rsid w:val="001B3985"/>
    <w:rsid w:val="001B39EE"/>
    <w:rsid w:val="001B3A44"/>
    <w:rsid w:val="001B3A5D"/>
    <w:rsid w:val="001B3A81"/>
    <w:rsid w:val="001B3AF2"/>
    <w:rsid w:val="001B3B6E"/>
    <w:rsid w:val="001B3BCD"/>
    <w:rsid w:val="001B3C15"/>
    <w:rsid w:val="001B40D5"/>
    <w:rsid w:val="001B4105"/>
    <w:rsid w:val="001B4255"/>
    <w:rsid w:val="001B42A3"/>
    <w:rsid w:val="001B453F"/>
    <w:rsid w:val="001B4591"/>
    <w:rsid w:val="001B4646"/>
    <w:rsid w:val="001B47BD"/>
    <w:rsid w:val="001B48B8"/>
    <w:rsid w:val="001B48CE"/>
    <w:rsid w:val="001B48D6"/>
    <w:rsid w:val="001B49DE"/>
    <w:rsid w:val="001B4A61"/>
    <w:rsid w:val="001B4ACC"/>
    <w:rsid w:val="001B4B37"/>
    <w:rsid w:val="001B4B8B"/>
    <w:rsid w:val="001B4C8F"/>
    <w:rsid w:val="001B4D35"/>
    <w:rsid w:val="001B4E53"/>
    <w:rsid w:val="001B4FB0"/>
    <w:rsid w:val="001B4FE7"/>
    <w:rsid w:val="001B5263"/>
    <w:rsid w:val="001B52C9"/>
    <w:rsid w:val="001B5429"/>
    <w:rsid w:val="001B5444"/>
    <w:rsid w:val="001B55E0"/>
    <w:rsid w:val="001B5613"/>
    <w:rsid w:val="001B5750"/>
    <w:rsid w:val="001B57F4"/>
    <w:rsid w:val="001B5A05"/>
    <w:rsid w:val="001B5A15"/>
    <w:rsid w:val="001B5AD9"/>
    <w:rsid w:val="001B5C59"/>
    <w:rsid w:val="001B5C61"/>
    <w:rsid w:val="001B5C8C"/>
    <w:rsid w:val="001B5DEC"/>
    <w:rsid w:val="001B5EBD"/>
    <w:rsid w:val="001B6092"/>
    <w:rsid w:val="001B6207"/>
    <w:rsid w:val="001B6299"/>
    <w:rsid w:val="001B62F4"/>
    <w:rsid w:val="001B6560"/>
    <w:rsid w:val="001B684A"/>
    <w:rsid w:val="001B68D0"/>
    <w:rsid w:val="001B6B6B"/>
    <w:rsid w:val="001B6BB7"/>
    <w:rsid w:val="001B6E78"/>
    <w:rsid w:val="001B6F51"/>
    <w:rsid w:val="001B7037"/>
    <w:rsid w:val="001B710A"/>
    <w:rsid w:val="001B711C"/>
    <w:rsid w:val="001B7162"/>
    <w:rsid w:val="001B7184"/>
    <w:rsid w:val="001B721C"/>
    <w:rsid w:val="001B729F"/>
    <w:rsid w:val="001B7701"/>
    <w:rsid w:val="001B7804"/>
    <w:rsid w:val="001B7A18"/>
    <w:rsid w:val="001B7C21"/>
    <w:rsid w:val="001B7C49"/>
    <w:rsid w:val="001B7ECA"/>
    <w:rsid w:val="001B7ECD"/>
    <w:rsid w:val="001B7EF1"/>
    <w:rsid w:val="001C016F"/>
    <w:rsid w:val="001C02E3"/>
    <w:rsid w:val="001C0304"/>
    <w:rsid w:val="001C0556"/>
    <w:rsid w:val="001C0964"/>
    <w:rsid w:val="001C09FF"/>
    <w:rsid w:val="001C0DE8"/>
    <w:rsid w:val="001C0F0E"/>
    <w:rsid w:val="001C1102"/>
    <w:rsid w:val="001C1167"/>
    <w:rsid w:val="001C11C7"/>
    <w:rsid w:val="001C11D3"/>
    <w:rsid w:val="001C125F"/>
    <w:rsid w:val="001C1418"/>
    <w:rsid w:val="001C1A6F"/>
    <w:rsid w:val="001C1A80"/>
    <w:rsid w:val="001C1AA4"/>
    <w:rsid w:val="001C1BAC"/>
    <w:rsid w:val="001C1BBA"/>
    <w:rsid w:val="001C1D6B"/>
    <w:rsid w:val="001C1E1B"/>
    <w:rsid w:val="001C1EE5"/>
    <w:rsid w:val="001C20BA"/>
    <w:rsid w:val="001C21D0"/>
    <w:rsid w:val="001C25B6"/>
    <w:rsid w:val="001C280F"/>
    <w:rsid w:val="001C28B9"/>
    <w:rsid w:val="001C2913"/>
    <w:rsid w:val="001C2AA7"/>
    <w:rsid w:val="001C2C35"/>
    <w:rsid w:val="001C2CC0"/>
    <w:rsid w:val="001C2F44"/>
    <w:rsid w:val="001C30AB"/>
    <w:rsid w:val="001C31A5"/>
    <w:rsid w:val="001C31C1"/>
    <w:rsid w:val="001C32BF"/>
    <w:rsid w:val="001C3342"/>
    <w:rsid w:val="001C33DA"/>
    <w:rsid w:val="001C346D"/>
    <w:rsid w:val="001C3537"/>
    <w:rsid w:val="001C3563"/>
    <w:rsid w:val="001C359C"/>
    <w:rsid w:val="001C37DB"/>
    <w:rsid w:val="001C3915"/>
    <w:rsid w:val="001C3983"/>
    <w:rsid w:val="001C3BC0"/>
    <w:rsid w:val="001C3D86"/>
    <w:rsid w:val="001C41E1"/>
    <w:rsid w:val="001C432E"/>
    <w:rsid w:val="001C4423"/>
    <w:rsid w:val="001C449D"/>
    <w:rsid w:val="001C4519"/>
    <w:rsid w:val="001C45A3"/>
    <w:rsid w:val="001C4625"/>
    <w:rsid w:val="001C4926"/>
    <w:rsid w:val="001C4C28"/>
    <w:rsid w:val="001C4E39"/>
    <w:rsid w:val="001C5163"/>
    <w:rsid w:val="001C5829"/>
    <w:rsid w:val="001C590D"/>
    <w:rsid w:val="001C593C"/>
    <w:rsid w:val="001C59BA"/>
    <w:rsid w:val="001C5BE8"/>
    <w:rsid w:val="001C5E28"/>
    <w:rsid w:val="001C5E39"/>
    <w:rsid w:val="001C6183"/>
    <w:rsid w:val="001C6333"/>
    <w:rsid w:val="001C67AA"/>
    <w:rsid w:val="001C69FA"/>
    <w:rsid w:val="001C6A5A"/>
    <w:rsid w:val="001C6C4F"/>
    <w:rsid w:val="001C72DA"/>
    <w:rsid w:val="001C746F"/>
    <w:rsid w:val="001C747F"/>
    <w:rsid w:val="001C7696"/>
    <w:rsid w:val="001C76F2"/>
    <w:rsid w:val="001C7A97"/>
    <w:rsid w:val="001C7C6E"/>
    <w:rsid w:val="001C7DC5"/>
    <w:rsid w:val="001C7DDD"/>
    <w:rsid w:val="001C7EFE"/>
    <w:rsid w:val="001C7FC4"/>
    <w:rsid w:val="001C7FF7"/>
    <w:rsid w:val="001D0295"/>
    <w:rsid w:val="001D06D7"/>
    <w:rsid w:val="001D0865"/>
    <w:rsid w:val="001D0936"/>
    <w:rsid w:val="001D0BE0"/>
    <w:rsid w:val="001D0CF7"/>
    <w:rsid w:val="001D0E7A"/>
    <w:rsid w:val="001D102D"/>
    <w:rsid w:val="001D10A0"/>
    <w:rsid w:val="001D10FD"/>
    <w:rsid w:val="001D1162"/>
    <w:rsid w:val="001D12B5"/>
    <w:rsid w:val="001D136D"/>
    <w:rsid w:val="001D137C"/>
    <w:rsid w:val="001D13DE"/>
    <w:rsid w:val="001D142C"/>
    <w:rsid w:val="001D1558"/>
    <w:rsid w:val="001D16FE"/>
    <w:rsid w:val="001D17F4"/>
    <w:rsid w:val="001D1923"/>
    <w:rsid w:val="001D1A0C"/>
    <w:rsid w:val="001D1B28"/>
    <w:rsid w:val="001D1E21"/>
    <w:rsid w:val="001D1E36"/>
    <w:rsid w:val="001D1F6D"/>
    <w:rsid w:val="001D2005"/>
    <w:rsid w:val="001D2061"/>
    <w:rsid w:val="001D20AC"/>
    <w:rsid w:val="001D2124"/>
    <w:rsid w:val="001D2137"/>
    <w:rsid w:val="001D247D"/>
    <w:rsid w:val="001D2637"/>
    <w:rsid w:val="001D2805"/>
    <w:rsid w:val="001D2869"/>
    <w:rsid w:val="001D2B5B"/>
    <w:rsid w:val="001D2CD4"/>
    <w:rsid w:val="001D2D25"/>
    <w:rsid w:val="001D2DDF"/>
    <w:rsid w:val="001D308F"/>
    <w:rsid w:val="001D30EF"/>
    <w:rsid w:val="001D31E1"/>
    <w:rsid w:val="001D339D"/>
    <w:rsid w:val="001D369C"/>
    <w:rsid w:val="001D37E5"/>
    <w:rsid w:val="001D3828"/>
    <w:rsid w:val="001D38C1"/>
    <w:rsid w:val="001D3929"/>
    <w:rsid w:val="001D3B45"/>
    <w:rsid w:val="001D3C32"/>
    <w:rsid w:val="001D3C47"/>
    <w:rsid w:val="001D3CE3"/>
    <w:rsid w:val="001D3ED8"/>
    <w:rsid w:val="001D4004"/>
    <w:rsid w:val="001D40A9"/>
    <w:rsid w:val="001D414A"/>
    <w:rsid w:val="001D4227"/>
    <w:rsid w:val="001D42BC"/>
    <w:rsid w:val="001D4369"/>
    <w:rsid w:val="001D43EC"/>
    <w:rsid w:val="001D4402"/>
    <w:rsid w:val="001D441C"/>
    <w:rsid w:val="001D44C3"/>
    <w:rsid w:val="001D44DC"/>
    <w:rsid w:val="001D4691"/>
    <w:rsid w:val="001D481C"/>
    <w:rsid w:val="001D4829"/>
    <w:rsid w:val="001D48B5"/>
    <w:rsid w:val="001D4D4D"/>
    <w:rsid w:val="001D4EC9"/>
    <w:rsid w:val="001D4FB7"/>
    <w:rsid w:val="001D505A"/>
    <w:rsid w:val="001D52BD"/>
    <w:rsid w:val="001D54DA"/>
    <w:rsid w:val="001D55EC"/>
    <w:rsid w:val="001D5603"/>
    <w:rsid w:val="001D5629"/>
    <w:rsid w:val="001D5701"/>
    <w:rsid w:val="001D574E"/>
    <w:rsid w:val="001D57E7"/>
    <w:rsid w:val="001D582E"/>
    <w:rsid w:val="001D59CE"/>
    <w:rsid w:val="001D59F5"/>
    <w:rsid w:val="001D5CA3"/>
    <w:rsid w:val="001D5CEA"/>
    <w:rsid w:val="001D5DA8"/>
    <w:rsid w:val="001D5F06"/>
    <w:rsid w:val="001D60A0"/>
    <w:rsid w:val="001D6118"/>
    <w:rsid w:val="001D61AC"/>
    <w:rsid w:val="001D6261"/>
    <w:rsid w:val="001D648C"/>
    <w:rsid w:val="001D64B5"/>
    <w:rsid w:val="001D64DE"/>
    <w:rsid w:val="001D6816"/>
    <w:rsid w:val="001D69D5"/>
    <w:rsid w:val="001D69E8"/>
    <w:rsid w:val="001D6A4A"/>
    <w:rsid w:val="001D6CF3"/>
    <w:rsid w:val="001D6D2D"/>
    <w:rsid w:val="001D73F7"/>
    <w:rsid w:val="001D7998"/>
    <w:rsid w:val="001D7A64"/>
    <w:rsid w:val="001D7C6F"/>
    <w:rsid w:val="001D7D80"/>
    <w:rsid w:val="001D7DBF"/>
    <w:rsid w:val="001E0010"/>
    <w:rsid w:val="001E005A"/>
    <w:rsid w:val="001E00C6"/>
    <w:rsid w:val="001E0472"/>
    <w:rsid w:val="001E066C"/>
    <w:rsid w:val="001E06E7"/>
    <w:rsid w:val="001E0868"/>
    <w:rsid w:val="001E0886"/>
    <w:rsid w:val="001E08EF"/>
    <w:rsid w:val="001E0959"/>
    <w:rsid w:val="001E0A96"/>
    <w:rsid w:val="001E0D3F"/>
    <w:rsid w:val="001E1024"/>
    <w:rsid w:val="001E1037"/>
    <w:rsid w:val="001E1067"/>
    <w:rsid w:val="001E1184"/>
    <w:rsid w:val="001E1229"/>
    <w:rsid w:val="001E12D4"/>
    <w:rsid w:val="001E1360"/>
    <w:rsid w:val="001E1502"/>
    <w:rsid w:val="001E15C5"/>
    <w:rsid w:val="001E15DA"/>
    <w:rsid w:val="001E1649"/>
    <w:rsid w:val="001E183D"/>
    <w:rsid w:val="001E1996"/>
    <w:rsid w:val="001E1C64"/>
    <w:rsid w:val="001E1D3C"/>
    <w:rsid w:val="001E21C2"/>
    <w:rsid w:val="001E2274"/>
    <w:rsid w:val="001E23A0"/>
    <w:rsid w:val="001E24C2"/>
    <w:rsid w:val="001E2681"/>
    <w:rsid w:val="001E27B6"/>
    <w:rsid w:val="001E27D8"/>
    <w:rsid w:val="001E298A"/>
    <w:rsid w:val="001E2A1B"/>
    <w:rsid w:val="001E2AE0"/>
    <w:rsid w:val="001E2B2A"/>
    <w:rsid w:val="001E2D04"/>
    <w:rsid w:val="001E2E32"/>
    <w:rsid w:val="001E2E37"/>
    <w:rsid w:val="001E2E94"/>
    <w:rsid w:val="001E2EA4"/>
    <w:rsid w:val="001E2EB0"/>
    <w:rsid w:val="001E2EF7"/>
    <w:rsid w:val="001E2F26"/>
    <w:rsid w:val="001E2F8C"/>
    <w:rsid w:val="001E30F9"/>
    <w:rsid w:val="001E3205"/>
    <w:rsid w:val="001E33A2"/>
    <w:rsid w:val="001E35F2"/>
    <w:rsid w:val="001E35F6"/>
    <w:rsid w:val="001E379C"/>
    <w:rsid w:val="001E38F9"/>
    <w:rsid w:val="001E3974"/>
    <w:rsid w:val="001E39E2"/>
    <w:rsid w:val="001E3A92"/>
    <w:rsid w:val="001E3C03"/>
    <w:rsid w:val="001E3DBA"/>
    <w:rsid w:val="001E3F49"/>
    <w:rsid w:val="001E3F4C"/>
    <w:rsid w:val="001E430C"/>
    <w:rsid w:val="001E4332"/>
    <w:rsid w:val="001E46FF"/>
    <w:rsid w:val="001E49AD"/>
    <w:rsid w:val="001E4A1D"/>
    <w:rsid w:val="001E4A77"/>
    <w:rsid w:val="001E4CD4"/>
    <w:rsid w:val="001E4CD9"/>
    <w:rsid w:val="001E4E47"/>
    <w:rsid w:val="001E4F2C"/>
    <w:rsid w:val="001E4F3A"/>
    <w:rsid w:val="001E4F6D"/>
    <w:rsid w:val="001E5022"/>
    <w:rsid w:val="001E51E5"/>
    <w:rsid w:val="001E550A"/>
    <w:rsid w:val="001E57C1"/>
    <w:rsid w:val="001E57F8"/>
    <w:rsid w:val="001E58A1"/>
    <w:rsid w:val="001E5C33"/>
    <w:rsid w:val="001E5E1F"/>
    <w:rsid w:val="001E5F81"/>
    <w:rsid w:val="001E60E7"/>
    <w:rsid w:val="001E615A"/>
    <w:rsid w:val="001E61B9"/>
    <w:rsid w:val="001E6468"/>
    <w:rsid w:val="001E64B1"/>
    <w:rsid w:val="001E6564"/>
    <w:rsid w:val="001E65AE"/>
    <w:rsid w:val="001E6657"/>
    <w:rsid w:val="001E679F"/>
    <w:rsid w:val="001E6852"/>
    <w:rsid w:val="001E696B"/>
    <w:rsid w:val="001E6A93"/>
    <w:rsid w:val="001E6ABB"/>
    <w:rsid w:val="001E6BD6"/>
    <w:rsid w:val="001E6D4F"/>
    <w:rsid w:val="001E6ED2"/>
    <w:rsid w:val="001E6FDF"/>
    <w:rsid w:val="001E706E"/>
    <w:rsid w:val="001E7111"/>
    <w:rsid w:val="001E7207"/>
    <w:rsid w:val="001E73B1"/>
    <w:rsid w:val="001E7517"/>
    <w:rsid w:val="001E764F"/>
    <w:rsid w:val="001E767E"/>
    <w:rsid w:val="001E7AD4"/>
    <w:rsid w:val="001E7D1A"/>
    <w:rsid w:val="001E7F62"/>
    <w:rsid w:val="001F01A3"/>
    <w:rsid w:val="001F04C8"/>
    <w:rsid w:val="001F06B3"/>
    <w:rsid w:val="001F07A9"/>
    <w:rsid w:val="001F07BB"/>
    <w:rsid w:val="001F080B"/>
    <w:rsid w:val="001F095C"/>
    <w:rsid w:val="001F0AB6"/>
    <w:rsid w:val="001F0B32"/>
    <w:rsid w:val="001F0B74"/>
    <w:rsid w:val="001F0C4C"/>
    <w:rsid w:val="001F0FC1"/>
    <w:rsid w:val="001F0FF0"/>
    <w:rsid w:val="001F1179"/>
    <w:rsid w:val="001F12F0"/>
    <w:rsid w:val="001F13A6"/>
    <w:rsid w:val="001F1457"/>
    <w:rsid w:val="001F1532"/>
    <w:rsid w:val="001F189F"/>
    <w:rsid w:val="001F1B28"/>
    <w:rsid w:val="001F1B47"/>
    <w:rsid w:val="001F1C6A"/>
    <w:rsid w:val="001F1F03"/>
    <w:rsid w:val="001F22D9"/>
    <w:rsid w:val="001F23D2"/>
    <w:rsid w:val="001F24F4"/>
    <w:rsid w:val="001F262A"/>
    <w:rsid w:val="001F2690"/>
    <w:rsid w:val="001F26B6"/>
    <w:rsid w:val="001F27B1"/>
    <w:rsid w:val="001F294D"/>
    <w:rsid w:val="001F29A4"/>
    <w:rsid w:val="001F2ABD"/>
    <w:rsid w:val="001F2CAA"/>
    <w:rsid w:val="001F2CB2"/>
    <w:rsid w:val="001F2DF2"/>
    <w:rsid w:val="001F2DFD"/>
    <w:rsid w:val="001F308E"/>
    <w:rsid w:val="001F3118"/>
    <w:rsid w:val="001F318D"/>
    <w:rsid w:val="001F335C"/>
    <w:rsid w:val="001F3370"/>
    <w:rsid w:val="001F34F6"/>
    <w:rsid w:val="001F355F"/>
    <w:rsid w:val="001F378F"/>
    <w:rsid w:val="001F3AC1"/>
    <w:rsid w:val="001F3E23"/>
    <w:rsid w:val="001F3ECF"/>
    <w:rsid w:val="001F4318"/>
    <w:rsid w:val="001F4625"/>
    <w:rsid w:val="001F4716"/>
    <w:rsid w:val="001F472D"/>
    <w:rsid w:val="001F4938"/>
    <w:rsid w:val="001F4941"/>
    <w:rsid w:val="001F4A81"/>
    <w:rsid w:val="001F4C7F"/>
    <w:rsid w:val="001F4D72"/>
    <w:rsid w:val="001F4DD9"/>
    <w:rsid w:val="001F4DDB"/>
    <w:rsid w:val="001F4F60"/>
    <w:rsid w:val="001F5056"/>
    <w:rsid w:val="001F5756"/>
    <w:rsid w:val="001F57F0"/>
    <w:rsid w:val="001F589E"/>
    <w:rsid w:val="001F58AC"/>
    <w:rsid w:val="001F5C7F"/>
    <w:rsid w:val="001F5DD4"/>
    <w:rsid w:val="001F5E35"/>
    <w:rsid w:val="001F602D"/>
    <w:rsid w:val="001F60C0"/>
    <w:rsid w:val="001F610F"/>
    <w:rsid w:val="001F623A"/>
    <w:rsid w:val="001F6288"/>
    <w:rsid w:val="001F654E"/>
    <w:rsid w:val="001F6671"/>
    <w:rsid w:val="001F669E"/>
    <w:rsid w:val="001F673B"/>
    <w:rsid w:val="001F6915"/>
    <w:rsid w:val="001F6ADF"/>
    <w:rsid w:val="001F6B42"/>
    <w:rsid w:val="001F7102"/>
    <w:rsid w:val="001F7174"/>
    <w:rsid w:val="001F7273"/>
    <w:rsid w:val="001F72B5"/>
    <w:rsid w:val="001F72E1"/>
    <w:rsid w:val="001F72FB"/>
    <w:rsid w:val="001F73DA"/>
    <w:rsid w:val="001F7498"/>
    <w:rsid w:val="001F75BB"/>
    <w:rsid w:val="001F75E0"/>
    <w:rsid w:val="001F76D9"/>
    <w:rsid w:val="001F7964"/>
    <w:rsid w:val="001F7A74"/>
    <w:rsid w:val="001F7B7C"/>
    <w:rsid w:val="001F7CA2"/>
    <w:rsid w:val="001F7DE5"/>
    <w:rsid w:val="002000A4"/>
    <w:rsid w:val="00200109"/>
    <w:rsid w:val="00200381"/>
    <w:rsid w:val="00200445"/>
    <w:rsid w:val="00200604"/>
    <w:rsid w:val="00200719"/>
    <w:rsid w:val="002007C8"/>
    <w:rsid w:val="00200811"/>
    <w:rsid w:val="00200AAD"/>
    <w:rsid w:val="00200AC9"/>
    <w:rsid w:val="00200AE0"/>
    <w:rsid w:val="00200EE6"/>
    <w:rsid w:val="0020103C"/>
    <w:rsid w:val="0020109A"/>
    <w:rsid w:val="00201343"/>
    <w:rsid w:val="002013A0"/>
    <w:rsid w:val="002014DD"/>
    <w:rsid w:val="0020162E"/>
    <w:rsid w:val="002017DD"/>
    <w:rsid w:val="0020199C"/>
    <w:rsid w:val="00201B54"/>
    <w:rsid w:val="00201DF6"/>
    <w:rsid w:val="0020208A"/>
    <w:rsid w:val="00202486"/>
    <w:rsid w:val="00202734"/>
    <w:rsid w:val="0020278F"/>
    <w:rsid w:val="002027B5"/>
    <w:rsid w:val="0020297F"/>
    <w:rsid w:val="00202B1F"/>
    <w:rsid w:val="00202C0A"/>
    <w:rsid w:val="00202DF4"/>
    <w:rsid w:val="0020305D"/>
    <w:rsid w:val="002030A8"/>
    <w:rsid w:val="00203240"/>
    <w:rsid w:val="002032BF"/>
    <w:rsid w:val="002034E3"/>
    <w:rsid w:val="002035D1"/>
    <w:rsid w:val="002035F3"/>
    <w:rsid w:val="0020369E"/>
    <w:rsid w:val="002036A5"/>
    <w:rsid w:val="002036FC"/>
    <w:rsid w:val="00203804"/>
    <w:rsid w:val="00203848"/>
    <w:rsid w:val="00203B50"/>
    <w:rsid w:val="00203B96"/>
    <w:rsid w:val="00203C0B"/>
    <w:rsid w:val="00203D22"/>
    <w:rsid w:val="00203D2A"/>
    <w:rsid w:val="00203DC5"/>
    <w:rsid w:val="00203E9F"/>
    <w:rsid w:val="00203FF8"/>
    <w:rsid w:val="002041DE"/>
    <w:rsid w:val="002042FE"/>
    <w:rsid w:val="00204417"/>
    <w:rsid w:val="00204505"/>
    <w:rsid w:val="002045AF"/>
    <w:rsid w:val="002045B8"/>
    <w:rsid w:val="002045F4"/>
    <w:rsid w:val="00204767"/>
    <w:rsid w:val="00204779"/>
    <w:rsid w:val="002047CA"/>
    <w:rsid w:val="00204974"/>
    <w:rsid w:val="00204A43"/>
    <w:rsid w:val="00204AFB"/>
    <w:rsid w:val="00204CAE"/>
    <w:rsid w:val="00204CF7"/>
    <w:rsid w:val="00204D87"/>
    <w:rsid w:val="00204E1F"/>
    <w:rsid w:val="00204E7B"/>
    <w:rsid w:val="00204F2E"/>
    <w:rsid w:val="00204F51"/>
    <w:rsid w:val="00205172"/>
    <w:rsid w:val="002053C6"/>
    <w:rsid w:val="00205499"/>
    <w:rsid w:val="00205748"/>
    <w:rsid w:val="00205896"/>
    <w:rsid w:val="002058A3"/>
    <w:rsid w:val="00205C91"/>
    <w:rsid w:val="00205C9A"/>
    <w:rsid w:val="00205D3F"/>
    <w:rsid w:val="00205EC5"/>
    <w:rsid w:val="00205F99"/>
    <w:rsid w:val="002060D1"/>
    <w:rsid w:val="00206263"/>
    <w:rsid w:val="002062E4"/>
    <w:rsid w:val="00206366"/>
    <w:rsid w:val="00206543"/>
    <w:rsid w:val="002065DB"/>
    <w:rsid w:val="00206743"/>
    <w:rsid w:val="002068D9"/>
    <w:rsid w:val="00206934"/>
    <w:rsid w:val="00206BD1"/>
    <w:rsid w:val="00206D3C"/>
    <w:rsid w:val="00206EB0"/>
    <w:rsid w:val="00207319"/>
    <w:rsid w:val="00207703"/>
    <w:rsid w:val="00207714"/>
    <w:rsid w:val="002077BC"/>
    <w:rsid w:val="00207A5A"/>
    <w:rsid w:val="00207B08"/>
    <w:rsid w:val="00207BA7"/>
    <w:rsid w:val="00207C9C"/>
    <w:rsid w:val="00207CED"/>
    <w:rsid w:val="00207D1F"/>
    <w:rsid w:val="00207D54"/>
    <w:rsid w:val="00207E3E"/>
    <w:rsid w:val="00207E93"/>
    <w:rsid w:val="00207F5F"/>
    <w:rsid w:val="0021034E"/>
    <w:rsid w:val="002105D5"/>
    <w:rsid w:val="0021065E"/>
    <w:rsid w:val="002106DE"/>
    <w:rsid w:val="00210806"/>
    <w:rsid w:val="00210981"/>
    <w:rsid w:val="0021099D"/>
    <w:rsid w:val="00210DAF"/>
    <w:rsid w:val="00210E88"/>
    <w:rsid w:val="00210EB5"/>
    <w:rsid w:val="0021120C"/>
    <w:rsid w:val="002113FF"/>
    <w:rsid w:val="0021152A"/>
    <w:rsid w:val="002118C2"/>
    <w:rsid w:val="00211A76"/>
    <w:rsid w:val="00211A88"/>
    <w:rsid w:val="00211AA4"/>
    <w:rsid w:val="00211AEB"/>
    <w:rsid w:val="00211AF0"/>
    <w:rsid w:val="00211B10"/>
    <w:rsid w:val="00211B56"/>
    <w:rsid w:val="00211CB0"/>
    <w:rsid w:val="00211D4E"/>
    <w:rsid w:val="00211ECE"/>
    <w:rsid w:val="002120D3"/>
    <w:rsid w:val="0021218B"/>
    <w:rsid w:val="002121C7"/>
    <w:rsid w:val="0021225D"/>
    <w:rsid w:val="002123B4"/>
    <w:rsid w:val="00212437"/>
    <w:rsid w:val="002124D6"/>
    <w:rsid w:val="00212516"/>
    <w:rsid w:val="00212729"/>
    <w:rsid w:val="0021276D"/>
    <w:rsid w:val="002129C4"/>
    <w:rsid w:val="002129CC"/>
    <w:rsid w:val="00212AFA"/>
    <w:rsid w:val="00212B89"/>
    <w:rsid w:val="00212CD7"/>
    <w:rsid w:val="00212CDF"/>
    <w:rsid w:val="00212D82"/>
    <w:rsid w:val="00212E6A"/>
    <w:rsid w:val="00212ED2"/>
    <w:rsid w:val="00212EEC"/>
    <w:rsid w:val="00212F81"/>
    <w:rsid w:val="00212FA0"/>
    <w:rsid w:val="00213030"/>
    <w:rsid w:val="0021319E"/>
    <w:rsid w:val="0021334D"/>
    <w:rsid w:val="002133D0"/>
    <w:rsid w:val="00213622"/>
    <w:rsid w:val="00213790"/>
    <w:rsid w:val="002137B3"/>
    <w:rsid w:val="002138A2"/>
    <w:rsid w:val="002138A6"/>
    <w:rsid w:val="00213925"/>
    <w:rsid w:val="00213A28"/>
    <w:rsid w:val="00213C08"/>
    <w:rsid w:val="00213D58"/>
    <w:rsid w:val="00213F68"/>
    <w:rsid w:val="00213F7C"/>
    <w:rsid w:val="00213FD4"/>
    <w:rsid w:val="00214473"/>
    <w:rsid w:val="0021476A"/>
    <w:rsid w:val="00214BF0"/>
    <w:rsid w:val="00214C79"/>
    <w:rsid w:val="00214CAA"/>
    <w:rsid w:val="00214CF4"/>
    <w:rsid w:val="00214CFD"/>
    <w:rsid w:val="00214D8B"/>
    <w:rsid w:val="00214EB7"/>
    <w:rsid w:val="00215060"/>
    <w:rsid w:val="0021513D"/>
    <w:rsid w:val="00215468"/>
    <w:rsid w:val="002154D9"/>
    <w:rsid w:val="00215719"/>
    <w:rsid w:val="002158A9"/>
    <w:rsid w:val="00215C5B"/>
    <w:rsid w:val="00215C6C"/>
    <w:rsid w:val="00215D7F"/>
    <w:rsid w:val="00215DCA"/>
    <w:rsid w:val="00215EA5"/>
    <w:rsid w:val="00215EA8"/>
    <w:rsid w:val="00215FE5"/>
    <w:rsid w:val="00216030"/>
    <w:rsid w:val="002160D8"/>
    <w:rsid w:val="00216174"/>
    <w:rsid w:val="0021633B"/>
    <w:rsid w:val="0021634C"/>
    <w:rsid w:val="002164AC"/>
    <w:rsid w:val="0021690F"/>
    <w:rsid w:val="00216975"/>
    <w:rsid w:val="002169DC"/>
    <w:rsid w:val="00216A97"/>
    <w:rsid w:val="00216AE7"/>
    <w:rsid w:val="00216B78"/>
    <w:rsid w:val="00216D4F"/>
    <w:rsid w:val="00216D86"/>
    <w:rsid w:val="0021704E"/>
    <w:rsid w:val="002170CC"/>
    <w:rsid w:val="00217108"/>
    <w:rsid w:val="00217125"/>
    <w:rsid w:val="0021719F"/>
    <w:rsid w:val="002172BB"/>
    <w:rsid w:val="0021739E"/>
    <w:rsid w:val="0021746A"/>
    <w:rsid w:val="00217574"/>
    <w:rsid w:val="00217661"/>
    <w:rsid w:val="002176E1"/>
    <w:rsid w:val="002176F9"/>
    <w:rsid w:val="00217769"/>
    <w:rsid w:val="00217998"/>
    <w:rsid w:val="00217A4A"/>
    <w:rsid w:val="00217BE7"/>
    <w:rsid w:val="00217C78"/>
    <w:rsid w:val="00217CCE"/>
    <w:rsid w:val="00217EE6"/>
    <w:rsid w:val="00220038"/>
    <w:rsid w:val="00220052"/>
    <w:rsid w:val="0022005E"/>
    <w:rsid w:val="00220171"/>
    <w:rsid w:val="002201F1"/>
    <w:rsid w:val="0022027D"/>
    <w:rsid w:val="002202E8"/>
    <w:rsid w:val="00220355"/>
    <w:rsid w:val="002204AE"/>
    <w:rsid w:val="00220512"/>
    <w:rsid w:val="00220950"/>
    <w:rsid w:val="002209D4"/>
    <w:rsid w:val="00220C41"/>
    <w:rsid w:val="00220D96"/>
    <w:rsid w:val="00220EB2"/>
    <w:rsid w:val="00220FB1"/>
    <w:rsid w:val="0022109F"/>
    <w:rsid w:val="0022112A"/>
    <w:rsid w:val="00221135"/>
    <w:rsid w:val="0022126B"/>
    <w:rsid w:val="002212A2"/>
    <w:rsid w:val="00221885"/>
    <w:rsid w:val="00221AC4"/>
    <w:rsid w:val="00221BC3"/>
    <w:rsid w:val="00221C8E"/>
    <w:rsid w:val="00221E15"/>
    <w:rsid w:val="00221FA1"/>
    <w:rsid w:val="002220E5"/>
    <w:rsid w:val="002221F7"/>
    <w:rsid w:val="00222280"/>
    <w:rsid w:val="002222E4"/>
    <w:rsid w:val="0022255C"/>
    <w:rsid w:val="00222EB4"/>
    <w:rsid w:val="00222F7C"/>
    <w:rsid w:val="00222F7E"/>
    <w:rsid w:val="002232CA"/>
    <w:rsid w:val="00223480"/>
    <w:rsid w:val="0022349C"/>
    <w:rsid w:val="002234D5"/>
    <w:rsid w:val="002234E3"/>
    <w:rsid w:val="00223739"/>
    <w:rsid w:val="0022373C"/>
    <w:rsid w:val="0022374E"/>
    <w:rsid w:val="002237EA"/>
    <w:rsid w:val="0022382C"/>
    <w:rsid w:val="00223885"/>
    <w:rsid w:val="002239DE"/>
    <w:rsid w:val="00223BE7"/>
    <w:rsid w:val="00223C25"/>
    <w:rsid w:val="00223C54"/>
    <w:rsid w:val="00223D98"/>
    <w:rsid w:val="00223DF9"/>
    <w:rsid w:val="00223F4E"/>
    <w:rsid w:val="002240E1"/>
    <w:rsid w:val="002240EE"/>
    <w:rsid w:val="00224109"/>
    <w:rsid w:val="002243A6"/>
    <w:rsid w:val="002245B9"/>
    <w:rsid w:val="002246E1"/>
    <w:rsid w:val="002246ED"/>
    <w:rsid w:val="00224873"/>
    <w:rsid w:val="0022490D"/>
    <w:rsid w:val="002249A1"/>
    <w:rsid w:val="002249C7"/>
    <w:rsid w:val="002249D1"/>
    <w:rsid w:val="00224A02"/>
    <w:rsid w:val="00224E6D"/>
    <w:rsid w:val="00225072"/>
    <w:rsid w:val="00225300"/>
    <w:rsid w:val="00225449"/>
    <w:rsid w:val="00225773"/>
    <w:rsid w:val="00225888"/>
    <w:rsid w:val="002259F3"/>
    <w:rsid w:val="00225A43"/>
    <w:rsid w:val="00225AC8"/>
    <w:rsid w:val="00225CAD"/>
    <w:rsid w:val="00225DB0"/>
    <w:rsid w:val="002260A4"/>
    <w:rsid w:val="002262E1"/>
    <w:rsid w:val="00226344"/>
    <w:rsid w:val="00226466"/>
    <w:rsid w:val="0022654B"/>
    <w:rsid w:val="00226556"/>
    <w:rsid w:val="00226662"/>
    <w:rsid w:val="0022676B"/>
    <w:rsid w:val="002268AF"/>
    <w:rsid w:val="00226A98"/>
    <w:rsid w:val="00226AB7"/>
    <w:rsid w:val="00226CE1"/>
    <w:rsid w:val="00226DBE"/>
    <w:rsid w:val="0022701C"/>
    <w:rsid w:val="0022703C"/>
    <w:rsid w:val="0022712F"/>
    <w:rsid w:val="0022717B"/>
    <w:rsid w:val="002272A3"/>
    <w:rsid w:val="0022752B"/>
    <w:rsid w:val="002275C9"/>
    <w:rsid w:val="0022769C"/>
    <w:rsid w:val="002276A7"/>
    <w:rsid w:val="00227B52"/>
    <w:rsid w:val="00227BE2"/>
    <w:rsid w:val="00227C93"/>
    <w:rsid w:val="00227CC3"/>
    <w:rsid w:val="00227F1A"/>
    <w:rsid w:val="00227FF7"/>
    <w:rsid w:val="0023005C"/>
    <w:rsid w:val="00230106"/>
    <w:rsid w:val="0023013A"/>
    <w:rsid w:val="00230353"/>
    <w:rsid w:val="0023036C"/>
    <w:rsid w:val="00230390"/>
    <w:rsid w:val="002304BA"/>
    <w:rsid w:val="002304D9"/>
    <w:rsid w:val="00230BD8"/>
    <w:rsid w:val="00230C15"/>
    <w:rsid w:val="00230CD0"/>
    <w:rsid w:val="00230E48"/>
    <w:rsid w:val="00230E95"/>
    <w:rsid w:val="00230FA7"/>
    <w:rsid w:val="00231065"/>
    <w:rsid w:val="002312E1"/>
    <w:rsid w:val="00231454"/>
    <w:rsid w:val="00231461"/>
    <w:rsid w:val="00231613"/>
    <w:rsid w:val="00231646"/>
    <w:rsid w:val="0023166D"/>
    <w:rsid w:val="0023185A"/>
    <w:rsid w:val="002318A9"/>
    <w:rsid w:val="002318CC"/>
    <w:rsid w:val="002318D2"/>
    <w:rsid w:val="00231A4B"/>
    <w:rsid w:val="00231B7F"/>
    <w:rsid w:val="00231D99"/>
    <w:rsid w:val="00231E92"/>
    <w:rsid w:val="00231F26"/>
    <w:rsid w:val="00231F5F"/>
    <w:rsid w:val="00232049"/>
    <w:rsid w:val="002320E1"/>
    <w:rsid w:val="0023234D"/>
    <w:rsid w:val="002323F7"/>
    <w:rsid w:val="00232611"/>
    <w:rsid w:val="002326D8"/>
    <w:rsid w:val="0023296A"/>
    <w:rsid w:val="00232D8D"/>
    <w:rsid w:val="00233116"/>
    <w:rsid w:val="00233185"/>
    <w:rsid w:val="00233371"/>
    <w:rsid w:val="002333DE"/>
    <w:rsid w:val="002338BD"/>
    <w:rsid w:val="00233AFE"/>
    <w:rsid w:val="00233B13"/>
    <w:rsid w:val="00233B49"/>
    <w:rsid w:val="00233D1D"/>
    <w:rsid w:val="00233D61"/>
    <w:rsid w:val="00233DDC"/>
    <w:rsid w:val="00233FA6"/>
    <w:rsid w:val="00233FBB"/>
    <w:rsid w:val="00234036"/>
    <w:rsid w:val="002340EE"/>
    <w:rsid w:val="00234175"/>
    <w:rsid w:val="0023422C"/>
    <w:rsid w:val="00234305"/>
    <w:rsid w:val="00234357"/>
    <w:rsid w:val="0023436E"/>
    <w:rsid w:val="0023437C"/>
    <w:rsid w:val="00234631"/>
    <w:rsid w:val="0023470A"/>
    <w:rsid w:val="002348D2"/>
    <w:rsid w:val="00234904"/>
    <w:rsid w:val="00234CB6"/>
    <w:rsid w:val="00234CFD"/>
    <w:rsid w:val="00234E8B"/>
    <w:rsid w:val="00234F6C"/>
    <w:rsid w:val="00234FAC"/>
    <w:rsid w:val="00235034"/>
    <w:rsid w:val="002350B8"/>
    <w:rsid w:val="00235129"/>
    <w:rsid w:val="00235136"/>
    <w:rsid w:val="0023532E"/>
    <w:rsid w:val="00235472"/>
    <w:rsid w:val="0023549E"/>
    <w:rsid w:val="002354A3"/>
    <w:rsid w:val="00235597"/>
    <w:rsid w:val="002355E5"/>
    <w:rsid w:val="0023562B"/>
    <w:rsid w:val="002356B8"/>
    <w:rsid w:val="0023570B"/>
    <w:rsid w:val="0023572D"/>
    <w:rsid w:val="002357EE"/>
    <w:rsid w:val="0023580E"/>
    <w:rsid w:val="002358D0"/>
    <w:rsid w:val="00235A98"/>
    <w:rsid w:val="00235AC1"/>
    <w:rsid w:val="00235B04"/>
    <w:rsid w:val="00235EF5"/>
    <w:rsid w:val="00235F48"/>
    <w:rsid w:val="00236016"/>
    <w:rsid w:val="0023614E"/>
    <w:rsid w:val="00236295"/>
    <w:rsid w:val="0023631D"/>
    <w:rsid w:val="002365AA"/>
    <w:rsid w:val="002365F1"/>
    <w:rsid w:val="00236676"/>
    <w:rsid w:val="002366C6"/>
    <w:rsid w:val="00236A21"/>
    <w:rsid w:val="00236A38"/>
    <w:rsid w:val="00236BBD"/>
    <w:rsid w:val="00236CF1"/>
    <w:rsid w:val="00236E56"/>
    <w:rsid w:val="00236FBD"/>
    <w:rsid w:val="0023700F"/>
    <w:rsid w:val="00237084"/>
    <w:rsid w:val="0023711E"/>
    <w:rsid w:val="00237187"/>
    <w:rsid w:val="002374A5"/>
    <w:rsid w:val="002374B3"/>
    <w:rsid w:val="00237688"/>
    <w:rsid w:val="00237833"/>
    <w:rsid w:val="00237853"/>
    <w:rsid w:val="002379F2"/>
    <w:rsid w:val="00237BC7"/>
    <w:rsid w:val="00237C94"/>
    <w:rsid w:val="00237D6B"/>
    <w:rsid w:val="0024008A"/>
    <w:rsid w:val="002402A6"/>
    <w:rsid w:val="00240395"/>
    <w:rsid w:val="0024060D"/>
    <w:rsid w:val="00240692"/>
    <w:rsid w:val="0024073D"/>
    <w:rsid w:val="00240749"/>
    <w:rsid w:val="00240750"/>
    <w:rsid w:val="0024083F"/>
    <w:rsid w:val="0024089B"/>
    <w:rsid w:val="00240A6F"/>
    <w:rsid w:val="00240BF8"/>
    <w:rsid w:val="00240E67"/>
    <w:rsid w:val="0024114A"/>
    <w:rsid w:val="002411AB"/>
    <w:rsid w:val="0024120D"/>
    <w:rsid w:val="002413B4"/>
    <w:rsid w:val="002413DD"/>
    <w:rsid w:val="0024166A"/>
    <w:rsid w:val="0024166E"/>
    <w:rsid w:val="00241774"/>
    <w:rsid w:val="002418FE"/>
    <w:rsid w:val="002419C2"/>
    <w:rsid w:val="00241AC2"/>
    <w:rsid w:val="00241B00"/>
    <w:rsid w:val="00241B15"/>
    <w:rsid w:val="00241CBB"/>
    <w:rsid w:val="00241D28"/>
    <w:rsid w:val="00241DB9"/>
    <w:rsid w:val="00241E13"/>
    <w:rsid w:val="00241F2A"/>
    <w:rsid w:val="002422AE"/>
    <w:rsid w:val="002425DE"/>
    <w:rsid w:val="002426F3"/>
    <w:rsid w:val="002427B0"/>
    <w:rsid w:val="00242815"/>
    <w:rsid w:val="0024281C"/>
    <w:rsid w:val="00242843"/>
    <w:rsid w:val="002428DA"/>
    <w:rsid w:val="002428F6"/>
    <w:rsid w:val="00242A79"/>
    <w:rsid w:val="00242AA6"/>
    <w:rsid w:val="00242AEC"/>
    <w:rsid w:val="00242C6B"/>
    <w:rsid w:val="00242CBB"/>
    <w:rsid w:val="00242DB1"/>
    <w:rsid w:val="00242DEE"/>
    <w:rsid w:val="002430BD"/>
    <w:rsid w:val="002430E2"/>
    <w:rsid w:val="00243122"/>
    <w:rsid w:val="00243157"/>
    <w:rsid w:val="002432CD"/>
    <w:rsid w:val="002433F4"/>
    <w:rsid w:val="002437C2"/>
    <w:rsid w:val="002437DC"/>
    <w:rsid w:val="00243A27"/>
    <w:rsid w:val="00243A2C"/>
    <w:rsid w:val="00243C2D"/>
    <w:rsid w:val="00243D46"/>
    <w:rsid w:val="00243EC5"/>
    <w:rsid w:val="00244045"/>
    <w:rsid w:val="00244049"/>
    <w:rsid w:val="002441F1"/>
    <w:rsid w:val="00244816"/>
    <w:rsid w:val="002448DD"/>
    <w:rsid w:val="00244916"/>
    <w:rsid w:val="002449BB"/>
    <w:rsid w:val="00244A0F"/>
    <w:rsid w:val="00244B80"/>
    <w:rsid w:val="00244C0D"/>
    <w:rsid w:val="00244D5F"/>
    <w:rsid w:val="00244DD9"/>
    <w:rsid w:val="00244E11"/>
    <w:rsid w:val="00244F2A"/>
    <w:rsid w:val="00244F45"/>
    <w:rsid w:val="0024514A"/>
    <w:rsid w:val="0024525B"/>
    <w:rsid w:val="0024528B"/>
    <w:rsid w:val="002452AC"/>
    <w:rsid w:val="00245559"/>
    <w:rsid w:val="0024559B"/>
    <w:rsid w:val="0024566B"/>
    <w:rsid w:val="00245684"/>
    <w:rsid w:val="00245693"/>
    <w:rsid w:val="00245B51"/>
    <w:rsid w:val="00245E2C"/>
    <w:rsid w:val="00245FAE"/>
    <w:rsid w:val="00245FBC"/>
    <w:rsid w:val="002461B1"/>
    <w:rsid w:val="002462A6"/>
    <w:rsid w:val="00246440"/>
    <w:rsid w:val="002464A4"/>
    <w:rsid w:val="00246557"/>
    <w:rsid w:val="002465DF"/>
    <w:rsid w:val="00246666"/>
    <w:rsid w:val="002466B1"/>
    <w:rsid w:val="00246733"/>
    <w:rsid w:val="00246A2F"/>
    <w:rsid w:val="00246B4F"/>
    <w:rsid w:val="00246BA5"/>
    <w:rsid w:val="00246C5C"/>
    <w:rsid w:val="00246E1D"/>
    <w:rsid w:val="00246FE0"/>
    <w:rsid w:val="00247165"/>
    <w:rsid w:val="00247250"/>
    <w:rsid w:val="002473C5"/>
    <w:rsid w:val="002474B2"/>
    <w:rsid w:val="0024765B"/>
    <w:rsid w:val="0024796C"/>
    <w:rsid w:val="00247B58"/>
    <w:rsid w:val="00247C06"/>
    <w:rsid w:val="00247DDA"/>
    <w:rsid w:val="00247E98"/>
    <w:rsid w:val="00247EB4"/>
    <w:rsid w:val="00250311"/>
    <w:rsid w:val="002507E0"/>
    <w:rsid w:val="00250840"/>
    <w:rsid w:val="00250905"/>
    <w:rsid w:val="0025091C"/>
    <w:rsid w:val="00250A10"/>
    <w:rsid w:val="00250C8E"/>
    <w:rsid w:val="00250D77"/>
    <w:rsid w:val="00250E15"/>
    <w:rsid w:val="00250ECF"/>
    <w:rsid w:val="00251276"/>
    <w:rsid w:val="00251300"/>
    <w:rsid w:val="00251416"/>
    <w:rsid w:val="002516E8"/>
    <w:rsid w:val="0025188B"/>
    <w:rsid w:val="002518DB"/>
    <w:rsid w:val="00251AF1"/>
    <w:rsid w:val="0025233F"/>
    <w:rsid w:val="0025237F"/>
    <w:rsid w:val="0025257B"/>
    <w:rsid w:val="002525EE"/>
    <w:rsid w:val="00252FDC"/>
    <w:rsid w:val="00253013"/>
    <w:rsid w:val="00253058"/>
    <w:rsid w:val="002530FD"/>
    <w:rsid w:val="00253130"/>
    <w:rsid w:val="002531AD"/>
    <w:rsid w:val="002533DD"/>
    <w:rsid w:val="002534C7"/>
    <w:rsid w:val="00253544"/>
    <w:rsid w:val="002535E5"/>
    <w:rsid w:val="0025377F"/>
    <w:rsid w:val="0025380B"/>
    <w:rsid w:val="00253873"/>
    <w:rsid w:val="00253C3A"/>
    <w:rsid w:val="00253DE6"/>
    <w:rsid w:val="00253E5F"/>
    <w:rsid w:val="002540F5"/>
    <w:rsid w:val="0025417A"/>
    <w:rsid w:val="002541D8"/>
    <w:rsid w:val="00254298"/>
    <w:rsid w:val="00254350"/>
    <w:rsid w:val="0025443D"/>
    <w:rsid w:val="00254813"/>
    <w:rsid w:val="002548E1"/>
    <w:rsid w:val="00254974"/>
    <w:rsid w:val="002549A5"/>
    <w:rsid w:val="002549C3"/>
    <w:rsid w:val="00254AC4"/>
    <w:rsid w:val="00254D5A"/>
    <w:rsid w:val="00254E68"/>
    <w:rsid w:val="0025501C"/>
    <w:rsid w:val="002551D5"/>
    <w:rsid w:val="002551D9"/>
    <w:rsid w:val="00255233"/>
    <w:rsid w:val="00255281"/>
    <w:rsid w:val="002552F5"/>
    <w:rsid w:val="00255348"/>
    <w:rsid w:val="00255486"/>
    <w:rsid w:val="00255729"/>
    <w:rsid w:val="0025578B"/>
    <w:rsid w:val="00255AA7"/>
    <w:rsid w:val="00255B1D"/>
    <w:rsid w:val="00255C2D"/>
    <w:rsid w:val="00255CCA"/>
    <w:rsid w:val="00255CD7"/>
    <w:rsid w:val="00255CDE"/>
    <w:rsid w:val="00255CF9"/>
    <w:rsid w:val="00255EC9"/>
    <w:rsid w:val="00256326"/>
    <w:rsid w:val="0025637F"/>
    <w:rsid w:val="002563CC"/>
    <w:rsid w:val="00256441"/>
    <w:rsid w:val="00256491"/>
    <w:rsid w:val="00256915"/>
    <w:rsid w:val="00256982"/>
    <w:rsid w:val="00256998"/>
    <w:rsid w:val="00256BEA"/>
    <w:rsid w:val="00256C5A"/>
    <w:rsid w:val="00256FA6"/>
    <w:rsid w:val="00257445"/>
    <w:rsid w:val="002575F6"/>
    <w:rsid w:val="00257674"/>
    <w:rsid w:val="002578F8"/>
    <w:rsid w:val="0025798D"/>
    <w:rsid w:val="00257A23"/>
    <w:rsid w:val="00257ABE"/>
    <w:rsid w:val="00257B76"/>
    <w:rsid w:val="00257C5B"/>
    <w:rsid w:val="00260187"/>
    <w:rsid w:val="00260319"/>
    <w:rsid w:val="0026031B"/>
    <w:rsid w:val="0026031D"/>
    <w:rsid w:val="00260465"/>
    <w:rsid w:val="0026081E"/>
    <w:rsid w:val="0026083D"/>
    <w:rsid w:val="002608F7"/>
    <w:rsid w:val="00260AB3"/>
    <w:rsid w:val="00260BA5"/>
    <w:rsid w:val="00260D10"/>
    <w:rsid w:val="00260EF2"/>
    <w:rsid w:val="00261251"/>
    <w:rsid w:val="002612B7"/>
    <w:rsid w:val="00261335"/>
    <w:rsid w:val="0026137B"/>
    <w:rsid w:val="00261388"/>
    <w:rsid w:val="00261546"/>
    <w:rsid w:val="002616B0"/>
    <w:rsid w:val="00261701"/>
    <w:rsid w:val="002617D5"/>
    <w:rsid w:val="002618EE"/>
    <w:rsid w:val="0026197F"/>
    <w:rsid w:val="00261B66"/>
    <w:rsid w:val="00261DBE"/>
    <w:rsid w:val="00261DCB"/>
    <w:rsid w:val="00261F12"/>
    <w:rsid w:val="002620A5"/>
    <w:rsid w:val="00262105"/>
    <w:rsid w:val="002623C0"/>
    <w:rsid w:val="002625CA"/>
    <w:rsid w:val="00262680"/>
    <w:rsid w:val="002626AD"/>
    <w:rsid w:val="002626AF"/>
    <w:rsid w:val="002627F6"/>
    <w:rsid w:val="00262822"/>
    <w:rsid w:val="00262A98"/>
    <w:rsid w:val="00262BF4"/>
    <w:rsid w:val="00262D2A"/>
    <w:rsid w:val="00262DB0"/>
    <w:rsid w:val="00262DC8"/>
    <w:rsid w:val="00262DFC"/>
    <w:rsid w:val="00262E6D"/>
    <w:rsid w:val="00262F1A"/>
    <w:rsid w:val="002631ED"/>
    <w:rsid w:val="00263278"/>
    <w:rsid w:val="002632DD"/>
    <w:rsid w:val="00263328"/>
    <w:rsid w:val="0026371A"/>
    <w:rsid w:val="00263917"/>
    <w:rsid w:val="00263944"/>
    <w:rsid w:val="00263969"/>
    <w:rsid w:val="00263ADD"/>
    <w:rsid w:val="00263C8E"/>
    <w:rsid w:val="00263E5E"/>
    <w:rsid w:val="00263F5B"/>
    <w:rsid w:val="00263FB3"/>
    <w:rsid w:val="00264367"/>
    <w:rsid w:val="00264835"/>
    <w:rsid w:val="0026483D"/>
    <w:rsid w:val="002648BE"/>
    <w:rsid w:val="00264ADD"/>
    <w:rsid w:val="00264B1A"/>
    <w:rsid w:val="00264B49"/>
    <w:rsid w:val="00264B8E"/>
    <w:rsid w:val="00264BB3"/>
    <w:rsid w:val="00264CCF"/>
    <w:rsid w:val="00264D95"/>
    <w:rsid w:val="00264DC9"/>
    <w:rsid w:val="00264DDD"/>
    <w:rsid w:val="00264EF4"/>
    <w:rsid w:val="00264FFF"/>
    <w:rsid w:val="002650AF"/>
    <w:rsid w:val="00265221"/>
    <w:rsid w:val="00265228"/>
    <w:rsid w:val="00265264"/>
    <w:rsid w:val="002655D4"/>
    <w:rsid w:val="00265652"/>
    <w:rsid w:val="00265953"/>
    <w:rsid w:val="00265B5B"/>
    <w:rsid w:val="00265B6E"/>
    <w:rsid w:val="00265E36"/>
    <w:rsid w:val="00265E79"/>
    <w:rsid w:val="0026609B"/>
    <w:rsid w:val="00266151"/>
    <w:rsid w:val="00266397"/>
    <w:rsid w:val="00266400"/>
    <w:rsid w:val="0026673D"/>
    <w:rsid w:val="002669BB"/>
    <w:rsid w:val="00266BB3"/>
    <w:rsid w:val="00266C32"/>
    <w:rsid w:val="00266D2F"/>
    <w:rsid w:val="00266F37"/>
    <w:rsid w:val="00267070"/>
    <w:rsid w:val="00267361"/>
    <w:rsid w:val="002673A1"/>
    <w:rsid w:val="0026754C"/>
    <w:rsid w:val="0026764F"/>
    <w:rsid w:val="0026773E"/>
    <w:rsid w:val="00267773"/>
    <w:rsid w:val="002677C6"/>
    <w:rsid w:val="002677DB"/>
    <w:rsid w:val="0026785B"/>
    <w:rsid w:val="00267C80"/>
    <w:rsid w:val="00267CB7"/>
    <w:rsid w:val="00267D4F"/>
    <w:rsid w:val="00267D83"/>
    <w:rsid w:val="00267E2B"/>
    <w:rsid w:val="002700F2"/>
    <w:rsid w:val="00270199"/>
    <w:rsid w:val="0027029D"/>
    <w:rsid w:val="00270472"/>
    <w:rsid w:val="00270994"/>
    <w:rsid w:val="00270AC9"/>
    <w:rsid w:val="00270BF3"/>
    <w:rsid w:val="0027103F"/>
    <w:rsid w:val="00271681"/>
    <w:rsid w:val="002718E4"/>
    <w:rsid w:val="00271C0B"/>
    <w:rsid w:val="00271F71"/>
    <w:rsid w:val="00272070"/>
    <w:rsid w:val="002721C3"/>
    <w:rsid w:val="002722CE"/>
    <w:rsid w:val="00272489"/>
    <w:rsid w:val="002724DB"/>
    <w:rsid w:val="002725FA"/>
    <w:rsid w:val="00272739"/>
    <w:rsid w:val="0027287D"/>
    <w:rsid w:val="00272BF8"/>
    <w:rsid w:val="00272D64"/>
    <w:rsid w:val="00272DEE"/>
    <w:rsid w:val="00272E5F"/>
    <w:rsid w:val="00272F04"/>
    <w:rsid w:val="00273039"/>
    <w:rsid w:val="002731DD"/>
    <w:rsid w:val="0027320E"/>
    <w:rsid w:val="002733B8"/>
    <w:rsid w:val="0027382B"/>
    <w:rsid w:val="002739FC"/>
    <w:rsid w:val="00273ACD"/>
    <w:rsid w:val="00273B40"/>
    <w:rsid w:val="00273B8E"/>
    <w:rsid w:val="00273C5F"/>
    <w:rsid w:val="00273D28"/>
    <w:rsid w:val="00273FAE"/>
    <w:rsid w:val="00274121"/>
    <w:rsid w:val="00274632"/>
    <w:rsid w:val="0027472D"/>
    <w:rsid w:val="002747CE"/>
    <w:rsid w:val="00274940"/>
    <w:rsid w:val="00274BBD"/>
    <w:rsid w:val="00274C87"/>
    <w:rsid w:val="00274D72"/>
    <w:rsid w:val="00274EBF"/>
    <w:rsid w:val="0027504A"/>
    <w:rsid w:val="002750F4"/>
    <w:rsid w:val="00275126"/>
    <w:rsid w:val="002751B2"/>
    <w:rsid w:val="0027534B"/>
    <w:rsid w:val="002753BD"/>
    <w:rsid w:val="002754F4"/>
    <w:rsid w:val="002758D4"/>
    <w:rsid w:val="002758F0"/>
    <w:rsid w:val="00275A2D"/>
    <w:rsid w:val="00275A80"/>
    <w:rsid w:val="00275C72"/>
    <w:rsid w:val="00275D1E"/>
    <w:rsid w:val="00275DA6"/>
    <w:rsid w:val="00275E32"/>
    <w:rsid w:val="00275FEB"/>
    <w:rsid w:val="00276269"/>
    <w:rsid w:val="00276270"/>
    <w:rsid w:val="00276537"/>
    <w:rsid w:val="002767C6"/>
    <w:rsid w:val="002768F5"/>
    <w:rsid w:val="00276917"/>
    <w:rsid w:val="002769D6"/>
    <w:rsid w:val="00276BB2"/>
    <w:rsid w:val="00276D7C"/>
    <w:rsid w:val="00276F0B"/>
    <w:rsid w:val="00276F21"/>
    <w:rsid w:val="00276FC6"/>
    <w:rsid w:val="002770A3"/>
    <w:rsid w:val="00277110"/>
    <w:rsid w:val="0027716A"/>
    <w:rsid w:val="00277286"/>
    <w:rsid w:val="0027738C"/>
    <w:rsid w:val="002776C2"/>
    <w:rsid w:val="00277761"/>
    <w:rsid w:val="002777A4"/>
    <w:rsid w:val="0027789C"/>
    <w:rsid w:val="00277A86"/>
    <w:rsid w:val="00277B21"/>
    <w:rsid w:val="00277B44"/>
    <w:rsid w:val="00277BFD"/>
    <w:rsid w:val="00277C11"/>
    <w:rsid w:val="00277D64"/>
    <w:rsid w:val="0028002F"/>
    <w:rsid w:val="002801E6"/>
    <w:rsid w:val="002802FC"/>
    <w:rsid w:val="002803B5"/>
    <w:rsid w:val="002803BA"/>
    <w:rsid w:val="00280777"/>
    <w:rsid w:val="002808D3"/>
    <w:rsid w:val="00280900"/>
    <w:rsid w:val="00280931"/>
    <w:rsid w:val="00280C2E"/>
    <w:rsid w:val="00280C7C"/>
    <w:rsid w:val="00280D09"/>
    <w:rsid w:val="00280E6D"/>
    <w:rsid w:val="00280E72"/>
    <w:rsid w:val="00280E7D"/>
    <w:rsid w:val="00281152"/>
    <w:rsid w:val="0028129F"/>
    <w:rsid w:val="002813F1"/>
    <w:rsid w:val="0028148C"/>
    <w:rsid w:val="002814A6"/>
    <w:rsid w:val="002814FD"/>
    <w:rsid w:val="002815C9"/>
    <w:rsid w:val="002816C7"/>
    <w:rsid w:val="00281781"/>
    <w:rsid w:val="002817EA"/>
    <w:rsid w:val="0028180C"/>
    <w:rsid w:val="00281991"/>
    <w:rsid w:val="002819C0"/>
    <w:rsid w:val="002819E2"/>
    <w:rsid w:val="00281D15"/>
    <w:rsid w:val="00281E10"/>
    <w:rsid w:val="00281ECF"/>
    <w:rsid w:val="0028206B"/>
    <w:rsid w:val="00282161"/>
    <w:rsid w:val="002821EE"/>
    <w:rsid w:val="002823BA"/>
    <w:rsid w:val="0028251E"/>
    <w:rsid w:val="0028261B"/>
    <w:rsid w:val="00282841"/>
    <w:rsid w:val="00282AE6"/>
    <w:rsid w:val="00282BE5"/>
    <w:rsid w:val="00282BF7"/>
    <w:rsid w:val="00282C60"/>
    <w:rsid w:val="00282E70"/>
    <w:rsid w:val="00282EC5"/>
    <w:rsid w:val="00282F77"/>
    <w:rsid w:val="00282FBD"/>
    <w:rsid w:val="00283076"/>
    <w:rsid w:val="0028311F"/>
    <w:rsid w:val="00283197"/>
    <w:rsid w:val="002834D9"/>
    <w:rsid w:val="00283525"/>
    <w:rsid w:val="00283541"/>
    <w:rsid w:val="00283595"/>
    <w:rsid w:val="0028363B"/>
    <w:rsid w:val="0028367B"/>
    <w:rsid w:val="002837E5"/>
    <w:rsid w:val="00283A7D"/>
    <w:rsid w:val="00283B73"/>
    <w:rsid w:val="00283B91"/>
    <w:rsid w:val="00283CCA"/>
    <w:rsid w:val="00283D93"/>
    <w:rsid w:val="00283E82"/>
    <w:rsid w:val="00283FE2"/>
    <w:rsid w:val="002840CE"/>
    <w:rsid w:val="0028434E"/>
    <w:rsid w:val="0028435B"/>
    <w:rsid w:val="002843D5"/>
    <w:rsid w:val="002844CF"/>
    <w:rsid w:val="00284676"/>
    <w:rsid w:val="002846DE"/>
    <w:rsid w:val="00284816"/>
    <w:rsid w:val="0028496A"/>
    <w:rsid w:val="00284A8F"/>
    <w:rsid w:val="00284AB7"/>
    <w:rsid w:val="00284C0F"/>
    <w:rsid w:val="00284E66"/>
    <w:rsid w:val="00284E98"/>
    <w:rsid w:val="00284FDD"/>
    <w:rsid w:val="002851AD"/>
    <w:rsid w:val="00285210"/>
    <w:rsid w:val="00285552"/>
    <w:rsid w:val="0028564D"/>
    <w:rsid w:val="00285766"/>
    <w:rsid w:val="00285906"/>
    <w:rsid w:val="00285A9A"/>
    <w:rsid w:val="00285ABB"/>
    <w:rsid w:val="00285C20"/>
    <w:rsid w:val="00285D02"/>
    <w:rsid w:val="00285D43"/>
    <w:rsid w:val="00285DA0"/>
    <w:rsid w:val="00285DE1"/>
    <w:rsid w:val="00285F36"/>
    <w:rsid w:val="00285F73"/>
    <w:rsid w:val="0028608E"/>
    <w:rsid w:val="0028616A"/>
    <w:rsid w:val="00286193"/>
    <w:rsid w:val="002861C6"/>
    <w:rsid w:val="00286413"/>
    <w:rsid w:val="00286668"/>
    <w:rsid w:val="00286706"/>
    <w:rsid w:val="002869C4"/>
    <w:rsid w:val="002869EB"/>
    <w:rsid w:val="00286A1D"/>
    <w:rsid w:val="00286BD4"/>
    <w:rsid w:val="00286CA1"/>
    <w:rsid w:val="00286CC4"/>
    <w:rsid w:val="00286CD5"/>
    <w:rsid w:val="00286CE2"/>
    <w:rsid w:val="00286CF4"/>
    <w:rsid w:val="00286D3A"/>
    <w:rsid w:val="00286DC1"/>
    <w:rsid w:val="00286E70"/>
    <w:rsid w:val="0028713F"/>
    <w:rsid w:val="002871C8"/>
    <w:rsid w:val="00287205"/>
    <w:rsid w:val="0028728B"/>
    <w:rsid w:val="00287308"/>
    <w:rsid w:val="002874F7"/>
    <w:rsid w:val="00287522"/>
    <w:rsid w:val="002876D2"/>
    <w:rsid w:val="002876F7"/>
    <w:rsid w:val="00287777"/>
    <w:rsid w:val="002877FB"/>
    <w:rsid w:val="0028784F"/>
    <w:rsid w:val="00287898"/>
    <w:rsid w:val="002878B3"/>
    <w:rsid w:val="00287945"/>
    <w:rsid w:val="00287B3A"/>
    <w:rsid w:val="00287B3D"/>
    <w:rsid w:val="00287B8F"/>
    <w:rsid w:val="00287D0C"/>
    <w:rsid w:val="00287DE8"/>
    <w:rsid w:val="00287FA3"/>
    <w:rsid w:val="00290041"/>
    <w:rsid w:val="0029015B"/>
    <w:rsid w:val="002901EF"/>
    <w:rsid w:val="0029036D"/>
    <w:rsid w:val="0029040D"/>
    <w:rsid w:val="002904A8"/>
    <w:rsid w:val="00290692"/>
    <w:rsid w:val="0029069F"/>
    <w:rsid w:val="00290777"/>
    <w:rsid w:val="00290989"/>
    <w:rsid w:val="00290E5E"/>
    <w:rsid w:val="00290F35"/>
    <w:rsid w:val="00290F84"/>
    <w:rsid w:val="00290FB2"/>
    <w:rsid w:val="002910AF"/>
    <w:rsid w:val="002910DC"/>
    <w:rsid w:val="002913B1"/>
    <w:rsid w:val="0029152A"/>
    <w:rsid w:val="00291565"/>
    <w:rsid w:val="0029157D"/>
    <w:rsid w:val="002915AD"/>
    <w:rsid w:val="0029162F"/>
    <w:rsid w:val="002916FB"/>
    <w:rsid w:val="002918A0"/>
    <w:rsid w:val="002918BE"/>
    <w:rsid w:val="00291A4F"/>
    <w:rsid w:val="00291BC4"/>
    <w:rsid w:val="00291C33"/>
    <w:rsid w:val="00291C7E"/>
    <w:rsid w:val="00291C86"/>
    <w:rsid w:val="00291D71"/>
    <w:rsid w:val="00291E2A"/>
    <w:rsid w:val="00291E69"/>
    <w:rsid w:val="00291F95"/>
    <w:rsid w:val="00291FAB"/>
    <w:rsid w:val="0029214D"/>
    <w:rsid w:val="00292169"/>
    <w:rsid w:val="00292254"/>
    <w:rsid w:val="0029229B"/>
    <w:rsid w:val="002922EC"/>
    <w:rsid w:val="00292502"/>
    <w:rsid w:val="002925AA"/>
    <w:rsid w:val="0029271E"/>
    <w:rsid w:val="002927F4"/>
    <w:rsid w:val="00292971"/>
    <w:rsid w:val="00292A84"/>
    <w:rsid w:val="00292CF0"/>
    <w:rsid w:val="00292D7D"/>
    <w:rsid w:val="0029312A"/>
    <w:rsid w:val="0029314E"/>
    <w:rsid w:val="00293314"/>
    <w:rsid w:val="002934CC"/>
    <w:rsid w:val="002936E0"/>
    <w:rsid w:val="002937F4"/>
    <w:rsid w:val="002937F8"/>
    <w:rsid w:val="00293AB4"/>
    <w:rsid w:val="00293AF6"/>
    <w:rsid w:val="00293B55"/>
    <w:rsid w:val="00293D07"/>
    <w:rsid w:val="00293D21"/>
    <w:rsid w:val="00293FF4"/>
    <w:rsid w:val="00294099"/>
    <w:rsid w:val="00294115"/>
    <w:rsid w:val="0029418E"/>
    <w:rsid w:val="00294291"/>
    <w:rsid w:val="002942AD"/>
    <w:rsid w:val="002944D1"/>
    <w:rsid w:val="00294546"/>
    <w:rsid w:val="00294582"/>
    <w:rsid w:val="0029470B"/>
    <w:rsid w:val="0029480F"/>
    <w:rsid w:val="00294A61"/>
    <w:rsid w:val="00294A8B"/>
    <w:rsid w:val="00294C50"/>
    <w:rsid w:val="00294CB0"/>
    <w:rsid w:val="00295022"/>
    <w:rsid w:val="0029529D"/>
    <w:rsid w:val="00295876"/>
    <w:rsid w:val="00295947"/>
    <w:rsid w:val="002959FC"/>
    <w:rsid w:val="00295BA3"/>
    <w:rsid w:val="00295D4E"/>
    <w:rsid w:val="00295F8B"/>
    <w:rsid w:val="00295FD5"/>
    <w:rsid w:val="002960D6"/>
    <w:rsid w:val="002964ED"/>
    <w:rsid w:val="002966FA"/>
    <w:rsid w:val="002967E5"/>
    <w:rsid w:val="00296841"/>
    <w:rsid w:val="002969F3"/>
    <w:rsid w:val="00296B10"/>
    <w:rsid w:val="00296D52"/>
    <w:rsid w:val="00296E3D"/>
    <w:rsid w:val="00296F73"/>
    <w:rsid w:val="00297061"/>
    <w:rsid w:val="0029755D"/>
    <w:rsid w:val="00297891"/>
    <w:rsid w:val="00297BD7"/>
    <w:rsid w:val="00297DB2"/>
    <w:rsid w:val="00297ED9"/>
    <w:rsid w:val="002A0170"/>
    <w:rsid w:val="002A02BA"/>
    <w:rsid w:val="002A0557"/>
    <w:rsid w:val="002A0650"/>
    <w:rsid w:val="002A09DF"/>
    <w:rsid w:val="002A0AA3"/>
    <w:rsid w:val="002A0B18"/>
    <w:rsid w:val="002A0B46"/>
    <w:rsid w:val="002A0C8A"/>
    <w:rsid w:val="002A0D0A"/>
    <w:rsid w:val="002A0F92"/>
    <w:rsid w:val="002A1033"/>
    <w:rsid w:val="002A10AB"/>
    <w:rsid w:val="002A11DB"/>
    <w:rsid w:val="002A12F1"/>
    <w:rsid w:val="002A137E"/>
    <w:rsid w:val="002A171B"/>
    <w:rsid w:val="002A18F2"/>
    <w:rsid w:val="002A1A2B"/>
    <w:rsid w:val="002A1BF2"/>
    <w:rsid w:val="002A1D36"/>
    <w:rsid w:val="002A1D57"/>
    <w:rsid w:val="002A1F6D"/>
    <w:rsid w:val="002A1F92"/>
    <w:rsid w:val="002A2212"/>
    <w:rsid w:val="002A2253"/>
    <w:rsid w:val="002A25C8"/>
    <w:rsid w:val="002A2780"/>
    <w:rsid w:val="002A28A1"/>
    <w:rsid w:val="002A29BC"/>
    <w:rsid w:val="002A2B70"/>
    <w:rsid w:val="002A2DB2"/>
    <w:rsid w:val="002A2F33"/>
    <w:rsid w:val="002A3013"/>
    <w:rsid w:val="002A31D1"/>
    <w:rsid w:val="002A3351"/>
    <w:rsid w:val="002A3397"/>
    <w:rsid w:val="002A36CE"/>
    <w:rsid w:val="002A36EF"/>
    <w:rsid w:val="002A384C"/>
    <w:rsid w:val="002A38EE"/>
    <w:rsid w:val="002A397C"/>
    <w:rsid w:val="002A3A70"/>
    <w:rsid w:val="002A3A85"/>
    <w:rsid w:val="002A3E29"/>
    <w:rsid w:val="002A3ECD"/>
    <w:rsid w:val="002A4106"/>
    <w:rsid w:val="002A419B"/>
    <w:rsid w:val="002A41EB"/>
    <w:rsid w:val="002A42A1"/>
    <w:rsid w:val="002A4485"/>
    <w:rsid w:val="002A44D8"/>
    <w:rsid w:val="002A45BF"/>
    <w:rsid w:val="002A4664"/>
    <w:rsid w:val="002A4777"/>
    <w:rsid w:val="002A499C"/>
    <w:rsid w:val="002A4A76"/>
    <w:rsid w:val="002A4B25"/>
    <w:rsid w:val="002A4B33"/>
    <w:rsid w:val="002A4B70"/>
    <w:rsid w:val="002A4D12"/>
    <w:rsid w:val="002A4D6C"/>
    <w:rsid w:val="002A4D8C"/>
    <w:rsid w:val="002A4DF1"/>
    <w:rsid w:val="002A5190"/>
    <w:rsid w:val="002A5406"/>
    <w:rsid w:val="002A54D1"/>
    <w:rsid w:val="002A572D"/>
    <w:rsid w:val="002A57B7"/>
    <w:rsid w:val="002A58DE"/>
    <w:rsid w:val="002A59DA"/>
    <w:rsid w:val="002A5BBA"/>
    <w:rsid w:val="002A5BF3"/>
    <w:rsid w:val="002A5CFF"/>
    <w:rsid w:val="002A5D0F"/>
    <w:rsid w:val="002A5D13"/>
    <w:rsid w:val="002A6298"/>
    <w:rsid w:val="002A62AC"/>
    <w:rsid w:val="002A6419"/>
    <w:rsid w:val="002A6498"/>
    <w:rsid w:val="002A649C"/>
    <w:rsid w:val="002A6783"/>
    <w:rsid w:val="002A678F"/>
    <w:rsid w:val="002A67CC"/>
    <w:rsid w:val="002A689A"/>
    <w:rsid w:val="002A68E7"/>
    <w:rsid w:val="002A690E"/>
    <w:rsid w:val="002A6998"/>
    <w:rsid w:val="002A69E2"/>
    <w:rsid w:val="002A6A34"/>
    <w:rsid w:val="002A6A97"/>
    <w:rsid w:val="002A6D6C"/>
    <w:rsid w:val="002A6E7A"/>
    <w:rsid w:val="002A6EDD"/>
    <w:rsid w:val="002A7053"/>
    <w:rsid w:val="002A72D8"/>
    <w:rsid w:val="002A737F"/>
    <w:rsid w:val="002A73EC"/>
    <w:rsid w:val="002A74A6"/>
    <w:rsid w:val="002A762E"/>
    <w:rsid w:val="002A78FE"/>
    <w:rsid w:val="002A791E"/>
    <w:rsid w:val="002A79CC"/>
    <w:rsid w:val="002A7A92"/>
    <w:rsid w:val="002A7BD1"/>
    <w:rsid w:val="002A7D38"/>
    <w:rsid w:val="002A7E2A"/>
    <w:rsid w:val="002A7E95"/>
    <w:rsid w:val="002B0223"/>
    <w:rsid w:val="002B0244"/>
    <w:rsid w:val="002B0264"/>
    <w:rsid w:val="002B03C1"/>
    <w:rsid w:val="002B03FA"/>
    <w:rsid w:val="002B04FE"/>
    <w:rsid w:val="002B0595"/>
    <w:rsid w:val="002B06FC"/>
    <w:rsid w:val="002B07BE"/>
    <w:rsid w:val="002B0AF6"/>
    <w:rsid w:val="002B0CF0"/>
    <w:rsid w:val="002B0D7F"/>
    <w:rsid w:val="002B1146"/>
    <w:rsid w:val="002B124C"/>
    <w:rsid w:val="002B13EA"/>
    <w:rsid w:val="002B13FD"/>
    <w:rsid w:val="002B1568"/>
    <w:rsid w:val="002B163E"/>
    <w:rsid w:val="002B1B84"/>
    <w:rsid w:val="002B1D00"/>
    <w:rsid w:val="002B1FB7"/>
    <w:rsid w:val="002B20F2"/>
    <w:rsid w:val="002B21B8"/>
    <w:rsid w:val="002B2464"/>
    <w:rsid w:val="002B24A5"/>
    <w:rsid w:val="002B2568"/>
    <w:rsid w:val="002B25C3"/>
    <w:rsid w:val="002B27A2"/>
    <w:rsid w:val="002B2977"/>
    <w:rsid w:val="002B2ADA"/>
    <w:rsid w:val="002B2B09"/>
    <w:rsid w:val="002B2B41"/>
    <w:rsid w:val="002B2C84"/>
    <w:rsid w:val="002B2D64"/>
    <w:rsid w:val="002B2D9A"/>
    <w:rsid w:val="002B2EF7"/>
    <w:rsid w:val="002B2F14"/>
    <w:rsid w:val="002B2F4F"/>
    <w:rsid w:val="002B3286"/>
    <w:rsid w:val="002B33A2"/>
    <w:rsid w:val="002B3515"/>
    <w:rsid w:val="002B35A6"/>
    <w:rsid w:val="002B3636"/>
    <w:rsid w:val="002B377E"/>
    <w:rsid w:val="002B3B0D"/>
    <w:rsid w:val="002B4330"/>
    <w:rsid w:val="002B43E4"/>
    <w:rsid w:val="002B444E"/>
    <w:rsid w:val="002B47D8"/>
    <w:rsid w:val="002B4817"/>
    <w:rsid w:val="002B4B71"/>
    <w:rsid w:val="002B4C88"/>
    <w:rsid w:val="002B4D00"/>
    <w:rsid w:val="002B4DA0"/>
    <w:rsid w:val="002B4EBF"/>
    <w:rsid w:val="002B529C"/>
    <w:rsid w:val="002B52F9"/>
    <w:rsid w:val="002B5484"/>
    <w:rsid w:val="002B5614"/>
    <w:rsid w:val="002B564C"/>
    <w:rsid w:val="002B5726"/>
    <w:rsid w:val="002B57CA"/>
    <w:rsid w:val="002B5838"/>
    <w:rsid w:val="002B5959"/>
    <w:rsid w:val="002B59AE"/>
    <w:rsid w:val="002B5A2B"/>
    <w:rsid w:val="002B5DB9"/>
    <w:rsid w:val="002B5E01"/>
    <w:rsid w:val="002B6213"/>
    <w:rsid w:val="002B658D"/>
    <w:rsid w:val="002B685A"/>
    <w:rsid w:val="002B691D"/>
    <w:rsid w:val="002B6951"/>
    <w:rsid w:val="002B69A2"/>
    <w:rsid w:val="002B6A00"/>
    <w:rsid w:val="002B6C23"/>
    <w:rsid w:val="002B6E56"/>
    <w:rsid w:val="002B70C8"/>
    <w:rsid w:val="002B7354"/>
    <w:rsid w:val="002B7394"/>
    <w:rsid w:val="002B73AC"/>
    <w:rsid w:val="002B7630"/>
    <w:rsid w:val="002B7758"/>
    <w:rsid w:val="002B788D"/>
    <w:rsid w:val="002B78CF"/>
    <w:rsid w:val="002B7981"/>
    <w:rsid w:val="002B7995"/>
    <w:rsid w:val="002B7A2D"/>
    <w:rsid w:val="002C00BD"/>
    <w:rsid w:val="002C02BA"/>
    <w:rsid w:val="002C0743"/>
    <w:rsid w:val="002C080E"/>
    <w:rsid w:val="002C08EB"/>
    <w:rsid w:val="002C0938"/>
    <w:rsid w:val="002C0988"/>
    <w:rsid w:val="002C0ADD"/>
    <w:rsid w:val="002C0DA7"/>
    <w:rsid w:val="002C0DCE"/>
    <w:rsid w:val="002C0EAD"/>
    <w:rsid w:val="002C0F2D"/>
    <w:rsid w:val="002C0F9D"/>
    <w:rsid w:val="002C0FD0"/>
    <w:rsid w:val="002C11ED"/>
    <w:rsid w:val="002C13A3"/>
    <w:rsid w:val="002C15CB"/>
    <w:rsid w:val="002C17BE"/>
    <w:rsid w:val="002C17D3"/>
    <w:rsid w:val="002C18A1"/>
    <w:rsid w:val="002C1A54"/>
    <w:rsid w:val="002C1A9F"/>
    <w:rsid w:val="002C1AF3"/>
    <w:rsid w:val="002C1AF5"/>
    <w:rsid w:val="002C1B4D"/>
    <w:rsid w:val="002C1C0E"/>
    <w:rsid w:val="002C1C5A"/>
    <w:rsid w:val="002C1D20"/>
    <w:rsid w:val="002C1FAF"/>
    <w:rsid w:val="002C1FFF"/>
    <w:rsid w:val="002C20D3"/>
    <w:rsid w:val="002C221F"/>
    <w:rsid w:val="002C2228"/>
    <w:rsid w:val="002C2278"/>
    <w:rsid w:val="002C2328"/>
    <w:rsid w:val="002C247B"/>
    <w:rsid w:val="002C2646"/>
    <w:rsid w:val="002C2729"/>
    <w:rsid w:val="002C28D9"/>
    <w:rsid w:val="002C2A04"/>
    <w:rsid w:val="002C2E64"/>
    <w:rsid w:val="002C30C0"/>
    <w:rsid w:val="002C3374"/>
    <w:rsid w:val="002C34AB"/>
    <w:rsid w:val="002C34FB"/>
    <w:rsid w:val="002C35D6"/>
    <w:rsid w:val="002C36C9"/>
    <w:rsid w:val="002C37E5"/>
    <w:rsid w:val="002C39DD"/>
    <w:rsid w:val="002C3B82"/>
    <w:rsid w:val="002C3D28"/>
    <w:rsid w:val="002C3ED9"/>
    <w:rsid w:val="002C41D3"/>
    <w:rsid w:val="002C4258"/>
    <w:rsid w:val="002C42F9"/>
    <w:rsid w:val="002C44E0"/>
    <w:rsid w:val="002C45B1"/>
    <w:rsid w:val="002C4645"/>
    <w:rsid w:val="002C486A"/>
    <w:rsid w:val="002C49F5"/>
    <w:rsid w:val="002C4B17"/>
    <w:rsid w:val="002C4C4C"/>
    <w:rsid w:val="002C4C50"/>
    <w:rsid w:val="002C4C86"/>
    <w:rsid w:val="002C4D82"/>
    <w:rsid w:val="002C5017"/>
    <w:rsid w:val="002C5066"/>
    <w:rsid w:val="002C51E2"/>
    <w:rsid w:val="002C5251"/>
    <w:rsid w:val="002C5590"/>
    <w:rsid w:val="002C55BD"/>
    <w:rsid w:val="002C56E4"/>
    <w:rsid w:val="002C5888"/>
    <w:rsid w:val="002C58AF"/>
    <w:rsid w:val="002C5A3A"/>
    <w:rsid w:val="002C5BD3"/>
    <w:rsid w:val="002C5CA4"/>
    <w:rsid w:val="002C60DF"/>
    <w:rsid w:val="002C60FE"/>
    <w:rsid w:val="002C611A"/>
    <w:rsid w:val="002C616B"/>
    <w:rsid w:val="002C64DF"/>
    <w:rsid w:val="002C6599"/>
    <w:rsid w:val="002C66B8"/>
    <w:rsid w:val="002C66ED"/>
    <w:rsid w:val="002C699C"/>
    <w:rsid w:val="002C6ADC"/>
    <w:rsid w:val="002C6BE9"/>
    <w:rsid w:val="002C6C08"/>
    <w:rsid w:val="002C6E43"/>
    <w:rsid w:val="002C6F74"/>
    <w:rsid w:val="002C746B"/>
    <w:rsid w:val="002C7504"/>
    <w:rsid w:val="002C755C"/>
    <w:rsid w:val="002C79F1"/>
    <w:rsid w:val="002C7A89"/>
    <w:rsid w:val="002C7F41"/>
    <w:rsid w:val="002D0013"/>
    <w:rsid w:val="002D0361"/>
    <w:rsid w:val="002D075E"/>
    <w:rsid w:val="002D07B6"/>
    <w:rsid w:val="002D093C"/>
    <w:rsid w:val="002D0973"/>
    <w:rsid w:val="002D0A00"/>
    <w:rsid w:val="002D0AA6"/>
    <w:rsid w:val="002D0B10"/>
    <w:rsid w:val="002D0D7C"/>
    <w:rsid w:val="002D0E02"/>
    <w:rsid w:val="002D0FF8"/>
    <w:rsid w:val="002D1285"/>
    <w:rsid w:val="002D1305"/>
    <w:rsid w:val="002D13A1"/>
    <w:rsid w:val="002D16A8"/>
    <w:rsid w:val="002D16B6"/>
    <w:rsid w:val="002D16C0"/>
    <w:rsid w:val="002D1A29"/>
    <w:rsid w:val="002D1A4D"/>
    <w:rsid w:val="002D1AC1"/>
    <w:rsid w:val="002D1E1E"/>
    <w:rsid w:val="002D1EA6"/>
    <w:rsid w:val="002D1F1E"/>
    <w:rsid w:val="002D1F4E"/>
    <w:rsid w:val="002D221A"/>
    <w:rsid w:val="002D22C4"/>
    <w:rsid w:val="002D233C"/>
    <w:rsid w:val="002D2457"/>
    <w:rsid w:val="002D264B"/>
    <w:rsid w:val="002D2686"/>
    <w:rsid w:val="002D26EB"/>
    <w:rsid w:val="002D2859"/>
    <w:rsid w:val="002D2875"/>
    <w:rsid w:val="002D29C7"/>
    <w:rsid w:val="002D2AC8"/>
    <w:rsid w:val="002D2BAC"/>
    <w:rsid w:val="002D2C76"/>
    <w:rsid w:val="002D2D14"/>
    <w:rsid w:val="002D2D7B"/>
    <w:rsid w:val="002D2EDC"/>
    <w:rsid w:val="002D2F7D"/>
    <w:rsid w:val="002D3105"/>
    <w:rsid w:val="002D33CF"/>
    <w:rsid w:val="002D3454"/>
    <w:rsid w:val="002D345A"/>
    <w:rsid w:val="002D3554"/>
    <w:rsid w:val="002D35BB"/>
    <w:rsid w:val="002D36E3"/>
    <w:rsid w:val="002D3798"/>
    <w:rsid w:val="002D3ACB"/>
    <w:rsid w:val="002D3BD5"/>
    <w:rsid w:val="002D3CD8"/>
    <w:rsid w:val="002D3D1A"/>
    <w:rsid w:val="002D4450"/>
    <w:rsid w:val="002D4570"/>
    <w:rsid w:val="002D4712"/>
    <w:rsid w:val="002D4836"/>
    <w:rsid w:val="002D487A"/>
    <w:rsid w:val="002D4D02"/>
    <w:rsid w:val="002D4DF8"/>
    <w:rsid w:val="002D4E17"/>
    <w:rsid w:val="002D4F33"/>
    <w:rsid w:val="002D4F4D"/>
    <w:rsid w:val="002D51E5"/>
    <w:rsid w:val="002D526F"/>
    <w:rsid w:val="002D537B"/>
    <w:rsid w:val="002D5B82"/>
    <w:rsid w:val="002D5C01"/>
    <w:rsid w:val="002D5E65"/>
    <w:rsid w:val="002D5EE3"/>
    <w:rsid w:val="002D5F98"/>
    <w:rsid w:val="002D60DB"/>
    <w:rsid w:val="002D6116"/>
    <w:rsid w:val="002D636B"/>
    <w:rsid w:val="002D6679"/>
    <w:rsid w:val="002D6725"/>
    <w:rsid w:val="002D69FE"/>
    <w:rsid w:val="002D6A63"/>
    <w:rsid w:val="002D6B3F"/>
    <w:rsid w:val="002D6CAD"/>
    <w:rsid w:val="002D6CC7"/>
    <w:rsid w:val="002D6D32"/>
    <w:rsid w:val="002D6D49"/>
    <w:rsid w:val="002D6DB0"/>
    <w:rsid w:val="002D6E51"/>
    <w:rsid w:val="002D6E74"/>
    <w:rsid w:val="002D6EC1"/>
    <w:rsid w:val="002D6EE1"/>
    <w:rsid w:val="002D749D"/>
    <w:rsid w:val="002D7532"/>
    <w:rsid w:val="002D764C"/>
    <w:rsid w:val="002D7732"/>
    <w:rsid w:val="002D786A"/>
    <w:rsid w:val="002D790C"/>
    <w:rsid w:val="002D79AC"/>
    <w:rsid w:val="002D79DA"/>
    <w:rsid w:val="002D7AC7"/>
    <w:rsid w:val="002D7B92"/>
    <w:rsid w:val="002D7E61"/>
    <w:rsid w:val="002D7EED"/>
    <w:rsid w:val="002D7F06"/>
    <w:rsid w:val="002E00D8"/>
    <w:rsid w:val="002E045B"/>
    <w:rsid w:val="002E055D"/>
    <w:rsid w:val="002E0614"/>
    <w:rsid w:val="002E06E0"/>
    <w:rsid w:val="002E0A65"/>
    <w:rsid w:val="002E0A94"/>
    <w:rsid w:val="002E0B94"/>
    <w:rsid w:val="002E0B9B"/>
    <w:rsid w:val="002E0EA5"/>
    <w:rsid w:val="002E0FCF"/>
    <w:rsid w:val="002E1166"/>
    <w:rsid w:val="002E1325"/>
    <w:rsid w:val="002E1497"/>
    <w:rsid w:val="002E1580"/>
    <w:rsid w:val="002E15D7"/>
    <w:rsid w:val="002E16A5"/>
    <w:rsid w:val="002E1898"/>
    <w:rsid w:val="002E1AAF"/>
    <w:rsid w:val="002E1ABC"/>
    <w:rsid w:val="002E1BBF"/>
    <w:rsid w:val="002E1C51"/>
    <w:rsid w:val="002E1E10"/>
    <w:rsid w:val="002E1E12"/>
    <w:rsid w:val="002E1E91"/>
    <w:rsid w:val="002E2148"/>
    <w:rsid w:val="002E21BA"/>
    <w:rsid w:val="002E21E6"/>
    <w:rsid w:val="002E22C3"/>
    <w:rsid w:val="002E2355"/>
    <w:rsid w:val="002E2441"/>
    <w:rsid w:val="002E2534"/>
    <w:rsid w:val="002E2546"/>
    <w:rsid w:val="002E2551"/>
    <w:rsid w:val="002E255F"/>
    <w:rsid w:val="002E25F4"/>
    <w:rsid w:val="002E264A"/>
    <w:rsid w:val="002E29B1"/>
    <w:rsid w:val="002E2AD9"/>
    <w:rsid w:val="002E2B78"/>
    <w:rsid w:val="002E2C72"/>
    <w:rsid w:val="002E2CF6"/>
    <w:rsid w:val="002E2DF8"/>
    <w:rsid w:val="002E302C"/>
    <w:rsid w:val="002E30DF"/>
    <w:rsid w:val="002E3167"/>
    <w:rsid w:val="002E325C"/>
    <w:rsid w:val="002E3416"/>
    <w:rsid w:val="002E348E"/>
    <w:rsid w:val="002E3497"/>
    <w:rsid w:val="002E34D1"/>
    <w:rsid w:val="002E36DB"/>
    <w:rsid w:val="002E379A"/>
    <w:rsid w:val="002E3884"/>
    <w:rsid w:val="002E3953"/>
    <w:rsid w:val="002E39A3"/>
    <w:rsid w:val="002E39D6"/>
    <w:rsid w:val="002E39E1"/>
    <w:rsid w:val="002E3CA2"/>
    <w:rsid w:val="002E3D7E"/>
    <w:rsid w:val="002E3DA5"/>
    <w:rsid w:val="002E3DEB"/>
    <w:rsid w:val="002E4352"/>
    <w:rsid w:val="002E43D2"/>
    <w:rsid w:val="002E47FD"/>
    <w:rsid w:val="002E4840"/>
    <w:rsid w:val="002E486B"/>
    <w:rsid w:val="002E4AD6"/>
    <w:rsid w:val="002E4B26"/>
    <w:rsid w:val="002E4C4A"/>
    <w:rsid w:val="002E50FB"/>
    <w:rsid w:val="002E51BD"/>
    <w:rsid w:val="002E51E2"/>
    <w:rsid w:val="002E521D"/>
    <w:rsid w:val="002E527F"/>
    <w:rsid w:val="002E55E7"/>
    <w:rsid w:val="002E56E1"/>
    <w:rsid w:val="002E5749"/>
    <w:rsid w:val="002E581F"/>
    <w:rsid w:val="002E583C"/>
    <w:rsid w:val="002E58FB"/>
    <w:rsid w:val="002E59B0"/>
    <w:rsid w:val="002E5ADD"/>
    <w:rsid w:val="002E5AF8"/>
    <w:rsid w:val="002E5C1A"/>
    <w:rsid w:val="002E5CBC"/>
    <w:rsid w:val="002E5DA1"/>
    <w:rsid w:val="002E5FA1"/>
    <w:rsid w:val="002E6097"/>
    <w:rsid w:val="002E6140"/>
    <w:rsid w:val="002E617E"/>
    <w:rsid w:val="002E61D5"/>
    <w:rsid w:val="002E61EA"/>
    <w:rsid w:val="002E64CA"/>
    <w:rsid w:val="002E6555"/>
    <w:rsid w:val="002E6663"/>
    <w:rsid w:val="002E673D"/>
    <w:rsid w:val="002E68AC"/>
    <w:rsid w:val="002E6AE7"/>
    <w:rsid w:val="002E6B9D"/>
    <w:rsid w:val="002E6D98"/>
    <w:rsid w:val="002E6E5A"/>
    <w:rsid w:val="002E6F2E"/>
    <w:rsid w:val="002E7085"/>
    <w:rsid w:val="002E7152"/>
    <w:rsid w:val="002E715E"/>
    <w:rsid w:val="002E71A7"/>
    <w:rsid w:val="002E7219"/>
    <w:rsid w:val="002E729D"/>
    <w:rsid w:val="002E72C1"/>
    <w:rsid w:val="002E7553"/>
    <w:rsid w:val="002E75AE"/>
    <w:rsid w:val="002E7660"/>
    <w:rsid w:val="002E7770"/>
    <w:rsid w:val="002E788E"/>
    <w:rsid w:val="002E7891"/>
    <w:rsid w:val="002E7A0F"/>
    <w:rsid w:val="002E7AF7"/>
    <w:rsid w:val="002E7BFA"/>
    <w:rsid w:val="002E7E7C"/>
    <w:rsid w:val="002F00A3"/>
    <w:rsid w:val="002F010A"/>
    <w:rsid w:val="002F01A6"/>
    <w:rsid w:val="002F0215"/>
    <w:rsid w:val="002F0265"/>
    <w:rsid w:val="002F0615"/>
    <w:rsid w:val="002F096D"/>
    <w:rsid w:val="002F0B18"/>
    <w:rsid w:val="002F0BCF"/>
    <w:rsid w:val="002F0C4F"/>
    <w:rsid w:val="002F0F4D"/>
    <w:rsid w:val="002F1132"/>
    <w:rsid w:val="002F1222"/>
    <w:rsid w:val="002F13C9"/>
    <w:rsid w:val="002F1403"/>
    <w:rsid w:val="002F140A"/>
    <w:rsid w:val="002F167D"/>
    <w:rsid w:val="002F16A5"/>
    <w:rsid w:val="002F16E3"/>
    <w:rsid w:val="002F1729"/>
    <w:rsid w:val="002F17F1"/>
    <w:rsid w:val="002F1811"/>
    <w:rsid w:val="002F185A"/>
    <w:rsid w:val="002F18E6"/>
    <w:rsid w:val="002F1B47"/>
    <w:rsid w:val="002F1BC7"/>
    <w:rsid w:val="002F1EF4"/>
    <w:rsid w:val="002F1F76"/>
    <w:rsid w:val="002F2531"/>
    <w:rsid w:val="002F25E4"/>
    <w:rsid w:val="002F2657"/>
    <w:rsid w:val="002F26D2"/>
    <w:rsid w:val="002F27EA"/>
    <w:rsid w:val="002F29A3"/>
    <w:rsid w:val="002F2A8F"/>
    <w:rsid w:val="002F2A96"/>
    <w:rsid w:val="002F2B4D"/>
    <w:rsid w:val="002F2C83"/>
    <w:rsid w:val="002F2CC5"/>
    <w:rsid w:val="002F2D12"/>
    <w:rsid w:val="002F2E9F"/>
    <w:rsid w:val="002F33E8"/>
    <w:rsid w:val="002F3518"/>
    <w:rsid w:val="002F355E"/>
    <w:rsid w:val="002F3679"/>
    <w:rsid w:val="002F3D3B"/>
    <w:rsid w:val="002F3DE0"/>
    <w:rsid w:val="002F3FDF"/>
    <w:rsid w:val="002F3FE2"/>
    <w:rsid w:val="002F404B"/>
    <w:rsid w:val="002F4060"/>
    <w:rsid w:val="002F411B"/>
    <w:rsid w:val="002F43FF"/>
    <w:rsid w:val="002F4550"/>
    <w:rsid w:val="002F4701"/>
    <w:rsid w:val="002F481A"/>
    <w:rsid w:val="002F48AC"/>
    <w:rsid w:val="002F4937"/>
    <w:rsid w:val="002F494F"/>
    <w:rsid w:val="002F49AE"/>
    <w:rsid w:val="002F4A0B"/>
    <w:rsid w:val="002F4A56"/>
    <w:rsid w:val="002F4A71"/>
    <w:rsid w:val="002F4AFB"/>
    <w:rsid w:val="002F4BB2"/>
    <w:rsid w:val="002F4E13"/>
    <w:rsid w:val="002F4F64"/>
    <w:rsid w:val="002F4F83"/>
    <w:rsid w:val="002F5102"/>
    <w:rsid w:val="002F521D"/>
    <w:rsid w:val="002F5310"/>
    <w:rsid w:val="002F5340"/>
    <w:rsid w:val="002F5690"/>
    <w:rsid w:val="002F5698"/>
    <w:rsid w:val="002F57FA"/>
    <w:rsid w:val="002F5871"/>
    <w:rsid w:val="002F5A72"/>
    <w:rsid w:val="002F5ACC"/>
    <w:rsid w:val="002F5B47"/>
    <w:rsid w:val="002F5D3C"/>
    <w:rsid w:val="002F5D94"/>
    <w:rsid w:val="002F5E11"/>
    <w:rsid w:val="002F5EFA"/>
    <w:rsid w:val="002F62FE"/>
    <w:rsid w:val="002F6314"/>
    <w:rsid w:val="002F6425"/>
    <w:rsid w:val="002F6448"/>
    <w:rsid w:val="002F64EB"/>
    <w:rsid w:val="002F6546"/>
    <w:rsid w:val="002F6B50"/>
    <w:rsid w:val="002F6D10"/>
    <w:rsid w:val="002F6E50"/>
    <w:rsid w:val="002F6F86"/>
    <w:rsid w:val="002F6FD1"/>
    <w:rsid w:val="002F717D"/>
    <w:rsid w:val="002F729F"/>
    <w:rsid w:val="002F72DB"/>
    <w:rsid w:val="002F732A"/>
    <w:rsid w:val="002F751F"/>
    <w:rsid w:val="002F76AA"/>
    <w:rsid w:val="002F76BB"/>
    <w:rsid w:val="002F77C7"/>
    <w:rsid w:val="002F77F6"/>
    <w:rsid w:val="002F78BD"/>
    <w:rsid w:val="002F7A3F"/>
    <w:rsid w:val="002F7A92"/>
    <w:rsid w:val="002F7AFA"/>
    <w:rsid w:val="002F7B1A"/>
    <w:rsid w:val="002F7B76"/>
    <w:rsid w:val="002F7BA1"/>
    <w:rsid w:val="002F7CEE"/>
    <w:rsid w:val="002F7DAB"/>
    <w:rsid w:val="002F7E08"/>
    <w:rsid w:val="002F7EBA"/>
    <w:rsid w:val="002F7F37"/>
    <w:rsid w:val="002F7F68"/>
    <w:rsid w:val="002F7F6A"/>
    <w:rsid w:val="003001A8"/>
    <w:rsid w:val="0030021E"/>
    <w:rsid w:val="00300236"/>
    <w:rsid w:val="0030050E"/>
    <w:rsid w:val="0030065F"/>
    <w:rsid w:val="00300729"/>
    <w:rsid w:val="0030073F"/>
    <w:rsid w:val="0030093E"/>
    <w:rsid w:val="003009CA"/>
    <w:rsid w:val="00300DDE"/>
    <w:rsid w:val="00300E5B"/>
    <w:rsid w:val="00300EF1"/>
    <w:rsid w:val="00300FA4"/>
    <w:rsid w:val="00301030"/>
    <w:rsid w:val="0030103D"/>
    <w:rsid w:val="00301081"/>
    <w:rsid w:val="00301107"/>
    <w:rsid w:val="00301186"/>
    <w:rsid w:val="003012C8"/>
    <w:rsid w:val="00301336"/>
    <w:rsid w:val="0030139A"/>
    <w:rsid w:val="00301869"/>
    <w:rsid w:val="00301989"/>
    <w:rsid w:val="003019D8"/>
    <w:rsid w:val="00301B01"/>
    <w:rsid w:val="00301B6B"/>
    <w:rsid w:val="00301D10"/>
    <w:rsid w:val="00301D98"/>
    <w:rsid w:val="00301FE7"/>
    <w:rsid w:val="00302192"/>
    <w:rsid w:val="00302610"/>
    <w:rsid w:val="0030299D"/>
    <w:rsid w:val="003029AA"/>
    <w:rsid w:val="003029D7"/>
    <w:rsid w:val="00302B28"/>
    <w:rsid w:val="00302CAF"/>
    <w:rsid w:val="00302D9D"/>
    <w:rsid w:val="00302DC4"/>
    <w:rsid w:val="00302E91"/>
    <w:rsid w:val="00302F4B"/>
    <w:rsid w:val="00302FE2"/>
    <w:rsid w:val="00303143"/>
    <w:rsid w:val="00303173"/>
    <w:rsid w:val="00303394"/>
    <w:rsid w:val="0030346B"/>
    <w:rsid w:val="0030349A"/>
    <w:rsid w:val="003034FE"/>
    <w:rsid w:val="0030356B"/>
    <w:rsid w:val="003035E2"/>
    <w:rsid w:val="00303710"/>
    <w:rsid w:val="00303B28"/>
    <w:rsid w:val="00303BD0"/>
    <w:rsid w:val="00303DCC"/>
    <w:rsid w:val="00303E53"/>
    <w:rsid w:val="00304061"/>
    <w:rsid w:val="0030438E"/>
    <w:rsid w:val="003044DB"/>
    <w:rsid w:val="00304595"/>
    <w:rsid w:val="003046AD"/>
    <w:rsid w:val="003046BD"/>
    <w:rsid w:val="00304882"/>
    <w:rsid w:val="003049C8"/>
    <w:rsid w:val="00304A40"/>
    <w:rsid w:val="00304A93"/>
    <w:rsid w:val="00304ADB"/>
    <w:rsid w:val="00304B96"/>
    <w:rsid w:val="00304F0A"/>
    <w:rsid w:val="003050AB"/>
    <w:rsid w:val="00305219"/>
    <w:rsid w:val="003056C4"/>
    <w:rsid w:val="00305883"/>
    <w:rsid w:val="0030598C"/>
    <w:rsid w:val="00305A3D"/>
    <w:rsid w:val="00305AF7"/>
    <w:rsid w:val="00305AFF"/>
    <w:rsid w:val="00305B52"/>
    <w:rsid w:val="00305BBF"/>
    <w:rsid w:val="00305E10"/>
    <w:rsid w:val="003060C6"/>
    <w:rsid w:val="003060E3"/>
    <w:rsid w:val="003063E5"/>
    <w:rsid w:val="0030664B"/>
    <w:rsid w:val="00306813"/>
    <w:rsid w:val="003068FC"/>
    <w:rsid w:val="00306979"/>
    <w:rsid w:val="003069AC"/>
    <w:rsid w:val="00306A62"/>
    <w:rsid w:val="00306A69"/>
    <w:rsid w:val="00306BD3"/>
    <w:rsid w:val="00306D43"/>
    <w:rsid w:val="0030705D"/>
    <w:rsid w:val="003071F8"/>
    <w:rsid w:val="0030728B"/>
    <w:rsid w:val="003074A4"/>
    <w:rsid w:val="003074E9"/>
    <w:rsid w:val="003075BC"/>
    <w:rsid w:val="003076B5"/>
    <w:rsid w:val="00307952"/>
    <w:rsid w:val="00307A37"/>
    <w:rsid w:val="00307B8A"/>
    <w:rsid w:val="00307C20"/>
    <w:rsid w:val="003100C9"/>
    <w:rsid w:val="0031026D"/>
    <w:rsid w:val="0031078A"/>
    <w:rsid w:val="003109A8"/>
    <w:rsid w:val="00310A64"/>
    <w:rsid w:val="00310B31"/>
    <w:rsid w:val="00310BB7"/>
    <w:rsid w:val="00310C19"/>
    <w:rsid w:val="00310E5A"/>
    <w:rsid w:val="00311105"/>
    <w:rsid w:val="0031118F"/>
    <w:rsid w:val="003113B6"/>
    <w:rsid w:val="0031154B"/>
    <w:rsid w:val="003117F0"/>
    <w:rsid w:val="00311B82"/>
    <w:rsid w:val="00311BD8"/>
    <w:rsid w:val="00311CDF"/>
    <w:rsid w:val="00311E0C"/>
    <w:rsid w:val="00311E50"/>
    <w:rsid w:val="00311FD0"/>
    <w:rsid w:val="003120E6"/>
    <w:rsid w:val="0031211F"/>
    <w:rsid w:val="00312186"/>
    <w:rsid w:val="003121DC"/>
    <w:rsid w:val="003122DE"/>
    <w:rsid w:val="00312729"/>
    <w:rsid w:val="0031294C"/>
    <w:rsid w:val="00312968"/>
    <w:rsid w:val="003129D5"/>
    <w:rsid w:val="00312CD0"/>
    <w:rsid w:val="00312CDE"/>
    <w:rsid w:val="00312EB7"/>
    <w:rsid w:val="00313295"/>
    <w:rsid w:val="0031340C"/>
    <w:rsid w:val="0031348F"/>
    <w:rsid w:val="003134D6"/>
    <w:rsid w:val="00313505"/>
    <w:rsid w:val="00313545"/>
    <w:rsid w:val="00313620"/>
    <w:rsid w:val="003137C4"/>
    <w:rsid w:val="003138CC"/>
    <w:rsid w:val="00313911"/>
    <w:rsid w:val="00313937"/>
    <w:rsid w:val="00313958"/>
    <w:rsid w:val="00313E43"/>
    <w:rsid w:val="00313ED5"/>
    <w:rsid w:val="00313F64"/>
    <w:rsid w:val="00314072"/>
    <w:rsid w:val="00314114"/>
    <w:rsid w:val="00314239"/>
    <w:rsid w:val="003144A1"/>
    <w:rsid w:val="00314799"/>
    <w:rsid w:val="00314930"/>
    <w:rsid w:val="003149E9"/>
    <w:rsid w:val="00314ADC"/>
    <w:rsid w:val="00314B9A"/>
    <w:rsid w:val="00314CF2"/>
    <w:rsid w:val="00314D4F"/>
    <w:rsid w:val="00314E58"/>
    <w:rsid w:val="00314F37"/>
    <w:rsid w:val="00315004"/>
    <w:rsid w:val="00315194"/>
    <w:rsid w:val="0031525C"/>
    <w:rsid w:val="003152A7"/>
    <w:rsid w:val="003152A8"/>
    <w:rsid w:val="0031566D"/>
    <w:rsid w:val="003157F8"/>
    <w:rsid w:val="00315AF3"/>
    <w:rsid w:val="00315BCF"/>
    <w:rsid w:val="00315BDD"/>
    <w:rsid w:val="00315D43"/>
    <w:rsid w:val="00315DD7"/>
    <w:rsid w:val="00315E4B"/>
    <w:rsid w:val="00315EC0"/>
    <w:rsid w:val="00315F48"/>
    <w:rsid w:val="00315F79"/>
    <w:rsid w:val="00315F9E"/>
    <w:rsid w:val="00315FD3"/>
    <w:rsid w:val="00315FD8"/>
    <w:rsid w:val="003162B4"/>
    <w:rsid w:val="00316307"/>
    <w:rsid w:val="0031635E"/>
    <w:rsid w:val="00316540"/>
    <w:rsid w:val="00316789"/>
    <w:rsid w:val="0031688E"/>
    <w:rsid w:val="00316B66"/>
    <w:rsid w:val="00316BB2"/>
    <w:rsid w:val="00316D72"/>
    <w:rsid w:val="00316E11"/>
    <w:rsid w:val="00316E25"/>
    <w:rsid w:val="00316F66"/>
    <w:rsid w:val="00316F80"/>
    <w:rsid w:val="00317058"/>
    <w:rsid w:val="00317167"/>
    <w:rsid w:val="00317863"/>
    <w:rsid w:val="00317B00"/>
    <w:rsid w:val="00317BD0"/>
    <w:rsid w:val="00317E3C"/>
    <w:rsid w:val="00317E52"/>
    <w:rsid w:val="00317EF4"/>
    <w:rsid w:val="003200E6"/>
    <w:rsid w:val="003201B7"/>
    <w:rsid w:val="0032037B"/>
    <w:rsid w:val="0032040D"/>
    <w:rsid w:val="00320839"/>
    <w:rsid w:val="00320A21"/>
    <w:rsid w:val="00320E8F"/>
    <w:rsid w:val="00320EF9"/>
    <w:rsid w:val="00320F1E"/>
    <w:rsid w:val="00320F69"/>
    <w:rsid w:val="003210E1"/>
    <w:rsid w:val="0032120A"/>
    <w:rsid w:val="003212A4"/>
    <w:rsid w:val="003214E1"/>
    <w:rsid w:val="00321695"/>
    <w:rsid w:val="0032171E"/>
    <w:rsid w:val="003217A9"/>
    <w:rsid w:val="003218D6"/>
    <w:rsid w:val="00321914"/>
    <w:rsid w:val="00321B3D"/>
    <w:rsid w:val="00321BF2"/>
    <w:rsid w:val="00321D86"/>
    <w:rsid w:val="00321DCA"/>
    <w:rsid w:val="00321F91"/>
    <w:rsid w:val="003226BB"/>
    <w:rsid w:val="00322705"/>
    <w:rsid w:val="00322A22"/>
    <w:rsid w:val="00322B7B"/>
    <w:rsid w:val="00322C02"/>
    <w:rsid w:val="00322E8A"/>
    <w:rsid w:val="00322ECE"/>
    <w:rsid w:val="00322F1A"/>
    <w:rsid w:val="00322F9B"/>
    <w:rsid w:val="003230FF"/>
    <w:rsid w:val="003231BA"/>
    <w:rsid w:val="00323428"/>
    <w:rsid w:val="003234A3"/>
    <w:rsid w:val="00323592"/>
    <w:rsid w:val="0032378A"/>
    <w:rsid w:val="003238B6"/>
    <w:rsid w:val="00323964"/>
    <w:rsid w:val="00323BFE"/>
    <w:rsid w:val="00323D38"/>
    <w:rsid w:val="00323E15"/>
    <w:rsid w:val="00324053"/>
    <w:rsid w:val="00324341"/>
    <w:rsid w:val="003244EF"/>
    <w:rsid w:val="00324941"/>
    <w:rsid w:val="00324B9E"/>
    <w:rsid w:val="00324EDA"/>
    <w:rsid w:val="00324FC2"/>
    <w:rsid w:val="003250A8"/>
    <w:rsid w:val="00325131"/>
    <w:rsid w:val="00325417"/>
    <w:rsid w:val="0032541D"/>
    <w:rsid w:val="00325467"/>
    <w:rsid w:val="00325519"/>
    <w:rsid w:val="0032571E"/>
    <w:rsid w:val="003257E1"/>
    <w:rsid w:val="00325923"/>
    <w:rsid w:val="00325931"/>
    <w:rsid w:val="003259AF"/>
    <w:rsid w:val="00325A14"/>
    <w:rsid w:val="00325BF1"/>
    <w:rsid w:val="00325C87"/>
    <w:rsid w:val="00325D0F"/>
    <w:rsid w:val="00325F2A"/>
    <w:rsid w:val="003261AF"/>
    <w:rsid w:val="00326501"/>
    <w:rsid w:val="00326685"/>
    <w:rsid w:val="0032672C"/>
    <w:rsid w:val="00326837"/>
    <w:rsid w:val="003268F6"/>
    <w:rsid w:val="003269E9"/>
    <w:rsid w:val="00326A28"/>
    <w:rsid w:val="00326A60"/>
    <w:rsid w:val="00326D06"/>
    <w:rsid w:val="00326E69"/>
    <w:rsid w:val="00327077"/>
    <w:rsid w:val="003270BF"/>
    <w:rsid w:val="003272E1"/>
    <w:rsid w:val="003272E6"/>
    <w:rsid w:val="00327332"/>
    <w:rsid w:val="003274BF"/>
    <w:rsid w:val="00327781"/>
    <w:rsid w:val="00327812"/>
    <w:rsid w:val="00327819"/>
    <w:rsid w:val="003278BE"/>
    <w:rsid w:val="00327904"/>
    <w:rsid w:val="00327970"/>
    <w:rsid w:val="0032797E"/>
    <w:rsid w:val="00327E01"/>
    <w:rsid w:val="003303A6"/>
    <w:rsid w:val="0033051A"/>
    <w:rsid w:val="00330573"/>
    <w:rsid w:val="0033058B"/>
    <w:rsid w:val="0033089D"/>
    <w:rsid w:val="00330C1A"/>
    <w:rsid w:val="00330C5E"/>
    <w:rsid w:val="00330C79"/>
    <w:rsid w:val="00330D0D"/>
    <w:rsid w:val="00330D1D"/>
    <w:rsid w:val="00330E22"/>
    <w:rsid w:val="00330E35"/>
    <w:rsid w:val="00330F26"/>
    <w:rsid w:val="0033135F"/>
    <w:rsid w:val="003313AA"/>
    <w:rsid w:val="00331400"/>
    <w:rsid w:val="00331492"/>
    <w:rsid w:val="003314A5"/>
    <w:rsid w:val="00331569"/>
    <w:rsid w:val="00331C61"/>
    <w:rsid w:val="00331CB8"/>
    <w:rsid w:val="0033204C"/>
    <w:rsid w:val="00332119"/>
    <w:rsid w:val="0033214E"/>
    <w:rsid w:val="00332174"/>
    <w:rsid w:val="00332454"/>
    <w:rsid w:val="0033296B"/>
    <w:rsid w:val="00332A71"/>
    <w:rsid w:val="00332C44"/>
    <w:rsid w:val="00332E64"/>
    <w:rsid w:val="00332F52"/>
    <w:rsid w:val="00333196"/>
    <w:rsid w:val="00333489"/>
    <w:rsid w:val="0033364B"/>
    <w:rsid w:val="00333734"/>
    <w:rsid w:val="00333848"/>
    <w:rsid w:val="00333DE5"/>
    <w:rsid w:val="00333E3E"/>
    <w:rsid w:val="00333E6E"/>
    <w:rsid w:val="0033420C"/>
    <w:rsid w:val="003342EA"/>
    <w:rsid w:val="00334389"/>
    <w:rsid w:val="00334599"/>
    <w:rsid w:val="00334650"/>
    <w:rsid w:val="00334686"/>
    <w:rsid w:val="00334A3C"/>
    <w:rsid w:val="00334AE7"/>
    <w:rsid w:val="00334EBF"/>
    <w:rsid w:val="00334F96"/>
    <w:rsid w:val="00334FFC"/>
    <w:rsid w:val="00335041"/>
    <w:rsid w:val="0033506B"/>
    <w:rsid w:val="0033521B"/>
    <w:rsid w:val="00335333"/>
    <w:rsid w:val="003353A3"/>
    <w:rsid w:val="00335593"/>
    <w:rsid w:val="00335662"/>
    <w:rsid w:val="003356D3"/>
    <w:rsid w:val="00335736"/>
    <w:rsid w:val="003357A9"/>
    <w:rsid w:val="003359A7"/>
    <w:rsid w:val="00335B5A"/>
    <w:rsid w:val="00335C99"/>
    <w:rsid w:val="00335D6F"/>
    <w:rsid w:val="00335D87"/>
    <w:rsid w:val="00335DC3"/>
    <w:rsid w:val="00335DC5"/>
    <w:rsid w:val="0033600D"/>
    <w:rsid w:val="0033606D"/>
    <w:rsid w:val="0033635A"/>
    <w:rsid w:val="003363B9"/>
    <w:rsid w:val="003363C2"/>
    <w:rsid w:val="0033645E"/>
    <w:rsid w:val="00336578"/>
    <w:rsid w:val="00336794"/>
    <w:rsid w:val="00336883"/>
    <w:rsid w:val="00336BC3"/>
    <w:rsid w:val="00336BD7"/>
    <w:rsid w:val="00336EDD"/>
    <w:rsid w:val="00337137"/>
    <w:rsid w:val="0033721B"/>
    <w:rsid w:val="003373FF"/>
    <w:rsid w:val="00337431"/>
    <w:rsid w:val="00337616"/>
    <w:rsid w:val="00337882"/>
    <w:rsid w:val="00337B63"/>
    <w:rsid w:val="00337D5F"/>
    <w:rsid w:val="00337F01"/>
    <w:rsid w:val="00337F39"/>
    <w:rsid w:val="00340039"/>
    <w:rsid w:val="00340040"/>
    <w:rsid w:val="003401E2"/>
    <w:rsid w:val="0034029E"/>
    <w:rsid w:val="00340493"/>
    <w:rsid w:val="0034091D"/>
    <w:rsid w:val="00340986"/>
    <w:rsid w:val="00340AB1"/>
    <w:rsid w:val="00340ABD"/>
    <w:rsid w:val="00340D55"/>
    <w:rsid w:val="00340F8B"/>
    <w:rsid w:val="003410C3"/>
    <w:rsid w:val="0034120B"/>
    <w:rsid w:val="003413DB"/>
    <w:rsid w:val="00341852"/>
    <w:rsid w:val="00341887"/>
    <w:rsid w:val="00341C03"/>
    <w:rsid w:val="00341DBA"/>
    <w:rsid w:val="00342088"/>
    <w:rsid w:val="003420E3"/>
    <w:rsid w:val="003421C9"/>
    <w:rsid w:val="00342208"/>
    <w:rsid w:val="00342461"/>
    <w:rsid w:val="00342552"/>
    <w:rsid w:val="0034261C"/>
    <w:rsid w:val="00342716"/>
    <w:rsid w:val="0034277F"/>
    <w:rsid w:val="003427B1"/>
    <w:rsid w:val="00342882"/>
    <w:rsid w:val="003428AA"/>
    <w:rsid w:val="00342964"/>
    <w:rsid w:val="00342C19"/>
    <w:rsid w:val="00342DB9"/>
    <w:rsid w:val="00343190"/>
    <w:rsid w:val="0034329F"/>
    <w:rsid w:val="0034345F"/>
    <w:rsid w:val="0034347E"/>
    <w:rsid w:val="00343486"/>
    <w:rsid w:val="003434EF"/>
    <w:rsid w:val="0034351E"/>
    <w:rsid w:val="0034357B"/>
    <w:rsid w:val="0034358F"/>
    <w:rsid w:val="00343702"/>
    <w:rsid w:val="003437CA"/>
    <w:rsid w:val="00343A6F"/>
    <w:rsid w:val="00343BDC"/>
    <w:rsid w:val="00343C22"/>
    <w:rsid w:val="00343ECB"/>
    <w:rsid w:val="003441E7"/>
    <w:rsid w:val="003442FE"/>
    <w:rsid w:val="00344377"/>
    <w:rsid w:val="003449C1"/>
    <w:rsid w:val="00344B9D"/>
    <w:rsid w:val="00344D15"/>
    <w:rsid w:val="00344D92"/>
    <w:rsid w:val="00344EEE"/>
    <w:rsid w:val="00344F6F"/>
    <w:rsid w:val="00344FC9"/>
    <w:rsid w:val="003450B6"/>
    <w:rsid w:val="003452AE"/>
    <w:rsid w:val="003452C1"/>
    <w:rsid w:val="003457E5"/>
    <w:rsid w:val="0034588E"/>
    <w:rsid w:val="003458F1"/>
    <w:rsid w:val="00345A7F"/>
    <w:rsid w:val="00345D51"/>
    <w:rsid w:val="00345E38"/>
    <w:rsid w:val="00345E70"/>
    <w:rsid w:val="00346080"/>
    <w:rsid w:val="00346107"/>
    <w:rsid w:val="003461E0"/>
    <w:rsid w:val="0034640F"/>
    <w:rsid w:val="00346460"/>
    <w:rsid w:val="003465C0"/>
    <w:rsid w:val="00346FA7"/>
    <w:rsid w:val="00347021"/>
    <w:rsid w:val="0034722D"/>
    <w:rsid w:val="0034742E"/>
    <w:rsid w:val="00347538"/>
    <w:rsid w:val="00347558"/>
    <w:rsid w:val="0034768B"/>
    <w:rsid w:val="0034769A"/>
    <w:rsid w:val="003476A1"/>
    <w:rsid w:val="003476D1"/>
    <w:rsid w:val="003476E6"/>
    <w:rsid w:val="00347733"/>
    <w:rsid w:val="00347735"/>
    <w:rsid w:val="003479A2"/>
    <w:rsid w:val="00347A69"/>
    <w:rsid w:val="00347B70"/>
    <w:rsid w:val="00347BC0"/>
    <w:rsid w:val="00347BDA"/>
    <w:rsid w:val="00347C91"/>
    <w:rsid w:val="00347C93"/>
    <w:rsid w:val="00347E47"/>
    <w:rsid w:val="0035016D"/>
    <w:rsid w:val="0035028B"/>
    <w:rsid w:val="00350408"/>
    <w:rsid w:val="00350525"/>
    <w:rsid w:val="0035085C"/>
    <w:rsid w:val="0035085E"/>
    <w:rsid w:val="00350C6E"/>
    <w:rsid w:val="00350E17"/>
    <w:rsid w:val="003510F8"/>
    <w:rsid w:val="00351281"/>
    <w:rsid w:val="00351301"/>
    <w:rsid w:val="003519B5"/>
    <w:rsid w:val="00351E44"/>
    <w:rsid w:val="00352168"/>
    <w:rsid w:val="003521B5"/>
    <w:rsid w:val="0035221D"/>
    <w:rsid w:val="0035233D"/>
    <w:rsid w:val="00352400"/>
    <w:rsid w:val="003524D3"/>
    <w:rsid w:val="00352567"/>
    <w:rsid w:val="00352776"/>
    <w:rsid w:val="003527C9"/>
    <w:rsid w:val="00352AFE"/>
    <w:rsid w:val="00352BEB"/>
    <w:rsid w:val="00352C4F"/>
    <w:rsid w:val="00352EC1"/>
    <w:rsid w:val="00352ED1"/>
    <w:rsid w:val="00353107"/>
    <w:rsid w:val="00353267"/>
    <w:rsid w:val="003532BC"/>
    <w:rsid w:val="003533C3"/>
    <w:rsid w:val="00353707"/>
    <w:rsid w:val="00353729"/>
    <w:rsid w:val="003537C9"/>
    <w:rsid w:val="003537FD"/>
    <w:rsid w:val="00353890"/>
    <w:rsid w:val="00353913"/>
    <w:rsid w:val="003539AB"/>
    <w:rsid w:val="00353BAD"/>
    <w:rsid w:val="00353FE9"/>
    <w:rsid w:val="00354050"/>
    <w:rsid w:val="00354086"/>
    <w:rsid w:val="003542E3"/>
    <w:rsid w:val="003542E8"/>
    <w:rsid w:val="003543AA"/>
    <w:rsid w:val="00354815"/>
    <w:rsid w:val="00354911"/>
    <w:rsid w:val="003549AF"/>
    <w:rsid w:val="00354A12"/>
    <w:rsid w:val="00354A79"/>
    <w:rsid w:val="00354BD6"/>
    <w:rsid w:val="00354C1A"/>
    <w:rsid w:val="00354D64"/>
    <w:rsid w:val="00354E9F"/>
    <w:rsid w:val="00354F10"/>
    <w:rsid w:val="003550AF"/>
    <w:rsid w:val="003552E2"/>
    <w:rsid w:val="00355340"/>
    <w:rsid w:val="00355377"/>
    <w:rsid w:val="00355515"/>
    <w:rsid w:val="0035561F"/>
    <w:rsid w:val="003556DF"/>
    <w:rsid w:val="0035594C"/>
    <w:rsid w:val="00355D34"/>
    <w:rsid w:val="00356042"/>
    <w:rsid w:val="0035611F"/>
    <w:rsid w:val="00356623"/>
    <w:rsid w:val="0035667F"/>
    <w:rsid w:val="0035690C"/>
    <w:rsid w:val="003569E9"/>
    <w:rsid w:val="00356A0F"/>
    <w:rsid w:val="00356A1A"/>
    <w:rsid w:val="00356B6F"/>
    <w:rsid w:val="00356E83"/>
    <w:rsid w:val="003570F1"/>
    <w:rsid w:val="003573BE"/>
    <w:rsid w:val="003573D2"/>
    <w:rsid w:val="00357491"/>
    <w:rsid w:val="00357670"/>
    <w:rsid w:val="003576F6"/>
    <w:rsid w:val="0035779D"/>
    <w:rsid w:val="003578CC"/>
    <w:rsid w:val="00357A6E"/>
    <w:rsid w:val="00357B66"/>
    <w:rsid w:val="00357C7C"/>
    <w:rsid w:val="00357FB3"/>
    <w:rsid w:val="003601B5"/>
    <w:rsid w:val="00360380"/>
    <w:rsid w:val="0036040E"/>
    <w:rsid w:val="00360600"/>
    <w:rsid w:val="003608CE"/>
    <w:rsid w:val="00360D1C"/>
    <w:rsid w:val="00360D49"/>
    <w:rsid w:val="00360D4F"/>
    <w:rsid w:val="00360D70"/>
    <w:rsid w:val="00360D95"/>
    <w:rsid w:val="00360EDF"/>
    <w:rsid w:val="0036102B"/>
    <w:rsid w:val="003610BE"/>
    <w:rsid w:val="003610C9"/>
    <w:rsid w:val="003611A4"/>
    <w:rsid w:val="0036126C"/>
    <w:rsid w:val="00361280"/>
    <w:rsid w:val="003612FE"/>
    <w:rsid w:val="003616B5"/>
    <w:rsid w:val="00361746"/>
    <w:rsid w:val="00361775"/>
    <w:rsid w:val="0036177A"/>
    <w:rsid w:val="00361B8E"/>
    <w:rsid w:val="00361C04"/>
    <w:rsid w:val="00361C62"/>
    <w:rsid w:val="00361CA7"/>
    <w:rsid w:val="00361CCB"/>
    <w:rsid w:val="0036215F"/>
    <w:rsid w:val="0036221F"/>
    <w:rsid w:val="00362255"/>
    <w:rsid w:val="0036225D"/>
    <w:rsid w:val="003622C3"/>
    <w:rsid w:val="0036299C"/>
    <w:rsid w:val="00362B5D"/>
    <w:rsid w:val="00362C50"/>
    <w:rsid w:val="00362DDB"/>
    <w:rsid w:val="00362F05"/>
    <w:rsid w:val="00362F3C"/>
    <w:rsid w:val="00363218"/>
    <w:rsid w:val="003633D1"/>
    <w:rsid w:val="00363402"/>
    <w:rsid w:val="00363481"/>
    <w:rsid w:val="003635A2"/>
    <w:rsid w:val="00363670"/>
    <w:rsid w:val="003638CC"/>
    <w:rsid w:val="00363999"/>
    <w:rsid w:val="003639C4"/>
    <w:rsid w:val="00363B74"/>
    <w:rsid w:val="00363BFF"/>
    <w:rsid w:val="00363E9E"/>
    <w:rsid w:val="00363EA1"/>
    <w:rsid w:val="003641D2"/>
    <w:rsid w:val="00364275"/>
    <w:rsid w:val="00364390"/>
    <w:rsid w:val="003643D2"/>
    <w:rsid w:val="003643DB"/>
    <w:rsid w:val="0036441C"/>
    <w:rsid w:val="0036461B"/>
    <w:rsid w:val="00364675"/>
    <w:rsid w:val="0036472C"/>
    <w:rsid w:val="003647BA"/>
    <w:rsid w:val="00364847"/>
    <w:rsid w:val="00364AB6"/>
    <w:rsid w:val="00364DC7"/>
    <w:rsid w:val="00364E7B"/>
    <w:rsid w:val="00365097"/>
    <w:rsid w:val="00365222"/>
    <w:rsid w:val="003652DE"/>
    <w:rsid w:val="0036543A"/>
    <w:rsid w:val="00365558"/>
    <w:rsid w:val="00365716"/>
    <w:rsid w:val="00365796"/>
    <w:rsid w:val="003657C9"/>
    <w:rsid w:val="003658BF"/>
    <w:rsid w:val="00365A61"/>
    <w:rsid w:val="00365A9D"/>
    <w:rsid w:val="00365AB0"/>
    <w:rsid w:val="00365CDA"/>
    <w:rsid w:val="00365CE1"/>
    <w:rsid w:val="00365D5D"/>
    <w:rsid w:val="00365FE0"/>
    <w:rsid w:val="003661D0"/>
    <w:rsid w:val="003665EE"/>
    <w:rsid w:val="003668EE"/>
    <w:rsid w:val="0036694D"/>
    <w:rsid w:val="00366A8E"/>
    <w:rsid w:val="00366CDB"/>
    <w:rsid w:val="00366D1F"/>
    <w:rsid w:val="00366E0E"/>
    <w:rsid w:val="00366F33"/>
    <w:rsid w:val="0036702F"/>
    <w:rsid w:val="003673B2"/>
    <w:rsid w:val="0036774E"/>
    <w:rsid w:val="00367A38"/>
    <w:rsid w:val="00367E95"/>
    <w:rsid w:val="00367F3E"/>
    <w:rsid w:val="00367F3F"/>
    <w:rsid w:val="00367F83"/>
    <w:rsid w:val="00370018"/>
    <w:rsid w:val="003701D6"/>
    <w:rsid w:val="00370337"/>
    <w:rsid w:val="003705C0"/>
    <w:rsid w:val="003705F4"/>
    <w:rsid w:val="00370649"/>
    <w:rsid w:val="0037085E"/>
    <w:rsid w:val="00370A02"/>
    <w:rsid w:val="00370AF0"/>
    <w:rsid w:val="00370B1F"/>
    <w:rsid w:val="00370E27"/>
    <w:rsid w:val="00370F24"/>
    <w:rsid w:val="00370FC6"/>
    <w:rsid w:val="00370FFB"/>
    <w:rsid w:val="00371008"/>
    <w:rsid w:val="003710B2"/>
    <w:rsid w:val="003711E7"/>
    <w:rsid w:val="003712F3"/>
    <w:rsid w:val="00371495"/>
    <w:rsid w:val="003718A9"/>
    <w:rsid w:val="00371A9F"/>
    <w:rsid w:val="00371B95"/>
    <w:rsid w:val="00372215"/>
    <w:rsid w:val="0037226B"/>
    <w:rsid w:val="003725A0"/>
    <w:rsid w:val="003725E7"/>
    <w:rsid w:val="00372720"/>
    <w:rsid w:val="00372745"/>
    <w:rsid w:val="003727D0"/>
    <w:rsid w:val="0037287E"/>
    <w:rsid w:val="003728B9"/>
    <w:rsid w:val="0037291C"/>
    <w:rsid w:val="00372AE3"/>
    <w:rsid w:val="00372B35"/>
    <w:rsid w:val="00372B42"/>
    <w:rsid w:val="00372C8A"/>
    <w:rsid w:val="00372DE8"/>
    <w:rsid w:val="00372DF0"/>
    <w:rsid w:val="00372DF4"/>
    <w:rsid w:val="0037330A"/>
    <w:rsid w:val="00373374"/>
    <w:rsid w:val="00373427"/>
    <w:rsid w:val="003734CF"/>
    <w:rsid w:val="003735EC"/>
    <w:rsid w:val="0037360F"/>
    <w:rsid w:val="0037372E"/>
    <w:rsid w:val="00373AFB"/>
    <w:rsid w:val="00373D40"/>
    <w:rsid w:val="00374003"/>
    <w:rsid w:val="00374218"/>
    <w:rsid w:val="003742B5"/>
    <w:rsid w:val="00374304"/>
    <w:rsid w:val="00374466"/>
    <w:rsid w:val="00374583"/>
    <w:rsid w:val="003746A5"/>
    <w:rsid w:val="00374741"/>
    <w:rsid w:val="003748A5"/>
    <w:rsid w:val="00374AE8"/>
    <w:rsid w:val="00374C0E"/>
    <w:rsid w:val="00374C16"/>
    <w:rsid w:val="00374D62"/>
    <w:rsid w:val="00374EF8"/>
    <w:rsid w:val="00374F2C"/>
    <w:rsid w:val="0037508C"/>
    <w:rsid w:val="00375139"/>
    <w:rsid w:val="003754EF"/>
    <w:rsid w:val="00375509"/>
    <w:rsid w:val="0037556F"/>
    <w:rsid w:val="003755EF"/>
    <w:rsid w:val="00375634"/>
    <w:rsid w:val="00375636"/>
    <w:rsid w:val="00375794"/>
    <w:rsid w:val="003758EF"/>
    <w:rsid w:val="003759A7"/>
    <w:rsid w:val="00375B3E"/>
    <w:rsid w:val="00375D67"/>
    <w:rsid w:val="00376034"/>
    <w:rsid w:val="00376052"/>
    <w:rsid w:val="003764B4"/>
    <w:rsid w:val="003764D9"/>
    <w:rsid w:val="00376570"/>
    <w:rsid w:val="003766F7"/>
    <w:rsid w:val="0037670A"/>
    <w:rsid w:val="003767F6"/>
    <w:rsid w:val="003767FB"/>
    <w:rsid w:val="003769DF"/>
    <w:rsid w:val="00376BF5"/>
    <w:rsid w:val="00376F16"/>
    <w:rsid w:val="003771CA"/>
    <w:rsid w:val="003772D0"/>
    <w:rsid w:val="00377338"/>
    <w:rsid w:val="003773E4"/>
    <w:rsid w:val="00377533"/>
    <w:rsid w:val="00377E31"/>
    <w:rsid w:val="00377E3E"/>
    <w:rsid w:val="00377ECB"/>
    <w:rsid w:val="0038009C"/>
    <w:rsid w:val="003801F6"/>
    <w:rsid w:val="003803F8"/>
    <w:rsid w:val="0038051C"/>
    <w:rsid w:val="00380641"/>
    <w:rsid w:val="003807CC"/>
    <w:rsid w:val="00380ABC"/>
    <w:rsid w:val="00380B95"/>
    <w:rsid w:val="00381276"/>
    <w:rsid w:val="00381393"/>
    <w:rsid w:val="003813C5"/>
    <w:rsid w:val="003814C8"/>
    <w:rsid w:val="003816DE"/>
    <w:rsid w:val="00381810"/>
    <w:rsid w:val="00381892"/>
    <w:rsid w:val="00381941"/>
    <w:rsid w:val="00381C02"/>
    <w:rsid w:val="0038223B"/>
    <w:rsid w:val="00382352"/>
    <w:rsid w:val="00382425"/>
    <w:rsid w:val="00382440"/>
    <w:rsid w:val="00382745"/>
    <w:rsid w:val="003829FB"/>
    <w:rsid w:val="00382D68"/>
    <w:rsid w:val="00382FAB"/>
    <w:rsid w:val="003831FE"/>
    <w:rsid w:val="00383427"/>
    <w:rsid w:val="0038351D"/>
    <w:rsid w:val="00383548"/>
    <w:rsid w:val="00383990"/>
    <w:rsid w:val="0038399D"/>
    <w:rsid w:val="00383A83"/>
    <w:rsid w:val="00383A8D"/>
    <w:rsid w:val="00383BAD"/>
    <w:rsid w:val="00383C2D"/>
    <w:rsid w:val="00383CBD"/>
    <w:rsid w:val="00383D84"/>
    <w:rsid w:val="00383F35"/>
    <w:rsid w:val="003842F4"/>
    <w:rsid w:val="003843EA"/>
    <w:rsid w:val="00384511"/>
    <w:rsid w:val="003845A6"/>
    <w:rsid w:val="00384722"/>
    <w:rsid w:val="0038475F"/>
    <w:rsid w:val="00384828"/>
    <w:rsid w:val="00384833"/>
    <w:rsid w:val="00384A80"/>
    <w:rsid w:val="00384CCC"/>
    <w:rsid w:val="00384CE7"/>
    <w:rsid w:val="00384DB0"/>
    <w:rsid w:val="0038506A"/>
    <w:rsid w:val="003850F0"/>
    <w:rsid w:val="00385218"/>
    <w:rsid w:val="003852C8"/>
    <w:rsid w:val="003854F1"/>
    <w:rsid w:val="00385592"/>
    <w:rsid w:val="00385723"/>
    <w:rsid w:val="003858EA"/>
    <w:rsid w:val="00385918"/>
    <w:rsid w:val="003859F4"/>
    <w:rsid w:val="00385AF8"/>
    <w:rsid w:val="00385CCB"/>
    <w:rsid w:val="00385E6E"/>
    <w:rsid w:val="003860DA"/>
    <w:rsid w:val="003862E1"/>
    <w:rsid w:val="003866D6"/>
    <w:rsid w:val="003867C5"/>
    <w:rsid w:val="003868E8"/>
    <w:rsid w:val="00386A89"/>
    <w:rsid w:val="00386B88"/>
    <w:rsid w:val="00386E84"/>
    <w:rsid w:val="00387145"/>
    <w:rsid w:val="00387179"/>
    <w:rsid w:val="003871C8"/>
    <w:rsid w:val="003872AF"/>
    <w:rsid w:val="003873F0"/>
    <w:rsid w:val="0038757F"/>
    <w:rsid w:val="0038759B"/>
    <w:rsid w:val="003875DD"/>
    <w:rsid w:val="003876AB"/>
    <w:rsid w:val="00387813"/>
    <w:rsid w:val="0038788C"/>
    <w:rsid w:val="003878FD"/>
    <w:rsid w:val="00387917"/>
    <w:rsid w:val="0038791B"/>
    <w:rsid w:val="003879EE"/>
    <w:rsid w:val="00387D29"/>
    <w:rsid w:val="00390260"/>
    <w:rsid w:val="003903A7"/>
    <w:rsid w:val="003905B4"/>
    <w:rsid w:val="0039067C"/>
    <w:rsid w:val="00390700"/>
    <w:rsid w:val="003909BF"/>
    <w:rsid w:val="003909D8"/>
    <w:rsid w:val="00390A0E"/>
    <w:rsid w:val="00390AFF"/>
    <w:rsid w:val="00390B56"/>
    <w:rsid w:val="00390F60"/>
    <w:rsid w:val="003911D6"/>
    <w:rsid w:val="00391373"/>
    <w:rsid w:val="00391494"/>
    <w:rsid w:val="00391657"/>
    <w:rsid w:val="00391951"/>
    <w:rsid w:val="00391AB8"/>
    <w:rsid w:val="00391B38"/>
    <w:rsid w:val="00391C84"/>
    <w:rsid w:val="00391E5C"/>
    <w:rsid w:val="00391FB9"/>
    <w:rsid w:val="0039200F"/>
    <w:rsid w:val="00392216"/>
    <w:rsid w:val="00392683"/>
    <w:rsid w:val="003927C0"/>
    <w:rsid w:val="003927C9"/>
    <w:rsid w:val="003929DA"/>
    <w:rsid w:val="00392A6C"/>
    <w:rsid w:val="00392BC4"/>
    <w:rsid w:val="00392D82"/>
    <w:rsid w:val="00392DAA"/>
    <w:rsid w:val="00392DE2"/>
    <w:rsid w:val="0039332D"/>
    <w:rsid w:val="0039345A"/>
    <w:rsid w:val="00393495"/>
    <w:rsid w:val="00393573"/>
    <w:rsid w:val="003937BC"/>
    <w:rsid w:val="0039398E"/>
    <w:rsid w:val="00393AE3"/>
    <w:rsid w:val="00393B04"/>
    <w:rsid w:val="00393B63"/>
    <w:rsid w:val="00393D9D"/>
    <w:rsid w:val="00393DB7"/>
    <w:rsid w:val="00393EAA"/>
    <w:rsid w:val="00393F00"/>
    <w:rsid w:val="003940A1"/>
    <w:rsid w:val="00394155"/>
    <w:rsid w:val="003942AE"/>
    <w:rsid w:val="003942B0"/>
    <w:rsid w:val="003942F8"/>
    <w:rsid w:val="003943F5"/>
    <w:rsid w:val="003947E6"/>
    <w:rsid w:val="00394981"/>
    <w:rsid w:val="00394BD1"/>
    <w:rsid w:val="00394C23"/>
    <w:rsid w:val="00394D35"/>
    <w:rsid w:val="00394D7E"/>
    <w:rsid w:val="00394DC3"/>
    <w:rsid w:val="00394F25"/>
    <w:rsid w:val="00395467"/>
    <w:rsid w:val="003954D5"/>
    <w:rsid w:val="003955B3"/>
    <w:rsid w:val="003955DE"/>
    <w:rsid w:val="0039572B"/>
    <w:rsid w:val="00395797"/>
    <w:rsid w:val="0039590B"/>
    <w:rsid w:val="003959A0"/>
    <w:rsid w:val="00395A6B"/>
    <w:rsid w:val="00395ABE"/>
    <w:rsid w:val="00395C1E"/>
    <w:rsid w:val="00395F7E"/>
    <w:rsid w:val="0039617C"/>
    <w:rsid w:val="00396237"/>
    <w:rsid w:val="003966CA"/>
    <w:rsid w:val="00396730"/>
    <w:rsid w:val="0039685C"/>
    <w:rsid w:val="003969F1"/>
    <w:rsid w:val="00396CAD"/>
    <w:rsid w:val="00396EFD"/>
    <w:rsid w:val="00396F03"/>
    <w:rsid w:val="00397128"/>
    <w:rsid w:val="003972E2"/>
    <w:rsid w:val="003975C0"/>
    <w:rsid w:val="0039763C"/>
    <w:rsid w:val="00397654"/>
    <w:rsid w:val="003976A0"/>
    <w:rsid w:val="0039786B"/>
    <w:rsid w:val="0039790B"/>
    <w:rsid w:val="00397B68"/>
    <w:rsid w:val="00397C03"/>
    <w:rsid w:val="00397C98"/>
    <w:rsid w:val="00397E57"/>
    <w:rsid w:val="00397F7E"/>
    <w:rsid w:val="003A01C7"/>
    <w:rsid w:val="003A031C"/>
    <w:rsid w:val="003A0356"/>
    <w:rsid w:val="003A04AC"/>
    <w:rsid w:val="003A04C8"/>
    <w:rsid w:val="003A089C"/>
    <w:rsid w:val="003A093D"/>
    <w:rsid w:val="003A099E"/>
    <w:rsid w:val="003A0A38"/>
    <w:rsid w:val="003A0A97"/>
    <w:rsid w:val="003A0AC9"/>
    <w:rsid w:val="003A0B92"/>
    <w:rsid w:val="003A0C3F"/>
    <w:rsid w:val="003A0C91"/>
    <w:rsid w:val="003A0DF5"/>
    <w:rsid w:val="003A0E45"/>
    <w:rsid w:val="003A1023"/>
    <w:rsid w:val="003A1123"/>
    <w:rsid w:val="003A1127"/>
    <w:rsid w:val="003A13DD"/>
    <w:rsid w:val="003A1533"/>
    <w:rsid w:val="003A1566"/>
    <w:rsid w:val="003A1827"/>
    <w:rsid w:val="003A1853"/>
    <w:rsid w:val="003A186C"/>
    <w:rsid w:val="003A1B8C"/>
    <w:rsid w:val="003A1BC9"/>
    <w:rsid w:val="003A1C25"/>
    <w:rsid w:val="003A1C88"/>
    <w:rsid w:val="003A1D51"/>
    <w:rsid w:val="003A1DE0"/>
    <w:rsid w:val="003A1E2C"/>
    <w:rsid w:val="003A1ECD"/>
    <w:rsid w:val="003A1FA0"/>
    <w:rsid w:val="003A1FE3"/>
    <w:rsid w:val="003A20FE"/>
    <w:rsid w:val="003A22A0"/>
    <w:rsid w:val="003A2516"/>
    <w:rsid w:val="003A2A01"/>
    <w:rsid w:val="003A2ADD"/>
    <w:rsid w:val="003A2AE1"/>
    <w:rsid w:val="003A2E7E"/>
    <w:rsid w:val="003A2F18"/>
    <w:rsid w:val="003A3005"/>
    <w:rsid w:val="003A30C2"/>
    <w:rsid w:val="003A30E3"/>
    <w:rsid w:val="003A3533"/>
    <w:rsid w:val="003A3653"/>
    <w:rsid w:val="003A3D61"/>
    <w:rsid w:val="003A3D83"/>
    <w:rsid w:val="003A3DA7"/>
    <w:rsid w:val="003A3DEB"/>
    <w:rsid w:val="003A3E52"/>
    <w:rsid w:val="003A3FCB"/>
    <w:rsid w:val="003A406B"/>
    <w:rsid w:val="003A40F3"/>
    <w:rsid w:val="003A41F6"/>
    <w:rsid w:val="003A4460"/>
    <w:rsid w:val="003A485B"/>
    <w:rsid w:val="003A4984"/>
    <w:rsid w:val="003A498E"/>
    <w:rsid w:val="003A4B24"/>
    <w:rsid w:val="003A4BE9"/>
    <w:rsid w:val="003A4E18"/>
    <w:rsid w:val="003A4E45"/>
    <w:rsid w:val="003A5122"/>
    <w:rsid w:val="003A5187"/>
    <w:rsid w:val="003A5240"/>
    <w:rsid w:val="003A5425"/>
    <w:rsid w:val="003A5C8B"/>
    <w:rsid w:val="003A5F3A"/>
    <w:rsid w:val="003A60EF"/>
    <w:rsid w:val="003A616A"/>
    <w:rsid w:val="003A66F5"/>
    <w:rsid w:val="003A675D"/>
    <w:rsid w:val="003A67D4"/>
    <w:rsid w:val="003A6A8A"/>
    <w:rsid w:val="003A6ACE"/>
    <w:rsid w:val="003A6CB0"/>
    <w:rsid w:val="003A6D0A"/>
    <w:rsid w:val="003A71FD"/>
    <w:rsid w:val="003A7275"/>
    <w:rsid w:val="003A77D5"/>
    <w:rsid w:val="003A7AD8"/>
    <w:rsid w:val="003A7AF0"/>
    <w:rsid w:val="003A7B65"/>
    <w:rsid w:val="003A7BA1"/>
    <w:rsid w:val="003A7C69"/>
    <w:rsid w:val="003A7CDC"/>
    <w:rsid w:val="003A7D86"/>
    <w:rsid w:val="003A7F4D"/>
    <w:rsid w:val="003B0003"/>
    <w:rsid w:val="003B0188"/>
    <w:rsid w:val="003B0337"/>
    <w:rsid w:val="003B0338"/>
    <w:rsid w:val="003B0758"/>
    <w:rsid w:val="003B089A"/>
    <w:rsid w:val="003B0A37"/>
    <w:rsid w:val="003B0D11"/>
    <w:rsid w:val="003B0D99"/>
    <w:rsid w:val="003B0DBB"/>
    <w:rsid w:val="003B0F31"/>
    <w:rsid w:val="003B104E"/>
    <w:rsid w:val="003B11A5"/>
    <w:rsid w:val="003B11D5"/>
    <w:rsid w:val="003B1237"/>
    <w:rsid w:val="003B12A7"/>
    <w:rsid w:val="003B1544"/>
    <w:rsid w:val="003B162B"/>
    <w:rsid w:val="003B16FB"/>
    <w:rsid w:val="003B1882"/>
    <w:rsid w:val="003B189A"/>
    <w:rsid w:val="003B18F0"/>
    <w:rsid w:val="003B1919"/>
    <w:rsid w:val="003B1E4A"/>
    <w:rsid w:val="003B1FEF"/>
    <w:rsid w:val="003B202A"/>
    <w:rsid w:val="003B210F"/>
    <w:rsid w:val="003B2266"/>
    <w:rsid w:val="003B22AD"/>
    <w:rsid w:val="003B231D"/>
    <w:rsid w:val="003B2377"/>
    <w:rsid w:val="003B2479"/>
    <w:rsid w:val="003B2480"/>
    <w:rsid w:val="003B255E"/>
    <w:rsid w:val="003B26BD"/>
    <w:rsid w:val="003B2A5B"/>
    <w:rsid w:val="003B2AEF"/>
    <w:rsid w:val="003B2C5E"/>
    <w:rsid w:val="003B2DBA"/>
    <w:rsid w:val="003B2DD2"/>
    <w:rsid w:val="003B2FDA"/>
    <w:rsid w:val="003B3059"/>
    <w:rsid w:val="003B3073"/>
    <w:rsid w:val="003B31CC"/>
    <w:rsid w:val="003B3301"/>
    <w:rsid w:val="003B356F"/>
    <w:rsid w:val="003B35A7"/>
    <w:rsid w:val="003B35DE"/>
    <w:rsid w:val="003B3670"/>
    <w:rsid w:val="003B3813"/>
    <w:rsid w:val="003B41A1"/>
    <w:rsid w:val="003B4317"/>
    <w:rsid w:val="003B432A"/>
    <w:rsid w:val="003B435D"/>
    <w:rsid w:val="003B43F8"/>
    <w:rsid w:val="003B447E"/>
    <w:rsid w:val="003B4538"/>
    <w:rsid w:val="003B4599"/>
    <w:rsid w:val="003B464D"/>
    <w:rsid w:val="003B4A25"/>
    <w:rsid w:val="003B4B61"/>
    <w:rsid w:val="003B4DB1"/>
    <w:rsid w:val="003B4DC0"/>
    <w:rsid w:val="003B4E68"/>
    <w:rsid w:val="003B4EAD"/>
    <w:rsid w:val="003B4F07"/>
    <w:rsid w:val="003B4F6B"/>
    <w:rsid w:val="003B4FAE"/>
    <w:rsid w:val="003B4FFE"/>
    <w:rsid w:val="003B50A9"/>
    <w:rsid w:val="003B524F"/>
    <w:rsid w:val="003B52E5"/>
    <w:rsid w:val="003B53A7"/>
    <w:rsid w:val="003B54A3"/>
    <w:rsid w:val="003B54BD"/>
    <w:rsid w:val="003B54FC"/>
    <w:rsid w:val="003B55DE"/>
    <w:rsid w:val="003B5747"/>
    <w:rsid w:val="003B5884"/>
    <w:rsid w:val="003B5B04"/>
    <w:rsid w:val="003B5B8B"/>
    <w:rsid w:val="003B5C60"/>
    <w:rsid w:val="003B5CA7"/>
    <w:rsid w:val="003B5CF7"/>
    <w:rsid w:val="003B5D5D"/>
    <w:rsid w:val="003B5EFF"/>
    <w:rsid w:val="003B640A"/>
    <w:rsid w:val="003B64F9"/>
    <w:rsid w:val="003B6518"/>
    <w:rsid w:val="003B658E"/>
    <w:rsid w:val="003B65C5"/>
    <w:rsid w:val="003B65F1"/>
    <w:rsid w:val="003B6857"/>
    <w:rsid w:val="003B6AF5"/>
    <w:rsid w:val="003B6B54"/>
    <w:rsid w:val="003B6C37"/>
    <w:rsid w:val="003B6CB4"/>
    <w:rsid w:val="003B6DEC"/>
    <w:rsid w:val="003B6F3F"/>
    <w:rsid w:val="003B7103"/>
    <w:rsid w:val="003B74F7"/>
    <w:rsid w:val="003B765D"/>
    <w:rsid w:val="003B7881"/>
    <w:rsid w:val="003B7AF2"/>
    <w:rsid w:val="003B7B20"/>
    <w:rsid w:val="003B7F2B"/>
    <w:rsid w:val="003B7F36"/>
    <w:rsid w:val="003C01A9"/>
    <w:rsid w:val="003C04BE"/>
    <w:rsid w:val="003C05CB"/>
    <w:rsid w:val="003C0714"/>
    <w:rsid w:val="003C0796"/>
    <w:rsid w:val="003C081A"/>
    <w:rsid w:val="003C0B40"/>
    <w:rsid w:val="003C0BFF"/>
    <w:rsid w:val="003C0DA0"/>
    <w:rsid w:val="003C0E39"/>
    <w:rsid w:val="003C0E9D"/>
    <w:rsid w:val="003C115C"/>
    <w:rsid w:val="003C11AC"/>
    <w:rsid w:val="003C12A3"/>
    <w:rsid w:val="003C14EC"/>
    <w:rsid w:val="003C15A1"/>
    <w:rsid w:val="003C17A7"/>
    <w:rsid w:val="003C19E2"/>
    <w:rsid w:val="003C1A51"/>
    <w:rsid w:val="003C1DC1"/>
    <w:rsid w:val="003C200B"/>
    <w:rsid w:val="003C2479"/>
    <w:rsid w:val="003C24C5"/>
    <w:rsid w:val="003C2585"/>
    <w:rsid w:val="003C25BC"/>
    <w:rsid w:val="003C26BB"/>
    <w:rsid w:val="003C278E"/>
    <w:rsid w:val="003C27C1"/>
    <w:rsid w:val="003C2B83"/>
    <w:rsid w:val="003C2C38"/>
    <w:rsid w:val="003C2C77"/>
    <w:rsid w:val="003C2D34"/>
    <w:rsid w:val="003C3132"/>
    <w:rsid w:val="003C33FC"/>
    <w:rsid w:val="003C3443"/>
    <w:rsid w:val="003C347D"/>
    <w:rsid w:val="003C35FC"/>
    <w:rsid w:val="003C3760"/>
    <w:rsid w:val="003C38E8"/>
    <w:rsid w:val="003C3AD1"/>
    <w:rsid w:val="003C3B80"/>
    <w:rsid w:val="003C41F4"/>
    <w:rsid w:val="003C4263"/>
    <w:rsid w:val="003C431C"/>
    <w:rsid w:val="003C45F1"/>
    <w:rsid w:val="003C478B"/>
    <w:rsid w:val="003C484A"/>
    <w:rsid w:val="003C4856"/>
    <w:rsid w:val="003C4AAC"/>
    <w:rsid w:val="003C4B70"/>
    <w:rsid w:val="003C4C59"/>
    <w:rsid w:val="003C4E73"/>
    <w:rsid w:val="003C4E80"/>
    <w:rsid w:val="003C5395"/>
    <w:rsid w:val="003C54CD"/>
    <w:rsid w:val="003C55FA"/>
    <w:rsid w:val="003C5707"/>
    <w:rsid w:val="003C57C8"/>
    <w:rsid w:val="003C5B30"/>
    <w:rsid w:val="003C5B9B"/>
    <w:rsid w:val="003C5BA8"/>
    <w:rsid w:val="003C5BAD"/>
    <w:rsid w:val="003C5D77"/>
    <w:rsid w:val="003C5E1E"/>
    <w:rsid w:val="003C5E46"/>
    <w:rsid w:val="003C658F"/>
    <w:rsid w:val="003C65E1"/>
    <w:rsid w:val="003C66CD"/>
    <w:rsid w:val="003C6810"/>
    <w:rsid w:val="003C691C"/>
    <w:rsid w:val="003C6CD7"/>
    <w:rsid w:val="003C6CF6"/>
    <w:rsid w:val="003C6E19"/>
    <w:rsid w:val="003C6F71"/>
    <w:rsid w:val="003C70F8"/>
    <w:rsid w:val="003C71D5"/>
    <w:rsid w:val="003C72D6"/>
    <w:rsid w:val="003C74F2"/>
    <w:rsid w:val="003C7526"/>
    <w:rsid w:val="003C77C5"/>
    <w:rsid w:val="003C7965"/>
    <w:rsid w:val="003C7B9E"/>
    <w:rsid w:val="003C7EBC"/>
    <w:rsid w:val="003C7F45"/>
    <w:rsid w:val="003C7F98"/>
    <w:rsid w:val="003C7FDD"/>
    <w:rsid w:val="003D0100"/>
    <w:rsid w:val="003D01D1"/>
    <w:rsid w:val="003D0207"/>
    <w:rsid w:val="003D032E"/>
    <w:rsid w:val="003D0344"/>
    <w:rsid w:val="003D0511"/>
    <w:rsid w:val="003D0572"/>
    <w:rsid w:val="003D060B"/>
    <w:rsid w:val="003D08DB"/>
    <w:rsid w:val="003D08FF"/>
    <w:rsid w:val="003D0A1C"/>
    <w:rsid w:val="003D0B1B"/>
    <w:rsid w:val="003D0B91"/>
    <w:rsid w:val="003D0C31"/>
    <w:rsid w:val="003D0DF0"/>
    <w:rsid w:val="003D0E68"/>
    <w:rsid w:val="003D0FA9"/>
    <w:rsid w:val="003D13B0"/>
    <w:rsid w:val="003D1472"/>
    <w:rsid w:val="003D156B"/>
    <w:rsid w:val="003D1579"/>
    <w:rsid w:val="003D163D"/>
    <w:rsid w:val="003D166B"/>
    <w:rsid w:val="003D171D"/>
    <w:rsid w:val="003D17DA"/>
    <w:rsid w:val="003D1A71"/>
    <w:rsid w:val="003D1E1F"/>
    <w:rsid w:val="003D1F4F"/>
    <w:rsid w:val="003D1FE7"/>
    <w:rsid w:val="003D2456"/>
    <w:rsid w:val="003D24AF"/>
    <w:rsid w:val="003D2563"/>
    <w:rsid w:val="003D26E2"/>
    <w:rsid w:val="003D26E9"/>
    <w:rsid w:val="003D26F7"/>
    <w:rsid w:val="003D2734"/>
    <w:rsid w:val="003D2752"/>
    <w:rsid w:val="003D2BA4"/>
    <w:rsid w:val="003D2CC9"/>
    <w:rsid w:val="003D2CDA"/>
    <w:rsid w:val="003D2D51"/>
    <w:rsid w:val="003D2DC7"/>
    <w:rsid w:val="003D3177"/>
    <w:rsid w:val="003D31E6"/>
    <w:rsid w:val="003D33DE"/>
    <w:rsid w:val="003D3BDB"/>
    <w:rsid w:val="003D3C40"/>
    <w:rsid w:val="003D3D52"/>
    <w:rsid w:val="003D3E30"/>
    <w:rsid w:val="003D3EBA"/>
    <w:rsid w:val="003D40B0"/>
    <w:rsid w:val="003D40D8"/>
    <w:rsid w:val="003D40DA"/>
    <w:rsid w:val="003D4110"/>
    <w:rsid w:val="003D42F5"/>
    <w:rsid w:val="003D4357"/>
    <w:rsid w:val="003D44FC"/>
    <w:rsid w:val="003D453F"/>
    <w:rsid w:val="003D46E0"/>
    <w:rsid w:val="003D4772"/>
    <w:rsid w:val="003D4879"/>
    <w:rsid w:val="003D487D"/>
    <w:rsid w:val="003D49A0"/>
    <w:rsid w:val="003D4A33"/>
    <w:rsid w:val="003D4C0E"/>
    <w:rsid w:val="003D4D55"/>
    <w:rsid w:val="003D4DAD"/>
    <w:rsid w:val="003D5104"/>
    <w:rsid w:val="003D517D"/>
    <w:rsid w:val="003D5225"/>
    <w:rsid w:val="003D5274"/>
    <w:rsid w:val="003D52CD"/>
    <w:rsid w:val="003D571A"/>
    <w:rsid w:val="003D58B6"/>
    <w:rsid w:val="003D5D30"/>
    <w:rsid w:val="003D5E09"/>
    <w:rsid w:val="003D6095"/>
    <w:rsid w:val="003D6308"/>
    <w:rsid w:val="003D63EE"/>
    <w:rsid w:val="003D64EC"/>
    <w:rsid w:val="003D6812"/>
    <w:rsid w:val="003D683A"/>
    <w:rsid w:val="003D699D"/>
    <w:rsid w:val="003D69FC"/>
    <w:rsid w:val="003D6BE2"/>
    <w:rsid w:val="003D6C7E"/>
    <w:rsid w:val="003D6D49"/>
    <w:rsid w:val="003D6D72"/>
    <w:rsid w:val="003D6E78"/>
    <w:rsid w:val="003D7065"/>
    <w:rsid w:val="003D7100"/>
    <w:rsid w:val="003D7112"/>
    <w:rsid w:val="003D7170"/>
    <w:rsid w:val="003D74DA"/>
    <w:rsid w:val="003D74FD"/>
    <w:rsid w:val="003D7502"/>
    <w:rsid w:val="003D763E"/>
    <w:rsid w:val="003D773B"/>
    <w:rsid w:val="003D7772"/>
    <w:rsid w:val="003D7BAE"/>
    <w:rsid w:val="003D7C29"/>
    <w:rsid w:val="003D7E6F"/>
    <w:rsid w:val="003E0027"/>
    <w:rsid w:val="003E0165"/>
    <w:rsid w:val="003E0225"/>
    <w:rsid w:val="003E0257"/>
    <w:rsid w:val="003E0353"/>
    <w:rsid w:val="003E0520"/>
    <w:rsid w:val="003E05A8"/>
    <w:rsid w:val="003E0770"/>
    <w:rsid w:val="003E0B6D"/>
    <w:rsid w:val="003E0BE4"/>
    <w:rsid w:val="003E0D23"/>
    <w:rsid w:val="003E0E38"/>
    <w:rsid w:val="003E0E44"/>
    <w:rsid w:val="003E0EB7"/>
    <w:rsid w:val="003E0F66"/>
    <w:rsid w:val="003E10B3"/>
    <w:rsid w:val="003E12DF"/>
    <w:rsid w:val="003E1393"/>
    <w:rsid w:val="003E13CB"/>
    <w:rsid w:val="003E1500"/>
    <w:rsid w:val="003E1685"/>
    <w:rsid w:val="003E1724"/>
    <w:rsid w:val="003E186C"/>
    <w:rsid w:val="003E1904"/>
    <w:rsid w:val="003E1957"/>
    <w:rsid w:val="003E19C8"/>
    <w:rsid w:val="003E1AB9"/>
    <w:rsid w:val="003E1C1B"/>
    <w:rsid w:val="003E1C2E"/>
    <w:rsid w:val="003E1C8A"/>
    <w:rsid w:val="003E1D63"/>
    <w:rsid w:val="003E2023"/>
    <w:rsid w:val="003E204B"/>
    <w:rsid w:val="003E2388"/>
    <w:rsid w:val="003E24E7"/>
    <w:rsid w:val="003E256F"/>
    <w:rsid w:val="003E2613"/>
    <w:rsid w:val="003E2B9C"/>
    <w:rsid w:val="003E2E98"/>
    <w:rsid w:val="003E3097"/>
    <w:rsid w:val="003E31BC"/>
    <w:rsid w:val="003E3270"/>
    <w:rsid w:val="003E33B4"/>
    <w:rsid w:val="003E38E9"/>
    <w:rsid w:val="003E3929"/>
    <w:rsid w:val="003E3A7C"/>
    <w:rsid w:val="003E3C99"/>
    <w:rsid w:val="003E3F11"/>
    <w:rsid w:val="003E3F99"/>
    <w:rsid w:val="003E3FD2"/>
    <w:rsid w:val="003E4224"/>
    <w:rsid w:val="003E4346"/>
    <w:rsid w:val="003E4379"/>
    <w:rsid w:val="003E446C"/>
    <w:rsid w:val="003E44FD"/>
    <w:rsid w:val="003E4547"/>
    <w:rsid w:val="003E4611"/>
    <w:rsid w:val="003E47C2"/>
    <w:rsid w:val="003E4935"/>
    <w:rsid w:val="003E4951"/>
    <w:rsid w:val="003E4BFE"/>
    <w:rsid w:val="003E4C49"/>
    <w:rsid w:val="003E4C8A"/>
    <w:rsid w:val="003E4CBB"/>
    <w:rsid w:val="003E4E35"/>
    <w:rsid w:val="003E4F94"/>
    <w:rsid w:val="003E5092"/>
    <w:rsid w:val="003E5107"/>
    <w:rsid w:val="003E5152"/>
    <w:rsid w:val="003E54B9"/>
    <w:rsid w:val="003E55E8"/>
    <w:rsid w:val="003E584C"/>
    <w:rsid w:val="003E5A22"/>
    <w:rsid w:val="003E5BE4"/>
    <w:rsid w:val="003E5C2E"/>
    <w:rsid w:val="003E5C40"/>
    <w:rsid w:val="003E5D15"/>
    <w:rsid w:val="003E61BD"/>
    <w:rsid w:val="003E61E0"/>
    <w:rsid w:val="003E621C"/>
    <w:rsid w:val="003E6232"/>
    <w:rsid w:val="003E6275"/>
    <w:rsid w:val="003E6330"/>
    <w:rsid w:val="003E658F"/>
    <w:rsid w:val="003E66A2"/>
    <w:rsid w:val="003E6732"/>
    <w:rsid w:val="003E699A"/>
    <w:rsid w:val="003E6A72"/>
    <w:rsid w:val="003E6ACF"/>
    <w:rsid w:val="003E6BF0"/>
    <w:rsid w:val="003E6C3A"/>
    <w:rsid w:val="003E6D10"/>
    <w:rsid w:val="003E6F42"/>
    <w:rsid w:val="003E6FB9"/>
    <w:rsid w:val="003E73E0"/>
    <w:rsid w:val="003E74E5"/>
    <w:rsid w:val="003E74FD"/>
    <w:rsid w:val="003E754E"/>
    <w:rsid w:val="003E7648"/>
    <w:rsid w:val="003E779D"/>
    <w:rsid w:val="003E7890"/>
    <w:rsid w:val="003E7942"/>
    <w:rsid w:val="003E798C"/>
    <w:rsid w:val="003E7ABD"/>
    <w:rsid w:val="003E7AE1"/>
    <w:rsid w:val="003E7B85"/>
    <w:rsid w:val="003E7D29"/>
    <w:rsid w:val="003E7EBA"/>
    <w:rsid w:val="003E7FCA"/>
    <w:rsid w:val="003F0247"/>
    <w:rsid w:val="003F03C6"/>
    <w:rsid w:val="003F0640"/>
    <w:rsid w:val="003F084C"/>
    <w:rsid w:val="003F0B52"/>
    <w:rsid w:val="003F0BB0"/>
    <w:rsid w:val="003F0E04"/>
    <w:rsid w:val="003F0EA3"/>
    <w:rsid w:val="003F0FBC"/>
    <w:rsid w:val="003F11B0"/>
    <w:rsid w:val="003F122C"/>
    <w:rsid w:val="003F12B7"/>
    <w:rsid w:val="003F1313"/>
    <w:rsid w:val="003F15B3"/>
    <w:rsid w:val="003F166E"/>
    <w:rsid w:val="003F16E8"/>
    <w:rsid w:val="003F1790"/>
    <w:rsid w:val="003F17E3"/>
    <w:rsid w:val="003F1875"/>
    <w:rsid w:val="003F1914"/>
    <w:rsid w:val="003F1D4D"/>
    <w:rsid w:val="003F2001"/>
    <w:rsid w:val="003F20A1"/>
    <w:rsid w:val="003F214B"/>
    <w:rsid w:val="003F2357"/>
    <w:rsid w:val="003F2426"/>
    <w:rsid w:val="003F2470"/>
    <w:rsid w:val="003F26BB"/>
    <w:rsid w:val="003F2B59"/>
    <w:rsid w:val="003F2BCF"/>
    <w:rsid w:val="003F2D9F"/>
    <w:rsid w:val="003F2DA7"/>
    <w:rsid w:val="003F2E37"/>
    <w:rsid w:val="003F2E87"/>
    <w:rsid w:val="003F2F5A"/>
    <w:rsid w:val="003F2F6C"/>
    <w:rsid w:val="003F3023"/>
    <w:rsid w:val="003F309A"/>
    <w:rsid w:val="003F3598"/>
    <w:rsid w:val="003F3655"/>
    <w:rsid w:val="003F36CD"/>
    <w:rsid w:val="003F36D0"/>
    <w:rsid w:val="003F3971"/>
    <w:rsid w:val="003F3C7B"/>
    <w:rsid w:val="003F3E16"/>
    <w:rsid w:val="003F407A"/>
    <w:rsid w:val="003F43EA"/>
    <w:rsid w:val="003F475F"/>
    <w:rsid w:val="003F47AF"/>
    <w:rsid w:val="003F4C0E"/>
    <w:rsid w:val="003F4F06"/>
    <w:rsid w:val="003F5442"/>
    <w:rsid w:val="003F5456"/>
    <w:rsid w:val="003F5465"/>
    <w:rsid w:val="003F55B9"/>
    <w:rsid w:val="003F56A9"/>
    <w:rsid w:val="003F5A8D"/>
    <w:rsid w:val="003F5ABD"/>
    <w:rsid w:val="003F5BD1"/>
    <w:rsid w:val="003F5CCA"/>
    <w:rsid w:val="003F5D8C"/>
    <w:rsid w:val="003F62A5"/>
    <w:rsid w:val="003F6455"/>
    <w:rsid w:val="003F6456"/>
    <w:rsid w:val="003F64A7"/>
    <w:rsid w:val="003F66DB"/>
    <w:rsid w:val="003F68A1"/>
    <w:rsid w:val="003F68C6"/>
    <w:rsid w:val="003F6C13"/>
    <w:rsid w:val="003F6D5B"/>
    <w:rsid w:val="003F6FBE"/>
    <w:rsid w:val="003F7031"/>
    <w:rsid w:val="003F71BD"/>
    <w:rsid w:val="003F7479"/>
    <w:rsid w:val="003F7552"/>
    <w:rsid w:val="003F755E"/>
    <w:rsid w:val="003F770D"/>
    <w:rsid w:val="003F7999"/>
    <w:rsid w:val="003F7A4B"/>
    <w:rsid w:val="003F7A74"/>
    <w:rsid w:val="003F7AFE"/>
    <w:rsid w:val="003F7B18"/>
    <w:rsid w:val="003F7C82"/>
    <w:rsid w:val="003F7D11"/>
    <w:rsid w:val="003F7F26"/>
    <w:rsid w:val="00400255"/>
    <w:rsid w:val="004002BC"/>
    <w:rsid w:val="004002EC"/>
    <w:rsid w:val="00400305"/>
    <w:rsid w:val="00400366"/>
    <w:rsid w:val="0040044D"/>
    <w:rsid w:val="00400587"/>
    <w:rsid w:val="00400644"/>
    <w:rsid w:val="004006C3"/>
    <w:rsid w:val="00400782"/>
    <w:rsid w:val="004007F8"/>
    <w:rsid w:val="00400A3B"/>
    <w:rsid w:val="00400F1D"/>
    <w:rsid w:val="00401056"/>
    <w:rsid w:val="004010F6"/>
    <w:rsid w:val="00401289"/>
    <w:rsid w:val="0040149D"/>
    <w:rsid w:val="00401546"/>
    <w:rsid w:val="0040160A"/>
    <w:rsid w:val="00401648"/>
    <w:rsid w:val="00401723"/>
    <w:rsid w:val="004017CD"/>
    <w:rsid w:val="00401AF5"/>
    <w:rsid w:val="00401F9D"/>
    <w:rsid w:val="004020BD"/>
    <w:rsid w:val="004023C6"/>
    <w:rsid w:val="004026A2"/>
    <w:rsid w:val="0040295A"/>
    <w:rsid w:val="00402C32"/>
    <w:rsid w:val="00402D3D"/>
    <w:rsid w:val="00402E72"/>
    <w:rsid w:val="0040303E"/>
    <w:rsid w:val="00403104"/>
    <w:rsid w:val="004031B3"/>
    <w:rsid w:val="00403444"/>
    <w:rsid w:val="004034EF"/>
    <w:rsid w:val="00403816"/>
    <w:rsid w:val="00403B09"/>
    <w:rsid w:val="00403BF8"/>
    <w:rsid w:val="00403D77"/>
    <w:rsid w:val="00403E93"/>
    <w:rsid w:val="00404248"/>
    <w:rsid w:val="004042A6"/>
    <w:rsid w:val="00404345"/>
    <w:rsid w:val="00404563"/>
    <w:rsid w:val="0040457C"/>
    <w:rsid w:val="004045F1"/>
    <w:rsid w:val="00404683"/>
    <w:rsid w:val="004046F4"/>
    <w:rsid w:val="00404794"/>
    <w:rsid w:val="004047F8"/>
    <w:rsid w:val="004049D3"/>
    <w:rsid w:val="00404A05"/>
    <w:rsid w:val="00404A8F"/>
    <w:rsid w:val="00404CDD"/>
    <w:rsid w:val="00404D37"/>
    <w:rsid w:val="00404D8C"/>
    <w:rsid w:val="00404D95"/>
    <w:rsid w:val="00404EEC"/>
    <w:rsid w:val="00405122"/>
    <w:rsid w:val="00405225"/>
    <w:rsid w:val="0040545F"/>
    <w:rsid w:val="004055F3"/>
    <w:rsid w:val="0040578F"/>
    <w:rsid w:val="00405935"/>
    <w:rsid w:val="00405A2D"/>
    <w:rsid w:val="00405A84"/>
    <w:rsid w:val="00405B18"/>
    <w:rsid w:val="00405B9E"/>
    <w:rsid w:val="00405C90"/>
    <w:rsid w:val="00405E5D"/>
    <w:rsid w:val="00406157"/>
    <w:rsid w:val="00406378"/>
    <w:rsid w:val="00406445"/>
    <w:rsid w:val="00406554"/>
    <w:rsid w:val="00406560"/>
    <w:rsid w:val="0040659E"/>
    <w:rsid w:val="004065A9"/>
    <w:rsid w:val="00406681"/>
    <w:rsid w:val="004068E2"/>
    <w:rsid w:val="00406ACC"/>
    <w:rsid w:val="00406C72"/>
    <w:rsid w:val="00406CE0"/>
    <w:rsid w:val="00406E5E"/>
    <w:rsid w:val="00406F31"/>
    <w:rsid w:val="00406FE7"/>
    <w:rsid w:val="00407020"/>
    <w:rsid w:val="00407190"/>
    <w:rsid w:val="0040720F"/>
    <w:rsid w:val="00407345"/>
    <w:rsid w:val="0040738D"/>
    <w:rsid w:val="00407847"/>
    <w:rsid w:val="00407887"/>
    <w:rsid w:val="0040799C"/>
    <w:rsid w:val="00407A60"/>
    <w:rsid w:val="00407D96"/>
    <w:rsid w:val="00407ED3"/>
    <w:rsid w:val="00407F19"/>
    <w:rsid w:val="00410113"/>
    <w:rsid w:val="00410547"/>
    <w:rsid w:val="004108AF"/>
    <w:rsid w:val="00410A0B"/>
    <w:rsid w:val="00410B74"/>
    <w:rsid w:val="00410BBB"/>
    <w:rsid w:val="00410CC6"/>
    <w:rsid w:val="00410F12"/>
    <w:rsid w:val="00411053"/>
    <w:rsid w:val="004111AD"/>
    <w:rsid w:val="0041148E"/>
    <w:rsid w:val="004114CB"/>
    <w:rsid w:val="004114DC"/>
    <w:rsid w:val="004115F4"/>
    <w:rsid w:val="004116DC"/>
    <w:rsid w:val="00411816"/>
    <w:rsid w:val="0041186B"/>
    <w:rsid w:val="00411B85"/>
    <w:rsid w:val="00411CAD"/>
    <w:rsid w:val="00411CB7"/>
    <w:rsid w:val="00412162"/>
    <w:rsid w:val="00412428"/>
    <w:rsid w:val="0041249D"/>
    <w:rsid w:val="00412938"/>
    <w:rsid w:val="00412AF1"/>
    <w:rsid w:val="00412B10"/>
    <w:rsid w:val="00412B45"/>
    <w:rsid w:val="00412BAC"/>
    <w:rsid w:val="00412C60"/>
    <w:rsid w:val="00412C83"/>
    <w:rsid w:val="00412CBA"/>
    <w:rsid w:val="00412CCA"/>
    <w:rsid w:val="00412CD7"/>
    <w:rsid w:val="00412D52"/>
    <w:rsid w:val="0041315B"/>
    <w:rsid w:val="004131AA"/>
    <w:rsid w:val="0041321D"/>
    <w:rsid w:val="00413449"/>
    <w:rsid w:val="0041354B"/>
    <w:rsid w:val="004135BA"/>
    <w:rsid w:val="00413642"/>
    <w:rsid w:val="00413BAA"/>
    <w:rsid w:val="00413C4E"/>
    <w:rsid w:val="00413D0A"/>
    <w:rsid w:val="00413D11"/>
    <w:rsid w:val="00413DD1"/>
    <w:rsid w:val="00414210"/>
    <w:rsid w:val="00414277"/>
    <w:rsid w:val="00414315"/>
    <w:rsid w:val="00414669"/>
    <w:rsid w:val="00414688"/>
    <w:rsid w:val="004146AE"/>
    <w:rsid w:val="004147C0"/>
    <w:rsid w:val="00414870"/>
    <w:rsid w:val="00414BFB"/>
    <w:rsid w:val="00414C0C"/>
    <w:rsid w:val="004150FB"/>
    <w:rsid w:val="0041526C"/>
    <w:rsid w:val="00415645"/>
    <w:rsid w:val="004156FC"/>
    <w:rsid w:val="0041599D"/>
    <w:rsid w:val="00415AC8"/>
    <w:rsid w:val="00415BAC"/>
    <w:rsid w:val="00415CA4"/>
    <w:rsid w:val="00415E75"/>
    <w:rsid w:val="00416255"/>
    <w:rsid w:val="004162AA"/>
    <w:rsid w:val="004164A8"/>
    <w:rsid w:val="004164CB"/>
    <w:rsid w:val="004166D8"/>
    <w:rsid w:val="00416722"/>
    <w:rsid w:val="00416789"/>
    <w:rsid w:val="00416864"/>
    <w:rsid w:val="00416979"/>
    <w:rsid w:val="00416AB6"/>
    <w:rsid w:val="00416BC1"/>
    <w:rsid w:val="00416BC5"/>
    <w:rsid w:val="00416C42"/>
    <w:rsid w:val="00416D6C"/>
    <w:rsid w:val="00416DA0"/>
    <w:rsid w:val="0041714A"/>
    <w:rsid w:val="0041738D"/>
    <w:rsid w:val="004174DB"/>
    <w:rsid w:val="00417533"/>
    <w:rsid w:val="00417751"/>
    <w:rsid w:val="004177C4"/>
    <w:rsid w:val="00417A4E"/>
    <w:rsid w:val="00417D1D"/>
    <w:rsid w:val="00417DBB"/>
    <w:rsid w:val="004200A9"/>
    <w:rsid w:val="00420191"/>
    <w:rsid w:val="00420237"/>
    <w:rsid w:val="00420327"/>
    <w:rsid w:val="00420421"/>
    <w:rsid w:val="00420431"/>
    <w:rsid w:val="004205A3"/>
    <w:rsid w:val="004205B9"/>
    <w:rsid w:val="00420892"/>
    <w:rsid w:val="004208E5"/>
    <w:rsid w:val="004209B4"/>
    <w:rsid w:val="00420ADF"/>
    <w:rsid w:val="00420BF7"/>
    <w:rsid w:val="00420F5B"/>
    <w:rsid w:val="00420F69"/>
    <w:rsid w:val="00421079"/>
    <w:rsid w:val="004215D6"/>
    <w:rsid w:val="00421719"/>
    <w:rsid w:val="00421779"/>
    <w:rsid w:val="00421788"/>
    <w:rsid w:val="0042194E"/>
    <w:rsid w:val="00421AF9"/>
    <w:rsid w:val="00421DA6"/>
    <w:rsid w:val="00421FAD"/>
    <w:rsid w:val="00422050"/>
    <w:rsid w:val="004220BB"/>
    <w:rsid w:val="0042215D"/>
    <w:rsid w:val="004223DC"/>
    <w:rsid w:val="004224BD"/>
    <w:rsid w:val="004226AC"/>
    <w:rsid w:val="00422A61"/>
    <w:rsid w:val="00422CAE"/>
    <w:rsid w:val="00422F32"/>
    <w:rsid w:val="0042313F"/>
    <w:rsid w:val="0042314A"/>
    <w:rsid w:val="00423228"/>
    <w:rsid w:val="00423355"/>
    <w:rsid w:val="0042345E"/>
    <w:rsid w:val="0042352B"/>
    <w:rsid w:val="00423571"/>
    <w:rsid w:val="004235D4"/>
    <w:rsid w:val="00423695"/>
    <w:rsid w:val="004236D6"/>
    <w:rsid w:val="0042373C"/>
    <w:rsid w:val="004239CB"/>
    <w:rsid w:val="00423AC3"/>
    <w:rsid w:val="00423ED6"/>
    <w:rsid w:val="004240C8"/>
    <w:rsid w:val="00424686"/>
    <w:rsid w:val="00424B8E"/>
    <w:rsid w:val="00424BBA"/>
    <w:rsid w:val="00424BF6"/>
    <w:rsid w:val="00424D75"/>
    <w:rsid w:val="00424E6D"/>
    <w:rsid w:val="00425100"/>
    <w:rsid w:val="00425159"/>
    <w:rsid w:val="00425374"/>
    <w:rsid w:val="004256E1"/>
    <w:rsid w:val="0042575D"/>
    <w:rsid w:val="0042578E"/>
    <w:rsid w:val="004257A8"/>
    <w:rsid w:val="004257BF"/>
    <w:rsid w:val="004257FB"/>
    <w:rsid w:val="004258EE"/>
    <w:rsid w:val="00425A06"/>
    <w:rsid w:val="00425A11"/>
    <w:rsid w:val="00425F45"/>
    <w:rsid w:val="00425F5E"/>
    <w:rsid w:val="0042608E"/>
    <w:rsid w:val="00426113"/>
    <w:rsid w:val="00426144"/>
    <w:rsid w:val="004262E9"/>
    <w:rsid w:val="004262FE"/>
    <w:rsid w:val="00426319"/>
    <w:rsid w:val="00426380"/>
    <w:rsid w:val="0042640A"/>
    <w:rsid w:val="0042645C"/>
    <w:rsid w:val="004264F2"/>
    <w:rsid w:val="0042656B"/>
    <w:rsid w:val="0042690C"/>
    <w:rsid w:val="00426976"/>
    <w:rsid w:val="00426ACC"/>
    <w:rsid w:val="00426C06"/>
    <w:rsid w:val="00426C3A"/>
    <w:rsid w:val="00426CB6"/>
    <w:rsid w:val="00426D45"/>
    <w:rsid w:val="00426E26"/>
    <w:rsid w:val="00426E8E"/>
    <w:rsid w:val="00426FEE"/>
    <w:rsid w:val="004270EA"/>
    <w:rsid w:val="00427290"/>
    <w:rsid w:val="004273C8"/>
    <w:rsid w:val="0042742E"/>
    <w:rsid w:val="004274EA"/>
    <w:rsid w:val="00427553"/>
    <w:rsid w:val="00427AFF"/>
    <w:rsid w:val="00427B7F"/>
    <w:rsid w:val="00427CE7"/>
    <w:rsid w:val="00427E60"/>
    <w:rsid w:val="00427FB5"/>
    <w:rsid w:val="004300F6"/>
    <w:rsid w:val="00430168"/>
    <w:rsid w:val="004301D9"/>
    <w:rsid w:val="004307B4"/>
    <w:rsid w:val="00430A5D"/>
    <w:rsid w:val="00430A88"/>
    <w:rsid w:val="00430CD9"/>
    <w:rsid w:val="00430D06"/>
    <w:rsid w:val="00430E96"/>
    <w:rsid w:val="004310CF"/>
    <w:rsid w:val="00431199"/>
    <w:rsid w:val="004311F4"/>
    <w:rsid w:val="0043123A"/>
    <w:rsid w:val="00431511"/>
    <w:rsid w:val="0043161D"/>
    <w:rsid w:val="004316C0"/>
    <w:rsid w:val="004317BF"/>
    <w:rsid w:val="0043197A"/>
    <w:rsid w:val="00431BAC"/>
    <w:rsid w:val="00431DFC"/>
    <w:rsid w:val="00431F2D"/>
    <w:rsid w:val="00431F59"/>
    <w:rsid w:val="00431F85"/>
    <w:rsid w:val="004321BA"/>
    <w:rsid w:val="004327D2"/>
    <w:rsid w:val="00432BBD"/>
    <w:rsid w:val="00432BC1"/>
    <w:rsid w:val="0043308A"/>
    <w:rsid w:val="004333E3"/>
    <w:rsid w:val="0043353F"/>
    <w:rsid w:val="004338F7"/>
    <w:rsid w:val="00433BA5"/>
    <w:rsid w:val="00433DB8"/>
    <w:rsid w:val="00433F39"/>
    <w:rsid w:val="00434073"/>
    <w:rsid w:val="004340FC"/>
    <w:rsid w:val="0043418B"/>
    <w:rsid w:val="0043458B"/>
    <w:rsid w:val="004346B8"/>
    <w:rsid w:val="0043499E"/>
    <w:rsid w:val="00434ACA"/>
    <w:rsid w:val="00434E28"/>
    <w:rsid w:val="0043500C"/>
    <w:rsid w:val="004352C7"/>
    <w:rsid w:val="004352D3"/>
    <w:rsid w:val="0043548F"/>
    <w:rsid w:val="004354E4"/>
    <w:rsid w:val="00435531"/>
    <w:rsid w:val="004356D6"/>
    <w:rsid w:val="004356E4"/>
    <w:rsid w:val="00435987"/>
    <w:rsid w:val="004359E0"/>
    <w:rsid w:val="00435A95"/>
    <w:rsid w:val="00435BD3"/>
    <w:rsid w:val="00435DD3"/>
    <w:rsid w:val="00435EFE"/>
    <w:rsid w:val="00435FA9"/>
    <w:rsid w:val="004360CB"/>
    <w:rsid w:val="0043619C"/>
    <w:rsid w:val="0043637E"/>
    <w:rsid w:val="004365A8"/>
    <w:rsid w:val="004368BE"/>
    <w:rsid w:val="00436AB5"/>
    <w:rsid w:val="00436C94"/>
    <w:rsid w:val="00436DE4"/>
    <w:rsid w:val="00436E17"/>
    <w:rsid w:val="00436F3C"/>
    <w:rsid w:val="004371E9"/>
    <w:rsid w:val="00437271"/>
    <w:rsid w:val="004373F8"/>
    <w:rsid w:val="00437408"/>
    <w:rsid w:val="00437541"/>
    <w:rsid w:val="004375F0"/>
    <w:rsid w:val="00437646"/>
    <w:rsid w:val="0043766F"/>
    <w:rsid w:val="004376C2"/>
    <w:rsid w:val="004376D8"/>
    <w:rsid w:val="00437731"/>
    <w:rsid w:val="0043783F"/>
    <w:rsid w:val="00437A5C"/>
    <w:rsid w:val="00437B42"/>
    <w:rsid w:val="00437B4B"/>
    <w:rsid w:val="00437C8C"/>
    <w:rsid w:val="00437D9A"/>
    <w:rsid w:val="00437DCC"/>
    <w:rsid w:val="00437F0A"/>
    <w:rsid w:val="00437F50"/>
    <w:rsid w:val="00437F6A"/>
    <w:rsid w:val="00440094"/>
    <w:rsid w:val="0044009F"/>
    <w:rsid w:val="004400FA"/>
    <w:rsid w:val="00440244"/>
    <w:rsid w:val="0044026F"/>
    <w:rsid w:val="00440371"/>
    <w:rsid w:val="0044046B"/>
    <w:rsid w:val="004405FD"/>
    <w:rsid w:val="00440613"/>
    <w:rsid w:val="00440704"/>
    <w:rsid w:val="00440750"/>
    <w:rsid w:val="0044096A"/>
    <w:rsid w:val="004409ED"/>
    <w:rsid w:val="00440A9E"/>
    <w:rsid w:val="00440AE8"/>
    <w:rsid w:val="00440B4A"/>
    <w:rsid w:val="00440D80"/>
    <w:rsid w:val="0044127E"/>
    <w:rsid w:val="00441369"/>
    <w:rsid w:val="004413C6"/>
    <w:rsid w:val="004414E1"/>
    <w:rsid w:val="00441611"/>
    <w:rsid w:val="0044162C"/>
    <w:rsid w:val="004416B7"/>
    <w:rsid w:val="00441783"/>
    <w:rsid w:val="0044193D"/>
    <w:rsid w:val="00441967"/>
    <w:rsid w:val="00441A64"/>
    <w:rsid w:val="00441A84"/>
    <w:rsid w:val="00441ADB"/>
    <w:rsid w:val="00441BD8"/>
    <w:rsid w:val="00441BE9"/>
    <w:rsid w:val="00441CDE"/>
    <w:rsid w:val="00441DCE"/>
    <w:rsid w:val="00441E94"/>
    <w:rsid w:val="0044201E"/>
    <w:rsid w:val="00442029"/>
    <w:rsid w:val="004420B7"/>
    <w:rsid w:val="004421D6"/>
    <w:rsid w:val="00442267"/>
    <w:rsid w:val="004427AF"/>
    <w:rsid w:val="004427B4"/>
    <w:rsid w:val="004428CD"/>
    <w:rsid w:val="0044298D"/>
    <w:rsid w:val="004429A8"/>
    <w:rsid w:val="004429E8"/>
    <w:rsid w:val="00442C2A"/>
    <w:rsid w:val="00442C49"/>
    <w:rsid w:val="00442E5C"/>
    <w:rsid w:val="00442FD2"/>
    <w:rsid w:val="004430B4"/>
    <w:rsid w:val="00443256"/>
    <w:rsid w:val="00443282"/>
    <w:rsid w:val="004432C2"/>
    <w:rsid w:val="00443406"/>
    <w:rsid w:val="0044344B"/>
    <w:rsid w:val="00443465"/>
    <w:rsid w:val="0044348F"/>
    <w:rsid w:val="00443630"/>
    <w:rsid w:val="004436CE"/>
    <w:rsid w:val="0044377D"/>
    <w:rsid w:val="0044383F"/>
    <w:rsid w:val="0044392F"/>
    <w:rsid w:val="00443B2A"/>
    <w:rsid w:val="00443BB2"/>
    <w:rsid w:val="00443BD3"/>
    <w:rsid w:val="00444005"/>
    <w:rsid w:val="0044409F"/>
    <w:rsid w:val="004446AB"/>
    <w:rsid w:val="004447B3"/>
    <w:rsid w:val="00444CCC"/>
    <w:rsid w:val="00444D57"/>
    <w:rsid w:val="00444DDA"/>
    <w:rsid w:val="00444E6E"/>
    <w:rsid w:val="00445090"/>
    <w:rsid w:val="004453AA"/>
    <w:rsid w:val="0044543B"/>
    <w:rsid w:val="00445465"/>
    <w:rsid w:val="0044547D"/>
    <w:rsid w:val="004455B0"/>
    <w:rsid w:val="00445909"/>
    <w:rsid w:val="00445952"/>
    <w:rsid w:val="00445A57"/>
    <w:rsid w:val="00445B4E"/>
    <w:rsid w:val="00445CBA"/>
    <w:rsid w:val="00445EA2"/>
    <w:rsid w:val="00445FA2"/>
    <w:rsid w:val="0044601B"/>
    <w:rsid w:val="0044621E"/>
    <w:rsid w:val="00446268"/>
    <w:rsid w:val="004462DC"/>
    <w:rsid w:val="004462E1"/>
    <w:rsid w:val="004462E3"/>
    <w:rsid w:val="00446305"/>
    <w:rsid w:val="0044645F"/>
    <w:rsid w:val="004464BE"/>
    <w:rsid w:val="004464E2"/>
    <w:rsid w:val="0044673C"/>
    <w:rsid w:val="004467AE"/>
    <w:rsid w:val="004468F1"/>
    <w:rsid w:val="00446AB3"/>
    <w:rsid w:val="00446B55"/>
    <w:rsid w:val="00446C8E"/>
    <w:rsid w:val="00446DD6"/>
    <w:rsid w:val="00446E32"/>
    <w:rsid w:val="00446E8E"/>
    <w:rsid w:val="00446F07"/>
    <w:rsid w:val="004471A7"/>
    <w:rsid w:val="0044733F"/>
    <w:rsid w:val="004475B3"/>
    <w:rsid w:val="004476C7"/>
    <w:rsid w:val="004476FC"/>
    <w:rsid w:val="004478BA"/>
    <w:rsid w:val="00447970"/>
    <w:rsid w:val="00447971"/>
    <w:rsid w:val="004479A0"/>
    <w:rsid w:val="00447A42"/>
    <w:rsid w:val="00447BAE"/>
    <w:rsid w:val="00447D6F"/>
    <w:rsid w:val="00447EC2"/>
    <w:rsid w:val="00447F41"/>
    <w:rsid w:val="0045000A"/>
    <w:rsid w:val="0045000B"/>
    <w:rsid w:val="0045006D"/>
    <w:rsid w:val="004501EB"/>
    <w:rsid w:val="0045039D"/>
    <w:rsid w:val="004503BC"/>
    <w:rsid w:val="0045050B"/>
    <w:rsid w:val="0045051F"/>
    <w:rsid w:val="004507F6"/>
    <w:rsid w:val="00450894"/>
    <w:rsid w:val="00450A6F"/>
    <w:rsid w:val="00450D2F"/>
    <w:rsid w:val="00450D9A"/>
    <w:rsid w:val="00450F0A"/>
    <w:rsid w:val="00450F39"/>
    <w:rsid w:val="0045102D"/>
    <w:rsid w:val="004510F6"/>
    <w:rsid w:val="004511D9"/>
    <w:rsid w:val="0045150E"/>
    <w:rsid w:val="00451529"/>
    <w:rsid w:val="004515C3"/>
    <w:rsid w:val="00451626"/>
    <w:rsid w:val="0045179F"/>
    <w:rsid w:val="00451B93"/>
    <w:rsid w:val="00451BEC"/>
    <w:rsid w:val="00451C84"/>
    <w:rsid w:val="00451CB3"/>
    <w:rsid w:val="00451D16"/>
    <w:rsid w:val="00451D6B"/>
    <w:rsid w:val="00451DF8"/>
    <w:rsid w:val="00451F38"/>
    <w:rsid w:val="00451FB8"/>
    <w:rsid w:val="00451FCB"/>
    <w:rsid w:val="004521F7"/>
    <w:rsid w:val="00452206"/>
    <w:rsid w:val="00452386"/>
    <w:rsid w:val="004523D7"/>
    <w:rsid w:val="004524E0"/>
    <w:rsid w:val="00452571"/>
    <w:rsid w:val="004526C2"/>
    <w:rsid w:val="00452888"/>
    <w:rsid w:val="0045291B"/>
    <w:rsid w:val="00452D3B"/>
    <w:rsid w:val="00453024"/>
    <w:rsid w:val="004531B2"/>
    <w:rsid w:val="00453288"/>
    <w:rsid w:val="004532E9"/>
    <w:rsid w:val="0045338D"/>
    <w:rsid w:val="004534B5"/>
    <w:rsid w:val="00453638"/>
    <w:rsid w:val="00453676"/>
    <w:rsid w:val="00453C31"/>
    <w:rsid w:val="00453D01"/>
    <w:rsid w:val="00453D95"/>
    <w:rsid w:val="00453DC4"/>
    <w:rsid w:val="00453E21"/>
    <w:rsid w:val="00453E81"/>
    <w:rsid w:val="00454203"/>
    <w:rsid w:val="00454308"/>
    <w:rsid w:val="00454362"/>
    <w:rsid w:val="004543CE"/>
    <w:rsid w:val="0045451C"/>
    <w:rsid w:val="00454569"/>
    <w:rsid w:val="00454620"/>
    <w:rsid w:val="00454669"/>
    <w:rsid w:val="00454884"/>
    <w:rsid w:val="00454A07"/>
    <w:rsid w:val="00454A8D"/>
    <w:rsid w:val="00454CB6"/>
    <w:rsid w:val="00454E89"/>
    <w:rsid w:val="00454EFB"/>
    <w:rsid w:val="00454F4D"/>
    <w:rsid w:val="00454F88"/>
    <w:rsid w:val="0045501A"/>
    <w:rsid w:val="0045508E"/>
    <w:rsid w:val="004550BB"/>
    <w:rsid w:val="004552B9"/>
    <w:rsid w:val="0045552D"/>
    <w:rsid w:val="004557E2"/>
    <w:rsid w:val="00455947"/>
    <w:rsid w:val="00455979"/>
    <w:rsid w:val="00455A02"/>
    <w:rsid w:val="00455AB5"/>
    <w:rsid w:val="00455D0D"/>
    <w:rsid w:val="00455ED0"/>
    <w:rsid w:val="00456257"/>
    <w:rsid w:val="0045627C"/>
    <w:rsid w:val="004562FA"/>
    <w:rsid w:val="00456507"/>
    <w:rsid w:val="0045662C"/>
    <w:rsid w:val="0045662F"/>
    <w:rsid w:val="00456777"/>
    <w:rsid w:val="00456924"/>
    <w:rsid w:val="00456981"/>
    <w:rsid w:val="004569A5"/>
    <w:rsid w:val="004569FC"/>
    <w:rsid w:val="00456BA4"/>
    <w:rsid w:val="00456BB2"/>
    <w:rsid w:val="00456CE4"/>
    <w:rsid w:val="00456D71"/>
    <w:rsid w:val="00456D9E"/>
    <w:rsid w:val="00456E84"/>
    <w:rsid w:val="00457147"/>
    <w:rsid w:val="00457644"/>
    <w:rsid w:val="00457B91"/>
    <w:rsid w:val="00457F11"/>
    <w:rsid w:val="00460014"/>
    <w:rsid w:val="00460228"/>
    <w:rsid w:val="00460274"/>
    <w:rsid w:val="00460294"/>
    <w:rsid w:val="00460348"/>
    <w:rsid w:val="00460569"/>
    <w:rsid w:val="0046068A"/>
    <w:rsid w:val="00460828"/>
    <w:rsid w:val="0046087F"/>
    <w:rsid w:val="0046093B"/>
    <w:rsid w:val="00460A5F"/>
    <w:rsid w:val="0046110D"/>
    <w:rsid w:val="0046120E"/>
    <w:rsid w:val="0046136F"/>
    <w:rsid w:val="0046137D"/>
    <w:rsid w:val="00461413"/>
    <w:rsid w:val="004616F0"/>
    <w:rsid w:val="00461714"/>
    <w:rsid w:val="00461784"/>
    <w:rsid w:val="004617ED"/>
    <w:rsid w:val="00461BA9"/>
    <w:rsid w:val="00461C7A"/>
    <w:rsid w:val="00461C96"/>
    <w:rsid w:val="00461F93"/>
    <w:rsid w:val="00462142"/>
    <w:rsid w:val="00462286"/>
    <w:rsid w:val="004622EA"/>
    <w:rsid w:val="004624DA"/>
    <w:rsid w:val="004628F8"/>
    <w:rsid w:val="004629F5"/>
    <w:rsid w:val="00462A0C"/>
    <w:rsid w:val="00462C6A"/>
    <w:rsid w:val="004630BB"/>
    <w:rsid w:val="00463478"/>
    <w:rsid w:val="004634BE"/>
    <w:rsid w:val="0046352C"/>
    <w:rsid w:val="00463674"/>
    <w:rsid w:val="004636A1"/>
    <w:rsid w:val="00463AB4"/>
    <w:rsid w:val="00463B07"/>
    <w:rsid w:val="00463BF8"/>
    <w:rsid w:val="00463CB8"/>
    <w:rsid w:val="00463E63"/>
    <w:rsid w:val="0046404B"/>
    <w:rsid w:val="0046418F"/>
    <w:rsid w:val="004641DE"/>
    <w:rsid w:val="0046425E"/>
    <w:rsid w:val="004645B1"/>
    <w:rsid w:val="004645FC"/>
    <w:rsid w:val="004646BF"/>
    <w:rsid w:val="004647CD"/>
    <w:rsid w:val="00464824"/>
    <w:rsid w:val="00464857"/>
    <w:rsid w:val="004648A1"/>
    <w:rsid w:val="00464931"/>
    <w:rsid w:val="00464B47"/>
    <w:rsid w:val="00464E24"/>
    <w:rsid w:val="0046500C"/>
    <w:rsid w:val="0046505B"/>
    <w:rsid w:val="00465118"/>
    <w:rsid w:val="004651B6"/>
    <w:rsid w:val="004651EB"/>
    <w:rsid w:val="00465363"/>
    <w:rsid w:val="004653E1"/>
    <w:rsid w:val="004659B1"/>
    <w:rsid w:val="00465A0F"/>
    <w:rsid w:val="00465B7B"/>
    <w:rsid w:val="00465CD7"/>
    <w:rsid w:val="00465CF3"/>
    <w:rsid w:val="00465D4F"/>
    <w:rsid w:val="00465E32"/>
    <w:rsid w:val="0046612C"/>
    <w:rsid w:val="00466173"/>
    <w:rsid w:val="00466294"/>
    <w:rsid w:val="004664D3"/>
    <w:rsid w:val="00466504"/>
    <w:rsid w:val="00466700"/>
    <w:rsid w:val="00466A5D"/>
    <w:rsid w:val="00466B68"/>
    <w:rsid w:val="00466C04"/>
    <w:rsid w:val="00466D5C"/>
    <w:rsid w:val="00466DB2"/>
    <w:rsid w:val="0046707A"/>
    <w:rsid w:val="0046714E"/>
    <w:rsid w:val="00467268"/>
    <w:rsid w:val="004674FC"/>
    <w:rsid w:val="00467658"/>
    <w:rsid w:val="0046774D"/>
    <w:rsid w:val="0046779C"/>
    <w:rsid w:val="00467E18"/>
    <w:rsid w:val="00467F19"/>
    <w:rsid w:val="00467FDF"/>
    <w:rsid w:val="00470046"/>
    <w:rsid w:val="004701D7"/>
    <w:rsid w:val="00470370"/>
    <w:rsid w:val="00470377"/>
    <w:rsid w:val="004705E8"/>
    <w:rsid w:val="00470952"/>
    <w:rsid w:val="00470953"/>
    <w:rsid w:val="004709C0"/>
    <w:rsid w:val="004709C8"/>
    <w:rsid w:val="00470B03"/>
    <w:rsid w:val="00470B09"/>
    <w:rsid w:val="00470CF8"/>
    <w:rsid w:val="00470F72"/>
    <w:rsid w:val="0047110F"/>
    <w:rsid w:val="004711A1"/>
    <w:rsid w:val="0047129A"/>
    <w:rsid w:val="0047134E"/>
    <w:rsid w:val="0047169F"/>
    <w:rsid w:val="00471794"/>
    <w:rsid w:val="00471B94"/>
    <w:rsid w:val="00471C96"/>
    <w:rsid w:val="00471CE1"/>
    <w:rsid w:val="00471DFE"/>
    <w:rsid w:val="00471EB8"/>
    <w:rsid w:val="00472145"/>
    <w:rsid w:val="004721CE"/>
    <w:rsid w:val="004722CC"/>
    <w:rsid w:val="00472357"/>
    <w:rsid w:val="004723EF"/>
    <w:rsid w:val="004725F0"/>
    <w:rsid w:val="00472656"/>
    <w:rsid w:val="004726FA"/>
    <w:rsid w:val="004729F4"/>
    <w:rsid w:val="00472A11"/>
    <w:rsid w:val="00472BCF"/>
    <w:rsid w:val="00472C13"/>
    <w:rsid w:val="00472F85"/>
    <w:rsid w:val="00472FFC"/>
    <w:rsid w:val="00473015"/>
    <w:rsid w:val="0047343D"/>
    <w:rsid w:val="004735EA"/>
    <w:rsid w:val="00473654"/>
    <w:rsid w:val="00473859"/>
    <w:rsid w:val="0047386C"/>
    <w:rsid w:val="00473962"/>
    <w:rsid w:val="00473D6F"/>
    <w:rsid w:val="00473E4B"/>
    <w:rsid w:val="00473E9E"/>
    <w:rsid w:val="004740C2"/>
    <w:rsid w:val="00474210"/>
    <w:rsid w:val="004743DC"/>
    <w:rsid w:val="004746E4"/>
    <w:rsid w:val="0047474F"/>
    <w:rsid w:val="00474B14"/>
    <w:rsid w:val="00474B93"/>
    <w:rsid w:val="00474C0A"/>
    <w:rsid w:val="00474EBC"/>
    <w:rsid w:val="00474F1B"/>
    <w:rsid w:val="00474F88"/>
    <w:rsid w:val="00474FA2"/>
    <w:rsid w:val="0047500C"/>
    <w:rsid w:val="0047508D"/>
    <w:rsid w:val="004753F6"/>
    <w:rsid w:val="0047558C"/>
    <w:rsid w:val="0047563B"/>
    <w:rsid w:val="004757B4"/>
    <w:rsid w:val="004758B7"/>
    <w:rsid w:val="004758D7"/>
    <w:rsid w:val="00475965"/>
    <w:rsid w:val="00475A27"/>
    <w:rsid w:val="00475AF4"/>
    <w:rsid w:val="00475EE7"/>
    <w:rsid w:val="00475F55"/>
    <w:rsid w:val="00476000"/>
    <w:rsid w:val="00476081"/>
    <w:rsid w:val="00476315"/>
    <w:rsid w:val="0047644E"/>
    <w:rsid w:val="0047645F"/>
    <w:rsid w:val="00476511"/>
    <w:rsid w:val="004765A2"/>
    <w:rsid w:val="00476623"/>
    <w:rsid w:val="0047664A"/>
    <w:rsid w:val="004769A6"/>
    <w:rsid w:val="00476AB9"/>
    <w:rsid w:val="00476AEA"/>
    <w:rsid w:val="00476D37"/>
    <w:rsid w:val="00476DC0"/>
    <w:rsid w:val="004770AC"/>
    <w:rsid w:val="004770B3"/>
    <w:rsid w:val="004771E9"/>
    <w:rsid w:val="00477295"/>
    <w:rsid w:val="0047733B"/>
    <w:rsid w:val="00477349"/>
    <w:rsid w:val="0047737A"/>
    <w:rsid w:val="00477383"/>
    <w:rsid w:val="0047738F"/>
    <w:rsid w:val="0047751D"/>
    <w:rsid w:val="00477751"/>
    <w:rsid w:val="004778F1"/>
    <w:rsid w:val="00477905"/>
    <w:rsid w:val="00477A66"/>
    <w:rsid w:val="00477B16"/>
    <w:rsid w:val="00477B4F"/>
    <w:rsid w:val="00477CCF"/>
    <w:rsid w:val="00480024"/>
    <w:rsid w:val="0048020E"/>
    <w:rsid w:val="0048021A"/>
    <w:rsid w:val="004804C5"/>
    <w:rsid w:val="004808AA"/>
    <w:rsid w:val="00480DD3"/>
    <w:rsid w:val="00480E90"/>
    <w:rsid w:val="004811ED"/>
    <w:rsid w:val="0048137A"/>
    <w:rsid w:val="004813AF"/>
    <w:rsid w:val="004814DB"/>
    <w:rsid w:val="0048150D"/>
    <w:rsid w:val="00481876"/>
    <w:rsid w:val="00481ACB"/>
    <w:rsid w:val="00481BDF"/>
    <w:rsid w:val="00481C43"/>
    <w:rsid w:val="00481EBA"/>
    <w:rsid w:val="00481F1D"/>
    <w:rsid w:val="00481FB1"/>
    <w:rsid w:val="004820D6"/>
    <w:rsid w:val="00482578"/>
    <w:rsid w:val="00482588"/>
    <w:rsid w:val="00482727"/>
    <w:rsid w:val="004828E4"/>
    <w:rsid w:val="00482C61"/>
    <w:rsid w:val="00482D21"/>
    <w:rsid w:val="00482D62"/>
    <w:rsid w:val="00482ECF"/>
    <w:rsid w:val="004831F2"/>
    <w:rsid w:val="00483217"/>
    <w:rsid w:val="004834BC"/>
    <w:rsid w:val="004835A7"/>
    <w:rsid w:val="004836C7"/>
    <w:rsid w:val="00483893"/>
    <w:rsid w:val="00483945"/>
    <w:rsid w:val="00483956"/>
    <w:rsid w:val="00483992"/>
    <w:rsid w:val="004839E6"/>
    <w:rsid w:val="00483C49"/>
    <w:rsid w:val="00483C69"/>
    <w:rsid w:val="00483C92"/>
    <w:rsid w:val="00483F5F"/>
    <w:rsid w:val="004843F4"/>
    <w:rsid w:val="0048465B"/>
    <w:rsid w:val="004846B5"/>
    <w:rsid w:val="00484837"/>
    <w:rsid w:val="00484D68"/>
    <w:rsid w:val="00485167"/>
    <w:rsid w:val="00485243"/>
    <w:rsid w:val="0048528E"/>
    <w:rsid w:val="004852BF"/>
    <w:rsid w:val="004852CC"/>
    <w:rsid w:val="00485309"/>
    <w:rsid w:val="00485425"/>
    <w:rsid w:val="004855FB"/>
    <w:rsid w:val="00485695"/>
    <w:rsid w:val="0048571F"/>
    <w:rsid w:val="00485762"/>
    <w:rsid w:val="004857B6"/>
    <w:rsid w:val="0048581D"/>
    <w:rsid w:val="00485834"/>
    <w:rsid w:val="00485A1E"/>
    <w:rsid w:val="00485A2B"/>
    <w:rsid w:val="00485ADB"/>
    <w:rsid w:val="00485B81"/>
    <w:rsid w:val="00485C3A"/>
    <w:rsid w:val="00485EC1"/>
    <w:rsid w:val="00485F85"/>
    <w:rsid w:val="00486062"/>
    <w:rsid w:val="004860C9"/>
    <w:rsid w:val="004860D7"/>
    <w:rsid w:val="0048617C"/>
    <w:rsid w:val="00486230"/>
    <w:rsid w:val="0048626B"/>
    <w:rsid w:val="004863C3"/>
    <w:rsid w:val="0048649E"/>
    <w:rsid w:val="00486621"/>
    <w:rsid w:val="00486646"/>
    <w:rsid w:val="00486967"/>
    <w:rsid w:val="00486983"/>
    <w:rsid w:val="00486BDA"/>
    <w:rsid w:val="00486C2B"/>
    <w:rsid w:val="00486C55"/>
    <w:rsid w:val="00486E3B"/>
    <w:rsid w:val="00486EFF"/>
    <w:rsid w:val="00487009"/>
    <w:rsid w:val="0048708E"/>
    <w:rsid w:val="004870E8"/>
    <w:rsid w:val="004871EE"/>
    <w:rsid w:val="004873D9"/>
    <w:rsid w:val="0048778D"/>
    <w:rsid w:val="00487900"/>
    <w:rsid w:val="00487AEB"/>
    <w:rsid w:val="00487DF3"/>
    <w:rsid w:val="00487F04"/>
    <w:rsid w:val="004900A0"/>
    <w:rsid w:val="004900F0"/>
    <w:rsid w:val="0049030D"/>
    <w:rsid w:val="004903AB"/>
    <w:rsid w:val="00490424"/>
    <w:rsid w:val="00490536"/>
    <w:rsid w:val="0049070B"/>
    <w:rsid w:val="00490781"/>
    <w:rsid w:val="00490892"/>
    <w:rsid w:val="004909A3"/>
    <w:rsid w:val="00490A21"/>
    <w:rsid w:val="00490B09"/>
    <w:rsid w:val="00490BF9"/>
    <w:rsid w:val="00490C58"/>
    <w:rsid w:val="00490FCA"/>
    <w:rsid w:val="00490FF1"/>
    <w:rsid w:val="00491096"/>
    <w:rsid w:val="00491116"/>
    <w:rsid w:val="00491197"/>
    <w:rsid w:val="004911DE"/>
    <w:rsid w:val="0049166E"/>
    <w:rsid w:val="0049167D"/>
    <w:rsid w:val="00491970"/>
    <w:rsid w:val="00491C01"/>
    <w:rsid w:val="00491C22"/>
    <w:rsid w:val="00491DC0"/>
    <w:rsid w:val="00491FF3"/>
    <w:rsid w:val="00492138"/>
    <w:rsid w:val="00492552"/>
    <w:rsid w:val="004925E6"/>
    <w:rsid w:val="0049277A"/>
    <w:rsid w:val="004928DD"/>
    <w:rsid w:val="00492932"/>
    <w:rsid w:val="00492AB6"/>
    <w:rsid w:val="00492B56"/>
    <w:rsid w:val="00492C1D"/>
    <w:rsid w:val="004932C1"/>
    <w:rsid w:val="00493444"/>
    <w:rsid w:val="0049347E"/>
    <w:rsid w:val="0049350F"/>
    <w:rsid w:val="004936BC"/>
    <w:rsid w:val="004937BC"/>
    <w:rsid w:val="0049380B"/>
    <w:rsid w:val="00493A99"/>
    <w:rsid w:val="00493B77"/>
    <w:rsid w:val="00493C9A"/>
    <w:rsid w:val="00493CC1"/>
    <w:rsid w:val="00493EE7"/>
    <w:rsid w:val="00493F09"/>
    <w:rsid w:val="00493F33"/>
    <w:rsid w:val="0049404D"/>
    <w:rsid w:val="0049438C"/>
    <w:rsid w:val="004944FA"/>
    <w:rsid w:val="0049452C"/>
    <w:rsid w:val="00494600"/>
    <w:rsid w:val="00494715"/>
    <w:rsid w:val="0049478D"/>
    <w:rsid w:val="004948CE"/>
    <w:rsid w:val="004949E5"/>
    <w:rsid w:val="00494D00"/>
    <w:rsid w:val="00494D3B"/>
    <w:rsid w:val="00494EFB"/>
    <w:rsid w:val="00494F52"/>
    <w:rsid w:val="00495234"/>
    <w:rsid w:val="0049525A"/>
    <w:rsid w:val="00495271"/>
    <w:rsid w:val="00495398"/>
    <w:rsid w:val="004953B8"/>
    <w:rsid w:val="004955C3"/>
    <w:rsid w:val="00495691"/>
    <w:rsid w:val="004957AD"/>
    <w:rsid w:val="004958DC"/>
    <w:rsid w:val="004959D9"/>
    <w:rsid w:val="00495A35"/>
    <w:rsid w:val="00495A4D"/>
    <w:rsid w:val="00495ACF"/>
    <w:rsid w:val="00495B82"/>
    <w:rsid w:val="00495D9A"/>
    <w:rsid w:val="00495E31"/>
    <w:rsid w:val="00496039"/>
    <w:rsid w:val="004960F0"/>
    <w:rsid w:val="00496210"/>
    <w:rsid w:val="00496212"/>
    <w:rsid w:val="00496360"/>
    <w:rsid w:val="004965A5"/>
    <w:rsid w:val="00496764"/>
    <w:rsid w:val="00496796"/>
    <w:rsid w:val="00496890"/>
    <w:rsid w:val="00496972"/>
    <w:rsid w:val="00496AE6"/>
    <w:rsid w:val="00496C68"/>
    <w:rsid w:val="004970E0"/>
    <w:rsid w:val="004973DB"/>
    <w:rsid w:val="004973ED"/>
    <w:rsid w:val="00497464"/>
    <w:rsid w:val="00497609"/>
    <w:rsid w:val="00497661"/>
    <w:rsid w:val="00497987"/>
    <w:rsid w:val="00497AB2"/>
    <w:rsid w:val="00497CEE"/>
    <w:rsid w:val="00497E0B"/>
    <w:rsid w:val="00497F70"/>
    <w:rsid w:val="00497F7B"/>
    <w:rsid w:val="004A004B"/>
    <w:rsid w:val="004A0183"/>
    <w:rsid w:val="004A041D"/>
    <w:rsid w:val="004A050D"/>
    <w:rsid w:val="004A0548"/>
    <w:rsid w:val="004A08D9"/>
    <w:rsid w:val="004A0C29"/>
    <w:rsid w:val="004A0E99"/>
    <w:rsid w:val="004A0F48"/>
    <w:rsid w:val="004A10B3"/>
    <w:rsid w:val="004A1239"/>
    <w:rsid w:val="004A1559"/>
    <w:rsid w:val="004A17A8"/>
    <w:rsid w:val="004A17EE"/>
    <w:rsid w:val="004A1845"/>
    <w:rsid w:val="004A1ADF"/>
    <w:rsid w:val="004A1C43"/>
    <w:rsid w:val="004A1D02"/>
    <w:rsid w:val="004A1D8E"/>
    <w:rsid w:val="004A1E2E"/>
    <w:rsid w:val="004A1E53"/>
    <w:rsid w:val="004A2107"/>
    <w:rsid w:val="004A2285"/>
    <w:rsid w:val="004A22CB"/>
    <w:rsid w:val="004A2310"/>
    <w:rsid w:val="004A2403"/>
    <w:rsid w:val="004A2444"/>
    <w:rsid w:val="004A2810"/>
    <w:rsid w:val="004A2A6D"/>
    <w:rsid w:val="004A2A95"/>
    <w:rsid w:val="004A2ADC"/>
    <w:rsid w:val="004A2C03"/>
    <w:rsid w:val="004A2C23"/>
    <w:rsid w:val="004A2C8A"/>
    <w:rsid w:val="004A2CAE"/>
    <w:rsid w:val="004A2E0A"/>
    <w:rsid w:val="004A2F09"/>
    <w:rsid w:val="004A33B5"/>
    <w:rsid w:val="004A3493"/>
    <w:rsid w:val="004A35AC"/>
    <w:rsid w:val="004A3618"/>
    <w:rsid w:val="004A3734"/>
    <w:rsid w:val="004A3828"/>
    <w:rsid w:val="004A38C5"/>
    <w:rsid w:val="004A3B82"/>
    <w:rsid w:val="004A3BBB"/>
    <w:rsid w:val="004A3C30"/>
    <w:rsid w:val="004A3C6B"/>
    <w:rsid w:val="004A3D35"/>
    <w:rsid w:val="004A3DC3"/>
    <w:rsid w:val="004A3F17"/>
    <w:rsid w:val="004A3F97"/>
    <w:rsid w:val="004A401C"/>
    <w:rsid w:val="004A429F"/>
    <w:rsid w:val="004A431C"/>
    <w:rsid w:val="004A437A"/>
    <w:rsid w:val="004A446A"/>
    <w:rsid w:val="004A45E2"/>
    <w:rsid w:val="004A4A62"/>
    <w:rsid w:val="004A4CE5"/>
    <w:rsid w:val="004A4D39"/>
    <w:rsid w:val="004A4DA5"/>
    <w:rsid w:val="004A5057"/>
    <w:rsid w:val="004A5061"/>
    <w:rsid w:val="004A520D"/>
    <w:rsid w:val="004A523E"/>
    <w:rsid w:val="004A53FA"/>
    <w:rsid w:val="004A559D"/>
    <w:rsid w:val="004A5844"/>
    <w:rsid w:val="004A5A1D"/>
    <w:rsid w:val="004A5ACB"/>
    <w:rsid w:val="004A5C61"/>
    <w:rsid w:val="004A5C6D"/>
    <w:rsid w:val="004A5E9E"/>
    <w:rsid w:val="004A5F36"/>
    <w:rsid w:val="004A5F41"/>
    <w:rsid w:val="004A5FBA"/>
    <w:rsid w:val="004A602C"/>
    <w:rsid w:val="004A6071"/>
    <w:rsid w:val="004A64D3"/>
    <w:rsid w:val="004A6791"/>
    <w:rsid w:val="004A67AC"/>
    <w:rsid w:val="004A688A"/>
    <w:rsid w:val="004A6A89"/>
    <w:rsid w:val="004A6B86"/>
    <w:rsid w:val="004A6BC5"/>
    <w:rsid w:val="004A6C6B"/>
    <w:rsid w:val="004A6C7E"/>
    <w:rsid w:val="004A6D60"/>
    <w:rsid w:val="004A70B1"/>
    <w:rsid w:val="004A70DA"/>
    <w:rsid w:val="004A710D"/>
    <w:rsid w:val="004A7365"/>
    <w:rsid w:val="004A76DB"/>
    <w:rsid w:val="004A77B0"/>
    <w:rsid w:val="004A791D"/>
    <w:rsid w:val="004A7A8D"/>
    <w:rsid w:val="004A7B1F"/>
    <w:rsid w:val="004A7B7E"/>
    <w:rsid w:val="004A7C05"/>
    <w:rsid w:val="004A7D67"/>
    <w:rsid w:val="004A7E6B"/>
    <w:rsid w:val="004B02AA"/>
    <w:rsid w:val="004B0462"/>
    <w:rsid w:val="004B0602"/>
    <w:rsid w:val="004B062F"/>
    <w:rsid w:val="004B0678"/>
    <w:rsid w:val="004B0953"/>
    <w:rsid w:val="004B097F"/>
    <w:rsid w:val="004B0994"/>
    <w:rsid w:val="004B099A"/>
    <w:rsid w:val="004B0AB6"/>
    <w:rsid w:val="004B0AED"/>
    <w:rsid w:val="004B0BC5"/>
    <w:rsid w:val="004B0CA2"/>
    <w:rsid w:val="004B0E6D"/>
    <w:rsid w:val="004B0EDC"/>
    <w:rsid w:val="004B0F03"/>
    <w:rsid w:val="004B1054"/>
    <w:rsid w:val="004B12AD"/>
    <w:rsid w:val="004B131C"/>
    <w:rsid w:val="004B1330"/>
    <w:rsid w:val="004B1342"/>
    <w:rsid w:val="004B1398"/>
    <w:rsid w:val="004B14FC"/>
    <w:rsid w:val="004B1576"/>
    <w:rsid w:val="004B16C1"/>
    <w:rsid w:val="004B1706"/>
    <w:rsid w:val="004B1825"/>
    <w:rsid w:val="004B1931"/>
    <w:rsid w:val="004B19FE"/>
    <w:rsid w:val="004B1A46"/>
    <w:rsid w:val="004B1A6D"/>
    <w:rsid w:val="004B1B1E"/>
    <w:rsid w:val="004B1CAD"/>
    <w:rsid w:val="004B1D0B"/>
    <w:rsid w:val="004B1DD9"/>
    <w:rsid w:val="004B1EDD"/>
    <w:rsid w:val="004B1EE5"/>
    <w:rsid w:val="004B1EF5"/>
    <w:rsid w:val="004B1FE0"/>
    <w:rsid w:val="004B20F2"/>
    <w:rsid w:val="004B235D"/>
    <w:rsid w:val="004B24DA"/>
    <w:rsid w:val="004B253E"/>
    <w:rsid w:val="004B25A4"/>
    <w:rsid w:val="004B26BD"/>
    <w:rsid w:val="004B26DA"/>
    <w:rsid w:val="004B275E"/>
    <w:rsid w:val="004B281D"/>
    <w:rsid w:val="004B2997"/>
    <w:rsid w:val="004B2C3E"/>
    <w:rsid w:val="004B2CEA"/>
    <w:rsid w:val="004B2F13"/>
    <w:rsid w:val="004B2FD4"/>
    <w:rsid w:val="004B3197"/>
    <w:rsid w:val="004B32AF"/>
    <w:rsid w:val="004B354B"/>
    <w:rsid w:val="004B3959"/>
    <w:rsid w:val="004B3A16"/>
    <w:rsid w:val="004B3B1A"/>
    <w:rsid w:val="004B3BC9"/>
    <w:rsid w:val="004B3C5E"/>
    <w:rsid w:val="004B3E45"/>
    <w:rsid w:val="004B3F04"/>
    <w:rsid w:val="004B427B"/>
    <w:rsid w:val="004B4295"/>
    <w:rsid w:val="004B42FC"/>
    <w:rsid w:val="004B4364"/>
    <w:rsid w:val="004B43CC"/>
    <w:rsid w:val="004B46B3"/>
    <w:rsid w:val="004B4992"/>
    <w:rsid w:val="004B501A"/>
    <w:rsid w:val="004B5024"/>
    <w:rsid w:val="004B5546"/>
    <w:rsid w:val="004B55A3"/>
    <w:rsid w:val="004B5950"/>
    <w:rsid w:val="004B59F4"/>
    <w:rsid w:val="004B5A24"/>
    <w:rsid w:val="004B5DDF"/>
    <w:rsid w:val="004B5F81"/>
    <w:rsid w:val="004B6076"/>
    <w:rsid w:val="004B62D5"/>
    <w:rsid w:val="004B653B"/>
    <w:rsid w:val="004B672F"/>
    <w:rsid w:val="004B678D"/>
    <w:rsid w:val="004B67E2"/>
    <w:rsid w:val="004B6809"/>
    <w:rsid w:val="004B6B15"/>
    <w:rsid w:val="004B6B71"/>
    <w:rsid w:val="004B6CB0"/>
    <w:rsid w:val="004B6CE2"/>
    <w:rsid w:val="004B6D03"/>
    <w:rsid w:val="004B6D8E"/>
    <w:rsid w:val="004B7030"/>
    <w:rsid w:val="004B70B5"/>
    <w:rsid w:val="004B71EF"/>
    <w:rsid w:val="004B7263"/>
    <w:rsid w:val="004B781E"/>
    <w:rsid w:val="004B797A"/>
    <w:rsid w:val="004B7ABE"/>
    <w:rsid w:val="004B7B12"/>
    <w:rsid w:val="004B7CC1"/>
    <w:rsid w:val="004B7D7E"/>
    <w:rsid w:val="004B7E36"/>
    <w:rsid w:val="004B7EE0"/>
    <w:rsid w:val="004C0121"/>
    <w:rsid w:val="004C028A"/>
    <w:rsid w:val="004C02C3"/>
    <w:rsid w:val="004C03E9"/>
    <w:rsid w:val="004C03FF"/>
    <w:rsid w:val="004C04A5"/>
    <w:rsid w:val="004C0751"/>
    <w:rsid w:val="004C0897"/>
    <w:rsid w:val="004C09C4"/>
    <w:rsid w:val="004C09CC"/>
    <w:rsid w:val="004C0AAC"/>
    <w:rsid w:val="004C0AF4"/>
    <w:rsid w:val="004C0B7E"/>
    <w:rsid w:val="004C0B89"/>
    <w:rsid w:val="004C0C6D"/>
    <w:rsid w:val="004C0C92"/>
    <w:rsid w:val="004C0E3D"/>
    <w:rsid w:val="004C0FA4"/>
    <w:rsid w:val="004C10E1"/>
    <w:rsid w:val="004C130D"/>
    <w:rsid w:val="004C1476"/>
    <w:rsid w:val="004C154E"/>
    <w:rsid w:val="004C170D"/>
    <w:rsid w:val="004C17CB"/>
    <w:rsid w:val="004C17D5"/>
    <w:rsid w:val="004C187D"/>
    <w:rsid w:val="004C1BCF"/>
    <w:rsid w:val="004C1C2E"/>
    <w:rsid w:val="004C1CA2"/>
    <w:rsid w:val="004C1E51"/>
    <w:rsid w:val="004C1E81"/>
    <w:rsid w:val="004C1EF0"/>
    <w:rsid w:val="004C1FDD"/>
    <w:rsid w:val="004C203D"/>
    <w:rsid w:val="004C20A0"/>
    <w:rsid w:val="004C21A7"/>
    <w:rsid w:val="004C226A"/>
    <w:rsid w:val="004C242E"/>
    <w:rsid w:val="004C2449"/>
    <w:rsid w:val="004C2648"/>
    <w:rsid w:val="004C27D8"/>
    <w:rsid w:val="004C28FE"/>
    <w:rsid w:val="004C29B3"/>
    <w:rsid w:val="004C2E58"/>
    <w:rsid w:val="004C2ED5"/>
    <w:rsid w:val="004C2F31"/>
    <w:rsid w:val="004C3085"/>
    <w:rsid w:val="004C31AF"/>
    <w:rsid w:val="004C3275"/>
    <w:rsid w:val="004C3383"/>
    <w:rsid w:val="004C368D"/>
    <w:rsid w:val="004C36C8"/>
    <w:rsid w:val="004C376A"/>
    <w:rsid w:val="004C37BC"/>
    <w:rsid w:val="004C3ABF"/>
    <w:rsid w:val="004C3C77"/>
    <w:rsid w:val="004C3CC3"/>
    <w:rsid w:val="004C3CF7"/>
    <w:rsid w:val="004C3DAC"/>
    <w:rsid w:val="004C3E67"/>
    <w:rsid w:val="004C41EB"/>
    <w:rsid w:val="004C4295"/>
    <w:rsid w:val="004C49F0"/>
    <w:rsid w:val="004C4C98"/>
    <w:rsid w:val="004C4CA6"/>
    <w:rsid w:val="004C4D91"/>
    <w:rsid w:val="004C4F2F"/>
    <w:rsid w:val="004C4F7C"/>
    <w:rsid w:val="004C506C"/>
    <w:rsid w:val="004C50BA"/>
    <w:rsid w:val="004C533D"/>
    <w:rsid w:val="004C5514"/>
    <w:rsid w:val="004C566B"/>
    <w:rsid w:val="004C56F2"/>
    <w:rsid w:val="004C5799"/>
    <w:rsid w:val="004C5948"/>
    <w:rsid w:val="004C5A0B"/>
    <w:rsid w:val="004C5CED"/>
    <w:rsid w:val="004C5DC9"/>
    <w:rsid w:val="004C5F22"/>
    <w:rsid w:val="004C5FE0"/>
    <w:rsid w:val="004C6098"/>
    <w:rsid w:val="004C6133"/>
    <w:rsid w:val="004C618B"/>
    <w:rsid w:val="004C61C9"/>
    <w:rsid w:val="004C6728"/>
    <w:rsid w:val="004C67A0"/>
    <w:rsid w:val="004C68CB"/>
    <w:rsid w:val="004C68D0"/>
    <w:rsid w:val="004C6933"/>
    <w:rsid w:val="004C697C"/>
    <w:rsid w:val="004C69E7"/>
    <w:rsid w:val="004C6AF2"/>
    <w:rsid w:val="004C6D46"/>
    <w:rsid w:val="004C6D61"/>
    <w:rsid w:val="004C6ED9"/>
    <w:rsid w:val="004C7019"/>
    <w:rsid w:val="004C7132"/>
    <w:rsid w:val="004C7166"/>
    <w:rsid w:val="004C7297"/>
    <w:rsid w:val="004C735A"/>
    <w:rsid w:val="004C73DB"/>
    <w:rsid w:val="004C74CA"/>
    <w:rsid w:val="004C74E4"/>
    <w:rsid w:val="004C7641"/>
    <w:rsid w:val="004C7802"/>
    <w:rsid w:val="004C788C"/>
    <w:rsid w:val="004C792E"/>
    <w:rsid w:val="004C7A76"/>
    <w:rsid w:val="004C7D61"/>
    <w:rsid w:val="004C7DB4"/>
    <w:rsid w:val="004D02A1"/>
    <w:rsid w:val="004D07FA"/>
    <w:rsid w:val="004D0C7F"/>
    <w:rsid w:val="004D0D06"/>
    <w:rsid w:val="004D0DCC"/>
    <w:rsid w:val="004D0E77"/>
    <w:rsid w:val="004D0EF8"/>
    <w:rsid w:val="004D0F92"/>
    <w:rsid w:val="004D1278"/>
    <w:rsid w:val="004D133A"/>
    <w:rsid w:val="004D1427"/>
    <w:rsid w:val="004D14FA"/>
    <w:rsid w:val="004D15E8"/>
    <w:rsid w:val="004D16BB"/>
    <w:rsid w:val="004D17EA"/>
    <w:rsid w:val="004D1814"/>
    <w:rsid w:val="004D1923"/>
    <w:rsid w:val="004D1A98"/>
    <w:rsid w:val="004D1CFC"/>
    <w:rsid w:val="004D1E7A"/>
    <w:rsid w:val="004D1F77"/>
    <w:rsid w:val="004D22D8"/>
    <w:rsid w:val="004D240B"/>
    <w:rsid w:val="004D28C1"/>
    <w:rsid w:val="004D29C4"/>
    <w:rsid w:val="004D2ABA"/>
    <w:rsid w:val="004D2B0A"/>
    <w:rsid w:val="004D2B59"/>
    <w:rsid w:val="004D2C28"/>
    <w:rsid w:val="004D2CEB"/>
    <w:rsid w:val="004D2D70"/>
    <w:rsid w:val="004D2E0E"/>
    <w:rsid w:val="004D2FCE"/>
    <w:rsid w:val="004D31A3"/>
    <w:rsid w:val="004D328A"/>
    <w:rsid w:val="004D336F"/>
    <w:rsid w:val="004D3751"/>
    <w:rsid w:val="004D37E3"/>
    <w:rsid w:val="004D3AF8"/>
    <w:rsid w:val="004D3B3C"/>
    <w:rsid w:val="004D3BC0"/>
    <w:rsid w:val="004D3CF0"/>
    <w:rsid w:val="004D3D44"/>
    <w:rsid w:val="004D3D8B"/>
    <w:rsid w:val="004D3EF2"/>
    <w:rsid w:val="004D4061"/>
    <w:rsid w:val="004D4069"/>
    <w:rsid w:val="004D416C"/>
    <w:rsid w:val="004D41AA"/>
    <w:rsid w:val="004D4288"/>
    <w:rsid w:val="004D444E"/>
    <w:rsid w:val="004D46DE"/>
    <w:rsid w:val="004D470E"/>
    <w:rsid w:val="004D476D"/>
    <w:rsid w:val="004D4772"/>
    <w:rsid w:val="004D49DA"/>
    <w:rsid w:val="004D4CD9"/>
    <w:rsid w:val="004D4E24"/>
    <w:rsid w:val="004D4ECF"/>
    <w:rsid w:val="004D5051"/>
    <w:rsid w:val="004D5093"/>
    <w:rsid w:val="004D5144"/>
    <w:rsid w:val="004D53E1"/>
    <w:rsid w:val="004D5400"/>
    <w:rsid w:val="004D577F"/>
    <w:rsid w:val="004D57BC"/>
    <w:rsid w:val="004D58D0"/>
    <w:rsid w:val="004D5A86"/>
    <w:rsid w:val="004D5AFF"/>
    <w:rsid w:val="004D5B18"/>
    <w:rsid w:val="004D5BBB"/>
    <w:rsid w:val="004D5C50"/>
    <w:rsid w:val="004D5CC4"/>
    <w:rsid w:val="004D5D26"/>
    <w:rsid w:val="004D5D70"/>
    <w:rsid w:val="004D5F25"/>
    <w:rsid w:val="004D5F2C"/>
    <w:rsid w:val="004D6019"/>
    <w:rsid w:val="004D6136"/>
    <w:rsid w:val="004D61ED"/>
    <w:rsid w:val="004D6226"/>
    <w:rsid w:val="004D6393"/>
    <w:rsid w:val="004D6531"/>
    <w:rsid w:val="004D6689"/>
    <w:rsid w:val="004D682E"/>
    <w:rsid w:val="004D6831"/>
    <w:rsid w:val="004D68DF"/>
    <w:rsid w:val="004D690F"/>
    <w:rsid w:val="004D6BE8"/>
    <w:rsid w:val="004D6C5C"/>
    <w:rsid w:val="004D6E7B"/>
    <w:rsid w:val="004D6E9C"/>
    <w:rsid w:val="004D6F72"/>
    <w:rsid w:val="004D7004"/>
    <w:rsid w:val="004D7235"/>
    <w:rsid w:val="004D73FE"/>
    <w:rsid w:val="004D752E"/>
    <w:rsid w:val="004D759A"/>
    <w:rsid w:val="004D75A3"/>
    <w:rsid w:val="004D7611"/>
    <w:rsid w:val="004D763E"/>
    <w:rsid w:val="004D764B"/>
    <w:rsid w:val="004D7923"/>
    <w:rsid w:val="004D7A33"/>
    <w:rsid w:val="004D7EC7"/>
    <w:rsid w:val="004E00BE"/>
    <w:rsid w:val="004E00FB"/>
    <w:rsid w:val="004E017E"/>
    <w:rsid w:val="004E0309"/>
    <w:rsid w:val="004E03EC"/>
    <w:rsid w:val="004E0400"/>
    <w:rsid w:val="004E0430"/>
    <w:rsid w:val="004E06BD"/>
    <w:rsid w:val="004E06EE"/>
    <w:rsid w:val="004E08BB"/>
    <w:rsid w:val="004E08DC"/>
    <w:rsid w:val="004E09EA"/>
    <w:rsid w:val="004E0D88"/>
    <w:rsid w:val="004E0F6E"/>
    <w:rsid w:val="004E1306"/>
    <w:rsid w:val="004E1322"/>
    <w:rsid w:val="004E14B0"/>
    <w:rsid w:val="004E15C0"/>
    <w:rsid w:val="004E18BA"/>
    <w:rsid w:val="004E1901"/>
    <w:rsid w:val="004E1A6F"/>
    <w:rsid w:val="004E1B6E"/>
    <w:rsid w:val="004E1B8A"/>
    <w:rsid w:val="004E1C1F"/>
    <w:rsid w:val="004E1F0D"/>
    <w:rsid w:val="004E1F15"/>
    <w:rsid w:val="004E1F2B"/>
    <w:rsid w:val="004E2110"/>
    <w:rsid w:val="004E2354"/>
    <w:rsid w:val="004E26EE"/>
    <w:rsid w:val="004E28F8"/>
    <w:rsid w:val="004E2921"/>
    <w:rsid w:val="004E2A4C"/>
    <w:rsid w:val="004E2AF9"/>
    <w:rsid w:val="004E2B19"/>
    <w:rsid w:val="004E2ED8"/>
    <w:rsid w:val="004E2F1E"/>
    <w:rsid w:val="004E2FBE"/>
    <w:rsid w:val="004E303C"/>
    <w:rsid w:val="004E3272"/>
    <w:rsid w:val="004E3665"/>
    <w:rsid w:val="004E379C"/>
    <w:rsid w:val="004E38AE"/>
    <w:rsid w:val="004E3907"/>
    <w:rsid w:val="004E3CB5"/>
    <w:rsid w:val="004E3DE0"/>
    <w:rsid w:val="004E4118"/>
    <w:rsid w:val="004E4194"/>
    <w:rsid w:val="004E4486"/>
    <w:rsid w:val="004E44C5"/>
    <w:rsid w:val="004E4536"/>
    <w:rsid w:val="004E4733"/>
    <w:rsid w:val="004E4D23"/>
    <w:rsid w:val="004E4D72"/>
    <w:rsid w:val="004E518D"/>
    <w:rsid w:val="004E5273"/>
    <w:rsid w:val="004E541D"/>
    <w:rsid w:val="004E564B"/>
    <w:rsid w:val="004E56A3"/>
    <w:rsid w:val="004E579E"/>
    <w:rsid w:val="004E5822"/>
    <w:rsid w:val="004E59B7"/>
    <w:rsid w:val="004E5B16"/>
    <w:rsid w:val="004E5B3D"/>
    <w:rsid w:val="004E5BB9"/>
    <w:rsid w:val="004E5CD6"/>
    <w:rsid w:val="004E5CEA"/>
    <w:rsid w:val="004E5D3E"/>
    <w:rsid w:val="004E5DBD"/>
    <w:rsid w:val="004E5E78"/>
    <w:rsid w:val="004E5EDD"/>
    <w:rsid w:val="004E5F8A"/>
    <w:rsid w:val="004E6042"/>
    <w:rsid w:val="004E606F"/>
    <w:rsid w:val="004E64D6"/>
    <w:rsid w:val="004E6588"/>
    <w:rsid w:val="004E6764"/>
    <w:rsid w:val="004E678E"/>
    <w:rsid w:val="004E6792"/>
    <w:rsid w:val="004E689A"/>
    <w:rsid w:val="004E6D62"/>
    <w:rsid w:val="004E6DD2"/>
    <w:rsid w:val="004E6EF6"/>
    <w:rsid w:val="004E7023"/>
    <w:rsid w:val="004E70DE"/>
    <w:rsid w:val="004E734C"/>
    <w:rsid w:val="004E73E7"/>
    <w:rsid w:val="004E7508"/>
    <w:rsid w:val="004E7512"/>
    <w:rsid w:val="004E766F"/>
    <w:rsid w:val="004E775C"/>
    <w:rsid w:val="004E795A"/>
    <w:rsid w:val="004E79F0"/>
    <w:rsid w:val="004E7CB8"/>
    <w:rsid w:val="004E7FF6"/>
    <w:rsid w:val="004F0335"/>
    <w:rsid w:val="004F03E9"/>
    <w:rsid w:val="004F0404"/>
    <w:rsid w:val="004F0455"/>
    <w:rsid w:val="004F08DB"/>
    <w:rsid w:val="004F0B6A"/>
    <w:rsid w:val="004F0D23"/>
    <w:rsid w:val="004F0F62"/>
    <w:rsid w:val="004F0FD3"/>
    <w:rsid w:val="004F135A"/>
    <w:rsid w:val="004F1380"/>
    <w:rsid w:val="004F1383"/>
    <w:rsid w:val="004F1ABB"/>
    <w:rsid w:val="004F1C3A"/>
    <w:rsid w:val="004F1C89"/>
    <w:rsid w:val="004F1C8C"/>
    <w:rsid w:val="004F20BC"/>
    <w:rsid w:val="004F20CC"/>
    <w:rsid w:val="004F218A"/>
    <w:rsid w:val="004F22EB"/>
    <w:rsid w:val="004F2668"/>
    <w:rsid w:val="004F270A"/>
    <w:rsid w:val="004F270F"/>
    <w:rsid w:val="004F280D"/>
    <w:rsid w:val="004F28D8"/>
    <w:rsid w:val="004F294E"/>
    <w:rsid w:val="004F2A2D"/>
    <w:rsid w:val="004F2D54"/>
    <w:rsid w:val="004F3012"/>
    <w:rsid w:val="004F3074"/>
    <w:rsid w:val="004F3217"/>
    <w:rsid w:val="004F32C9"/>
    <w:rsid w:val="004F32EE"/>
    <w:rsid w:val="004F3487"/>
    <w:rsid w:val="004F3690"/>
    <w:rsid w:val="004F374B"/>
    <w:rsid w:val="004F3946"/>
    <w:rsid w:val="004F39C7"/>
    <w:rsid w:val="004F3A39"/>
    <w:rsid w:val="004F3A51"/>
    <w:rsid w:val="004F3A62"/>
    <w:rsid w:val="004F3E08"/>
    <w:rsid w:val="004F3F19"/>
    <w:rsid w:val="004F4027"/>
    <w:rsid w:val="004F41CA"/>
    <w:rsid w:val="004F4327"/>
    <w:rsid w:val="004F475E"/>
    <w:rsid w:val="004F4B6D"/>
    <w:rsid w:val="004F4D4A"/>
    <w:rsid w:val="004F4E4D"/>
    <w:rsid w:val="004F4F00"/>
    <w:rsid w:val="004F510C"/>
    <w:rsid w:val="004F51B8"/>
    <w:rsid w:val="004F51FC"/>
    <w:rsid w:val="004F54C4"/>
    <w:rsid w:val="004F54D0"/>
    <w:rsid w:val="004F54FD"/>
    <w:rsid w:val="004F5583"/>
    <w:rsid w:val="004F5915"/>
    <w:rsid w:val="004F5BC1"/>
    <w:rsid w:val="004F5CC3"/>
    <w:rsid w:val="004F5DE6"/>
    <w:rsid w:val="004F5EB8"/>
    <w:rsid w:val="004F5ED3"/>
    <w:rsid w:val="004F600F"/>
    <w:rsid w:val="004F6098"/>
    <w:rsid w:val="004F60A3"/>
    <w:rsid w:val="004F60A6"/>
    <w:rsid w:val="004F6105"/>
    <w:rsid w:val="004F6204"/>
    <w:rsid w:val="004F6280"/>
    <w:rsid w:val="004F6335"/>
    <w:rsid w:val="004F65B2"/>
    <w:rsid w:val="004F66BC"/>
    <w:rsid w:val="004F66E5"/>
    <w:rsid w:val="004F679E"/>
    <w:rsid w:val="004F6A5F"/>
    <w:rsid w:val="004F6B85"/>
    <w:rsid w:val="004F705F"/>
    <w:rsid w:val="004F753A"/>
    <w:rsid w:val="004F7CD0"/>
    <w:rsid w:val="004F7CF0"/>
    <w:rsid w:val="004F7E37"/>
    <w:rsid w:val="004F7F9E"/>
    <w:rsid w:val="00500080"/>
    <w:rsid w:val="005000E8"/>
    <w:rsid w:val="00500276"/>
    <w:rsid w:val="005003B4"/>
    <w:rsid w:val="0050043B"/>
    <w:rsid w:val="00500798"/>
    <w:rsid w:val="005007F4"/>
    <w:rsid w:val="005009DD"/>
    <w:rsid w:val="00500A52"/>
    <w:rsid w:val="00500ADF"/>
    <w:rsid w:val="00500B13"/>
    <w:rsid w:val="00500D9C"/>
    <w:rsid w:val="00500DCE"/>
    <w:rsid w:val="00500F3E"/>
    <w:rsid w:val="00500F8A"/>
    <w:rsid w:val="00500F9E"/>
    <w:rsid w:val="00501121"/>
    <w:rsid w:val="00501218"/>
    <w:rsid w:val="005012DD"/>
    <w:rsid w:val="00501314"/>
    <w:rsid w:val="00501358"/>
    <w:rsid w:val="00501385"/>
    <w:rsid w:val="005014A3"/>
    <w:rsid w:val="005015F5"/>
    <w:rsid w:val="0050175C"/>
    <w:rsid w:val="005017B2"/>
    <w:rsid w:val="005017CF"/>
    <w:rsid w:val="005018B9"/>
    <w:rsid w:val="00501992"/>
    <w:rsid w:val="00501C92"/>
    <w:rsid w:val="00502043"/>
    <w:rsid w:val="00502051"/>
    <w:rsid w:val="0050223D"/>
    <w:rsid w:val="00502613"/>
    <w:rsid w:val="00502817"/>
    <w:rsid w:val="00502ACF"/>
    <w:rsid w:val="00502EE7"/>
    <w:rsid w:val="00502FB1"/>
    <w:rsid w:val="005030F9"/>
    <w:rsid w:val="0050317E"/>
    <w:rsid w:val="005034B2"/>
    <w:rsid w:val="00503562"/>
    <w:rsid w:val="005038C3"/>
    <w:rsid w:val="00503990"/>
    <w:rsid w:val="005039B5"/>
    <w:rsid w:val="005039D4"/>
    <w:rsid w:val="00503A71"/>
    <w:rsid w:val="00503A7A"/>
    <w:rsid w:val="00503C35"/>
    <w:rsid w:val="00503D66"/>
    <w:rsid w:val="00503E57"/>
    <w:rsid w:val="00504175"/>
    <w:rsid w:val="00504300"/>
    <w:rsid w:val="00504382"/>
    <w:rsid w:val="00504489"/>
    <w:rsid w:val="005044D2"/>
    <w:rsid w:val="0050478D"/>
    <w:rsid w:val="005047DE"/>
    <w:rsid w:val="00504887"/>
    <w:rsid w:val="005049AF"/>
    <w:rsid w:val="00504A78"/>
    <w:rsid w:val="00504AC3"/>
    <w:rsid w:val="00504CC9"/>
    <w:rsid w:val="00504D3D"/>
    <w:rsid w:val="00504F34"/>
    <w:rsid w:val="0050500C"/>
    <w:rsid w:val="00505014"/>
    <w:rsid w:val="005051AD"/>
    <w:rsid w:val="005054BA"/>
    <w:rsid w:val="0050578B"/>
    <w:rsid w:val="005057B9"/>
    <w:rsid w:val="00505918"/>
    <w:rsid w:val="0050592F"/>
    <w:rsid w:val="00505A83"/>
    <w:rsid w:val="00505D71"/>
    <w:rsid w:val="00505DD8"/>
    <w:rsid w:val="00505E06"/>
    <w:rsid w:val="00505F1E"/>
    <w:rsid w:val="00506162"/>
    <w:rsid w:val="00506180"/>
    <w:rsid w:val="005061D9"/>
    <w:rsid w:val="00506430"/>
    <w:rsid w:val="00506431"/>
    <w:rsid w:val="005066ED"/>
    <w:rsid w:val="00506874"/>
    <w:rsid w:val="00506B1D"/>
    <w:rsid w:val="00506B54"/>
    <w:rsid w:val="00506B93"/>
    <w:rsid w:val="00506E2C"/>
    <w:rsid w:val="005070AE"/>
    <w:rsid w:val="00507547"/>
    <w:rsid w:val="005075C0"/>
    <w:rsid w:val="00507988"/>
    <w:rsid w:val="00507C6C"/>
    <w:rsid w:val="00507ED9"/>
    <w:rsid w:val="00510064"/>
    <w:rsid w:val="00510232"/>
    <w:rsid w:val="005102E2"/>
    <w:rsid w:val="00510593"/>
    <w:rsid w:val="00510750"/>
    <w:rsid w:val="0051077A"/>
    <w:rsid w:val="005108AE"/>
    <w:rsid w:val="005108D3"/>
    <w:rsid w:val="00510953"/>
    <w:rsid w:val="005109C4"/>
    <w:rsid w:val="00510A24"/>
    <w:rsid w:val="00510A50"/>
    <w:rsid w:val="00510A98"/>
    <w:rsid w:val="00510B33"/>
    <w:rsid w:val="00510B3E"/>
    <w:rsid w:val="00510CCE"/>
    <w:rsid w:val="00510CFA"/>
    <w:rsid w:val="00510DE6"/>
    <w:rsid w:val="00510E24"/>
    <w:rsid w:val="005110BD"/>
    <w:rsid w:val="005112FF"/>
    <w:rsid w:val="00511485"/>
    <w:rsid w:val="00511648"/>
    <w:rsid w:val="005116D4"/>
    <w:rsid w:val="005116E3"/>
    <w:rsid w:val="00511965"/>
    <w:rsid w:val="005119CA"/>
    <w:rsid w:val="005119CE"/>
    <w:rsid w:val="00511B58"/>
    <w:rsid w:val="00511B8A"/>
    <w:rsid w:val="00511D6E"/>
    <w:rsid w:val="00512320"/>
    <w:rsid w:val="005125AD"/>
    <w:rsid w:val="00512615"/>
    <w:rsid w:val="0051278C"/>
    <w:rsid w:val="0051280D"/>
    <w:rsid w:val="00512887"/>
    <w:rsid w:val="0051298B"/>
    <w:rsid w:val="00512B14"/>
    <w:rsid w:val="00512B35"/>
    <w:rsid w:val="00512B9C"/>
    <w:rsid w:val="00512CE3"/>
    <w:rsid w:val="00512E7A"/>
    <w:rsid w:val="00512FC9"/>
    <w:rsid w:val="0051300F"/>
    <w:rsid w:val="005130D8"/>
    <w:rsid w:val="005131FD"/>
    <w:rsid w:val="0051325C"/>
    <w:rsid w:val="005132F9"/>
    <w:rsid w:val="0051342E"/>
    <w:rsid w:val="00513527"/>
    <w:rsid w:val="0051360E"/>
    <w:rsid w:val="00513C00"/>
    <w:rsid w:val="00513D1D"/>
    <w:rsid w:val="00513F53"/>
    <w:rsid w:val="0051433C"/>
    <w:rsid w:val="00514406"/>
    <w:rsid w:val="00514B4B"/>
    <w:rsid w:val="00514B99"/>
    <w:rsid w:val="00514BC1"/>
    <w:rsid w:val="00514E30"/>
    <w:rsid w:val="00514FE5"/>
    <w:rsid w:val="00515309"/>
    <w:rsid w:val="00515376"/>
    <w:rsid w:val="005154DF"/>
    <w:rsid w:val="005156A8"/>
    <w:rsid w:val="005158F5"/>
    <w:rsid w:val="00515901"/>
    <w:rsid w:val="00515979"/>
    <w:rsid w:val="0051599B"/>
    <w:rsid w:val="005159AD"/>
    <w:rsid w:val="00515CC5"/>
    <w:rsid w:val="00515E00"/>
    <w:rsid w:val="00515E7B"/>
    <w:rsid w:val="00515F01"/>
    <w:rsid w:val="0051614B"/>
    <w:rsid w:val="005162E8"/>
    <w:rsid w:val="005163B3"/>
    <w:rsid w:val="00516443"/>
    <w:rsid w:val="005164F4"/>
    <w:rsid w:val="005165B8"/>
    <w:rsid w:val="005165F2"/>
    <w:rsid w:val="005165F4"/>
    <w:rsid w:val="005169B4"/>
    <w:rsid w:val="00516A13"/>
    <w:rsid w:val="00516C5E"/>
    <w:rsid w:val="00516E9A"/>
    <w:rsid w:val="00516F03"/>
    <w:rsid w:val="00516F33"/>
    <w:rsid w:val="00516F4A"/>
    <w:rsid w:val="005170D6"/>
    <w:rsid w:val="00517253"/>
    <w:rsid w:val="005172A6"/>
    <w:rsid w:val="0051774D"/>
    <w:rsid w:val="005177BB"/>
    <w:rsid w:val="0051787A"/>
    <w:rsid w:val="00517E57"/>
    <w:rsid w:val="00517FBF"/>
    <w:rsid w:val="005200A2"/>
    <w:rsid w:val="00520124"/>
    <w:rsid w:val="0052017E"/>
    <w:rsid w:val="00520226"/>
    <w:rsid w:val="00520257"/>
    <w:rsid w:val="005202A8"/>
    <w:rsid w:val="005204C9"/>
    <w:rsid w:val="0052078E"/>
    <w:rsid w:val="00520809"/>
    <w:rsid w:val="0052085E"/>
    <w:rsid w:val="005209DC"/>
    <w:rsid w:val="00520B1A"/>
    <w:rsid w:val="00521204"/>
    <w:rsid w:val="005212E8"/>
    <w:rsid w:val="00521580"/>
    <w:rsid w:val="005215CF"/>
    <w:rsid w:val="0052164E"/>
    <w:rsid w:val="00521731"/>
    <w:rsid w:val="005217A0"/>
    <w:rsid w:val="00521AAF"/>
    <w:rsid w:val="00521ACA"/>
    <w:rsid w:val="00521AE5"/>
    <w:rsid w:val="00521AFC"/>
    <w:rsid w:val="00521C63"/>
    <w:rsid w:val="00521DCF"/>
    <w:rsid w:val="00522092"/>
    <w:rsid w:val="00522147"/>
    <w:rsid w:val="00522260"/>
    <w:rsid w:val="0052227E"/>
    <w:rsid w:val="00522461"/>
    <w:rsid w:val="0052254D"/>
    <w:rsid w:val="005225D0"/>
    <w:rsid w:val="00522660"/>
    <w:rsid w:val="0052299E"/>
    <w:rsid w:val="00522B32"/>
    <w:rsid w:val="00522B44"/>
    <w:rsid w:val="00522D38"/>
    <w:rsid w:val="00523170"/>
    <w:rsid w:val="005231E2"/>
    <w:rsid w:val="00523260"/>
    <w:rsid w:val="0052327C"/>
    <w:rsid w:val="005232AB"/>
    <w:rsid w:val="005234F5"/>
    <w:rsid w:val="00523520"/>
    <w:rsid w:val="00523582"/>
    <w:rsid w:val="00523626"/>
    <w:rsid w:val="0052367A"/>
    <w:rsid w:val="00523967"/>
    <w:rsid w:val="00523A23"/>
    <w:rsid w:val="00523D76"/>
    <w:rsid w:val="00523D92"/>
    <w:rsid w:val="00523D9A"/>
    <w:rsid w:val="00523EBB"/>
    <w:rsid w:val="00523F4E"/>
    <w:rsid w:val="00523F81"/>
    <w:rsid w:val="00524441"/>
    <w:rsid w:val="0052450C"/>
    <w:rsid w:val="005246C0"/>
    <w:rsid w:val="00524718"/>
    <w:rsid w:val="00524845"/>
    <w:rsid w:val="005249DF"/>
    <w:rsid w:val="00524AA9"/>
    <w:rsid w:val="00524BE1"/>
    <w:rsid w:val="00524D61"/>
    <w:rsid w:val="00524E4B"/>
    <w:rsid w:val="00524E57"/>
    <w:rsid w:val="00525008"/>
    <w:rsid w:val="00525053"/>
    <w:rsid w:val="00525755"/>
    <w:rsid w:val="00525D13"/>
    <w:rsid w:val="00525F32"/>
    <w:rsid w:val="00526385"/>
    <w:rsid w:val="005264AF"/>
    <w:rsid w:val="0052663F"/>
    <w:rsid w:val="005266F8"/>
    <w:rsid w:val="00526838"/>
    <w:rsid w:val="0052698A"/>
    <w:rsid w:val="00526B85"/>
    <w:rsid w:val="00526C63"/>
    <w:rsid w:val="00526E95"/>
    <w:rsid w:val="00526EEB"/>
    <w:rsid w:val="005270FA"/>
    <w:rsid w:val="0052723C"/>
    <w:rsid w:val="00527430"/>
    <w:rsid w:val="005276B9"/>
    <w:rsid w:val="00527769"/>
    <w:rsid w:val="00527869"/>
    <w:rsid w:val="005279B5"/>
    <w:rsid w:val="00527A40"/>
    <w:rsid w:val="00527D12"/>
    <w:rsid w:val="00527E06"/>
    <w:rsid w:val="00527E90"/>
    <w:rsid w:val="005302A8"/>
    <w:rsid w:val="0053047E"/>
    <w:rsid w:val="0053055E"/>
    <w:rsid w:val="005305CB"/>
    <w:rsid w:val="0053065E"/>
    <w:rsid w:val="00530746"/>
    <w:rsid w:val="00530958"/>
    <w:rsid w:val="00530960"/>
    <w:rsid w:val="00530B9F"/>
    <w:rsid w:val="00530C83"/>
    <w:rsid w:val="00530CAA"/>
    <w:rsid w:val="00530F1D"/>
    <w:rsid w:val="0053103C"/>
    <w:rsid w:val="005311F4"/>
    <w:rsid w:val="005312A4"/>
    <w:rsid w:val="005313AD"/>
    <w:rsid w:val="005313DD"/>
    <w:rsid w:val="005314DE"/>
    <w:rsid w:val="00531742"/>
    <w:rsid w:val="005318D6"/>
    <w:rsid w:val="00531B41"/>
    <w:rsid w:val="00531B84"/>
    <w:rsid w:val="00531D6F"/>
    <w:rsid w:val="00531E68"/>
    <w:rsid w:val="00532008"/>
    <w:rsid w:val="005322A1"/>
    <w:rsid w:val="005324F3"/>
    <w:rsid w:val="00532575"/>
    <w:rsid w:val="0053295C"/>
    <w:rsid w:val="00532996"/>
    <w:rsid w:val="005329FA"/>
    <w:rsid w:val="00532AAF"/>
    <w:rsid w:val="00532C35"/>
    <w:rsid w:val="00532E8C"/>
    <w:rsid w:val="0053300E"/>
    <w:rsid w:val="00533159"/>
    <w:rsid w:val="00533195"/>
    <w:rsid w:val="00533377"/>
    <w:rsid w:val="005333F6"/>
    <w:rsid w:val="00533567"/>
    <w:rsid w:val="0053360E"/>
    <w:rsid w:val="00533690"/>
    <w:rsid w:val="00533761"/>
    <w:rsid w:val="005339BC"/>
    <w:rsid w:val="00533A24"/>
    <w:rsid w:val="00533B73"/>
    <w:rsid w:val="00533C0F"/>
    <w:rsid w:val="005341DF"/>
    <w:rsid w:val="0053444B"/>
    <w:rsid w:val="0053444C"/>
    <w:rsid w:val="00534682"/>
    <w:rsid w:val="005349C0"/>
    <w:rsid w:val="00534AE5"/>
    <w:rsid w:val="00534B03"/>
    <w:rsid w:val="00534B7F"/>
    <w:rsid w:val="00534BF1"/>
    <w:rsid w:val="00534CE0"/>
    <w:rsid w:val="00534F62"/>
    <w:rsid w:val="00534F63"/>
    <w:rsid w:val="00534FF9"/>
    <w:rsid w:val="005350A5"/>
    <w:rsid w:val="0053510F"/>
    <w:rsid w:val="0053528C"/>
    <w:rsid w:val="00535325"/>
    <w:rsid w:val="005353FE"/>
    <w:rsid w:val="0053553E"/>
    <w:rsid w:val="00535675"/>
    <w:rsid w:val="00535679"/>
    <w:rsid w:val="00535753"/>
    <w:rsid w:val="005357CC"/>
    <w:rsid w:val="0053581F"/>
    <w:rsid w:val="0053598B"/>
    <w:rsid w:val="005359ED"/>
    <w:rsid w:val="00535A5F"/>
    <w:rsid w:val="00535B42"/>
    <w:rsid w:val="00535BC6"/>
    <w:rsid w:val="00535CD8"/>
    <w:rsid w:val="00535E0A"/>
    <w:rsid w:val="00535E20"/>
    <w:rsid w:val="00535E95"/>
    <w:rsid w:val="00536147"/>
    <w:rsid w:val="00536168"/>
    <w:rsid w:val="00536304"/>
    <w:rsid w:val="00536320"/>
    <w:rsid w:val="0053639B"/>
    <w:rsid w:val="0053658F"/>
    <w:rsid w:val="005369F3"/>
    <w:rsid w:val="00536ACB"/>
    <w:rsid w:val="00536ADB"/>
    <w:rsid w:val="00536CD1"/>
    <w:rsid w:val="00536F9D"/>
    <w:rsid w:val="00536FE7"/>
    <w:rsid w:val="0053724B"/>
    <w:rsid w:val="005372C7"/>
    <w:rsid w:val="005374A2"/>
    <w:rsid w:val="0053757C"/>
    <w:rsid w:val="005375B5"/>
    <w:rsid w:val="005375E8"/>
    <w:rsid w:val="00537639"/>
    <w:rsid w:val="005376E2"/>
    <w:rsid w:val="00537729"/>
    <w:rsid w:val="0053772C"/>
    <w:rsid w:val="00537E1D"/>
    <w:rsid w:val="00537ED4"/>
    <w:rsid w:val="00537EE3"/>
    <w:rsid w:val="00540032"/>
    <w:rsid w:val="0054011D"/>
    <w:rsid w:val="0054014D"/>
    <w:rsid w:val="0054015D"/>
    <w:rsid w:val="005401B0"/>
    <w:rsid w:val="00540450"/>
    <w:rsid w:val="005406EA"/>
    <w:rsid w:val="00540748"/>
    <w:rsid w:val="0054074D"/>
    <w:rsid w:val="0054076E"/>
    <w:rsid w:val="00540772"/>
    <w:rsid w:val="00540799"/>
    <w:rsid w:val="005407C5"/>
    <w:rsid w:val="00540AEE"/>
    <w:rsid w:val="00540C28"/>
    <w:rsid w:val="00540D57"/>
    <w:rsid w:val="00540D5C"/>
    <w:rsid w:val="00540EAF"/>
    <w:rsid w:val="00540EBE"/>
    <w:rsid w:val="00540F4D"/>
    <w:rsid w:val="00541021"/>
    <w:rsid w:val="005412CD"/>
    <w:rsid w:val="005412EE"/>
    <w:rsid w:val="005415CE"/>
    <w:rsid w:val="005416F8"/>
    <w:rsid w:val="00541707"/>
    <w:rsid w:val="005417F0"/>
    <w:rsid w:val="0054194F"/>
    <w:rsid w:val="005419BC"/>
    <w:rsid w:val="00541AC8"/>
    <w:rsid w:val="00541B73"/>
    <w:rsid w:val="00541C00"/>
    <w:rsid w:val="00541FBA"/>
    <w:rsid w:val="00541FC6"/>
    <w:rsid w:val="00542003"/>
    <w:rsid w:val="00542019"/>
    <w:rsid w:val="00542121"/>
    <w:rsid w:val="005421DA"/>
    <w:rsid w:val="005425AD"/>
    <w:rsid w:val="00542609"/>
    <w:rsid w:val="005426ED"/>
    <w:rsid w:val="005427C1"/>
    <w:rsid w:val="005428A7"/>
    <w:rsid w:val="005429BD"/>
    <w:rsid w:val="00542A35"/>
    <w:rsid w:val="00542A93"/>
    <w:rsid w:val="00542AA2"/>
    <w:rsid w:val="00542B0E"/>
    <w:rsid w:val="00542C1E"/>
    <w:rsid w:val="00542DA2"/>
    <w:rsid w:val="00542DEF"/>
    <w:rsid w:val="00542E05"/>
    <w:rsid w:val="00543025"/>
    <w:rsid w:val="005430F3"/>
    <w:rsid w:val="005431CD"/>
    <w:rsid w:val="00543264"/>
    <w:rsid w:val="00543317"/>
    <w:rsid w:val="005433AE"/>
    <w:rsid w:val="005434BB"/>
    <w:rsid w:val="00543517"/>
    <w:rsid w:val="005435AB"/>
    <w:rsid w:val="00543621"/>
    <w:rsid w:val="00543696"/>
    <w:rsid w:val="00543734"/>
    <w:rsid w:val="0054382C"/>
    <w:rsid w:val="0054398E"/>
    <w:rsid w:val="00543F94"/>
    <w:rsid w:val="00543FDF"/>
    <w:rsid w:val="00544028"/>
    <w:rsid w:val="0054416B"/>
    <w:rsid w:val="0054426D"/>
    <w:rsid w:val="0054428C"/>
    <w:rsid w:val="0054429E"/>
    <w:rsid w:val="005442D7"/>
    <w:rsid w:val="005445D3"/>
    <w:rsid w:val="005446FB"/>
    <w:rsid w:val="0054470D"/>
    <w:rsid w:val="00544721"/>
    <w:rsid w:val="00544760"/>
    <w:rsid w:val="0054478B"/>
    <w:rsid w:val="005449B5"/>
    <w:rsid w:val="00544A6C"/>
    <w:rsid w:val="00544C40"/>
    <w:rsid w:val="00544D72"/>
    <w:rsid w:val="00544EB2"/>
    <w:rsid w:val="00544EF1"/>
    <w:rsid w:val="00544F74"/>
    <w:rsid w:val="00544FF6"/>
    <w:rsid w:val="005450F4"/>
    <w:rsid w:val="00545103"/>
    <w:rsid w:val="005451A7"/>
    <w:rsid w:val="00545217"/>
    <w:rsid w:val="0054522F"/>
    <w:rsid w:val="005454A1"/>
    <w:rsid w:val="005457A1"/>
    <w:rsid w:val="0054585C"/>
    <w:rsid w:val="005459A6"/>
    <w:rsid w:val="005459B1"/>
    <w:rsid w:val="00545EC7"/>
    <w:rsid w:val="00545F5B"/>
    <w:rsid w:val="00545F7A"/>
    <w:rsid w:val="00546111"/>
    <w:rsid w:val="00546159"/>
    <w:rsid w:val="005462B1"/>
    <w:rsid w:val="00546416"/>
    <w:rsid w:val="00546499"/>
    <w:rsid w:val="0054650D"/>
    <w:rsid w:val="00546641"/>
    <w:rsid w:val="005466FC"/>
    <w:rsid w:val="0054675B"/>
    <w:rsid w:val="005467CD"/>
    <w:rsid w:val="00546810"/>
    <w:rsid w:val="00546C26"/>
    <w:rsid w:val="00546E1B"/>
    <w:rsid w:val="00546E38"/>
    <w:rsid w:val="00546E92"/>
    <w:rsid w:val="00546F20"/>
    <w:rsid w:val="00546FF9"/>
    <w:rsid w:val="00547165"/>
    <w:rsid w:val="00547198"/>
    <w:rsid w:val="00547313"/>
    <w:rsid w:val="0054747D"/>
    <w:rsid w:val="005474B1"/>
    <w:rsid w:val="00547ABD"/>
    <w:rsid w:val="00547B89"/>
    <w:rsid w:val="00547D7E"/>
    <w:rsid w:val="00547F06"/>
    <w:rsid w:val="00547F86"/>
    <w:rsid w:val="0055032F"/>
    <w:rsid w:val="005504D9"/>
    <w:rsid w:val="0055052C"/>
    <w:rsid w:val="0055055C"/>
    <w:rsid w:val="00550616"/>
    <w:rsid w:val="00550BDA"/>
    <w:rsid w:val="00550D35"/>
    <w:rsid w:val="00550DCD"/>
    <w:rsid w:val="00550E11"/>
    <w:rsid w:val="00550E1C"/>
    <w:rsid w:val="00550EC2"/>
    <w:rsid w:val="00550F07"/>
    <w:rsid w:val="005511CC"/>
    <w:rsid w:val="0055126E"/>
    <w:rsid w:val="00551630"/>
    <w:rsid w:val="0055163E"/>
    <w:rsid w:val="00551751"/>
    <w:rsid w:val="0055175A"/>
    <w:rsid w:val="00551A29"/>
    <w:rsid w:val="00551C10"/>
    <w:rsid w:val="00551D2B"/>
    <w:rsid w:val="00552154"/>
    <w:rsid w:val="0055225C"/>
    <w:rsid w:val="00552318"/>
    <w:rsid w:val="005524D7"/>
    <w:rsid w:val="00552B46"/>
    <w:rsid w:val="00552BAB"/>
    <w:rsid w:val="00552BE6"/>
    <w:rsid w:val="00552C3E"/>
    <w:rsid w:val="00552D0A"/>
    <w:rsid w:val="00552D0D"/>
    <w:rsid w:val="00552DBA"/>
    <w:rsid w:val="00552E5E"/>
    <w:rsid w:val="00552E79"/>
    <w:rsid w:val="00552EFD"/>
    <w:rsid w:val="005530C2"/>
    <w:rsid w:val="00553179"/>
    <w:rsid w:val="0055328D"/>
    <w:rsid w:val="00553378"/>
    <w:rsid w:val="0055356C"/>
    <w:rsid w:val="0055378B"/>
    <w:rsid w:val="005538B1"/>
    <w:rsid w:val="00553B01"/>
    <w:rsid w:val="00553B0C"/>
    <w:rsid w:val="00553B8D"/>
    <w:rsid w:val="00553C38"/>
    <w:rsid w:val="00553D87"/>
    <w:rsid w:val="0055417D"/>
    <w:rsid w:val="005542B2"/>
    <w:rsid w:val="00554498"/>
    <w:rsid w:val="00554583"/>
    <w:rsid w:val="00554726"/>
    <w:rsid w:val="005548B3"/>
    <w:rsid w:val="00554B51"/>
    <w:rsid w:val="00554CCB"/>
    <w:rsid w:val="00554D47"/>
    <w:rsid w:val="00554D5C"/>
    <w:rsid w:val="00554E48"/>
    <w:rsid w:val="00554E7C"/>
    <w:rsid w:val="00554EE9"/>
    <w:rsid w:val="005552B6"/>
    <w:rsid w:val="00555354"/>
    <w:rsid w:val="005553C5"/>
    <w:rsid w:val="00555603"/>
    <w:rsid w:val="0055565F"/>
    <w:rsid w:val="00555847"/>
    <w:rsid w:val="00555921"/>
    <w:rsid w:val="00555A41"/>
    <w:rsid w:val="00555A43"/>
    <w:rsid w:val="00555B36"/>
    <w:rsid w:val="00555C21"/>
    <w:rsid w:val="00555C63"/>
    <w:rsid w:val="00555C7F"/>
    <w:rsid w:val="00555C94"/>
    <w:rsid w:val="00555D43"/>
    <w:rsid w:val="00555DF9"/>
    <w:rsid w:val="00555F3D"/>
    <w:rsid w:val="00555F73"/>
    <w:rsid w:val="005560C7"/>
    <w:rsid w:val="00556160"/>
    <w:rsid w:val="005561EE"/>
    <w:rsid w:val="00556205"/>
    <w:rsid w:val="00556315"/>
    <w:rsid w:val="00556318"/>
    <w:rsid w:val="00556439"/>
    <w:rsid w:val="00556878"/>
    <w:rsid w:val="00556931"/>
    <w:rsid w:val="00556BAD"/>
    <w:rsid w:val="00556CB9"/>
    <w:rsid w:val="00556D4A"/>
    <w:rsid w:val="00557086"/>
    <w:rsid w:val="0055711D"/>
    <w:rsid w:val="0055717B"/>
    <w:rsid w:val="005572EA"/>
    <w:rsid w:val="00557436"/>
    <w:rsid w:val="00557445"/>
    <w:rsid w:val="00557538"/>
    <w:rsid w:val="0055756F"/>
    <w:rsid w:val="005576E1"/>
    <w:rsid w:val="005577C2"/>
    <w:rsid w:val="005577FF"/>
    <w:rsid w:val="00557862"/>
    <w:rsid w:val="005578DE"/>
    <w:rsid w:val="005578EA"/>
    <w:rsid w:val="005579FB"/>
    <w:rsid w:val="00557A95"/>
    <w:rsid w:val="00557B1A"/>
    <w:rsid w:val="00557B2A"/>
    <w:rsid w:val="00557CD3"/>
    <w:rsid w:val="005600C5"/>
    <w:rsid w:val="0056017D"/>
    <w:rsid w:val="00560268"/>
    <w:rsid w:val="005602A5"/>
    <w:rsid w:val="005602C5"/>
    <w:rsid w:val="0056040E"/>
    <w:rsid w:val="005605A4"/>
    <w:rsid w:val="00560640"/>
    <w:rsid w:val="005606B8"/>
    <w:rsid w:val="00560769"/>
    <w:rsid w:val="005607E7"/>
    <w:rsid w:val="0056085A"/>
    <w:rsid w:val="00560BD6"/>
    <w:rsid w:val="00560C5A"/>
    <w:rsid w:val="00560CA2"/>
    <w:rsid w:val="00560E92"/>
    <w:rsid w:val="00561198"/>
    <w:rsid w:val="00561241"/>
    <w:rsid w:val="0056131E"/>
    <w:rsid w:val="0056135C"/>
    <w:rsid w:val="00561368"/>
    <w:rsid w:val="0056137A"/>
    <w:rsid w:val="005614E2"/>
    <w:rsid w:val="0056171F"/>
    <w:rsid w:val="0056196C"/>
    <w:rsid w:val="00561B33"/>
    <w:rsid w:val="00561C28"/>
    <w:rsid w:val="00561EDD"/>
    <w:rsid w:val="00561F75"/>
    <w:rsid w:val="00562044"/>
    <w:rsid w:val="0056209D"/>
    <w:rsid w:val="0056222C"/>
    <w:rsid w:val="005622DD"/>
    <w:rsid w:val="00562390"/>
    <w:rsid w:val="005624F8"/>
    <w:rsid w:val="0056260C"/>
    <w:rsid w:val="005627A9"/>
    <w:rsid w:val="005628A5"/>
    <w:rsid w:val="00562A63"/>
    <w:rsid w:val="00562CAA"/>
    <w:rsid w:val="00562F1E"/>
    <w:rsid w:val="0056311E"/>
    <w:rsid w:val="0056323A"/>
    <w:rsid w:val="00563269"/>
    <w:rsid w:val="0056354D"/>
    <w:rsid w:val="00563594"/>
    <w:rsid w:val="005635BF"/>
    <w:rsid w:val="005636CE"/>
    <w:rsid w:val="00563818"/>
    <w:rsid w:val="005639FE"/>
    <w:rsid w:val="00563AAB"/>
    <w:rsid w:val="00563B42"/>
    <w:rsid w:val="00563EBF"/>
    <w:rsid w:val="00563F68"/>
    <w:rsid w:val="00563FBB"/>
    <w:rsid w:val="00564017"/>
    <w:rsid w:val="005640CB"/>
    <w:rsid w:val="005641C8"/>
    <w:rsid w:val="005641ED"/>
    <w:rsid w:val="00564233"/>
    <w:rsid w:val="00564241"/>
    <w:rsid w:val="00564345"/>
    <w:rsid w:val="00564594"/>
    <w:rsid w:val="005647E0"/>
    <w:rsid w:val="005648A2"/>
    <w:rsid w:val="00564921"/>
    <w:rsid w:val="00564D1D"/>
    <w:rsid w:val="00564D21"/>
    <w:rsid w:val="00564D2D"/>
    <w:rsid w:val="00564E7B"/>
    <w:rsid w:val="00564EC2"/>
    <w:rsid w:val="00564F2A"/>
    <w:rsid w:val="0056514E"/>
    <w:rsid w:val="0056518A"/>
    <w:rsid w:val="005652C4"/>
    <w:rsid w:val="005655A7"/>
    <w:rsid w:val="0056563C"/>
    <w:rsid w:val="005657F0"/>
    <w:rsid w:val="005658EF"/>
    <w:rsid w:val="00565A60"/>
    <w:rsid w:val="00565AB7"/>
    <w:rsid w:val="00565BA8"/>
    <w:rsid w:val="00565FD5"/>
    <w:rsid w:val="0056615D"/>
    <w:rsid w:val="005661AB"/>
    <w:rsid w:val="005661BD"/>
    <w:rsid w:val="005663A0"/>
    <w:rsid w:val="005663C2"/>
    <w:rsid w:val="0056641A"/>
    <w:rsid w:val="0056656D"/>
    <w:rsid w:val="00566685"/>
    <w:rsid w:val="005669ED"/>
    <w:rsid w:val="00566AA7"/>
    <w:rsid w:val="00566B08"/>
    <w:rsid w:val="00566B62"/>
    <w:rsid w:val="00566CA8"/>
    <w:rsid w:val="00566DEB"/>
    <w:rsid w:val="00566E08"/>
    <w:rsid w:val="00566F8C"/>
    <w:rsid w:val="005670D5"/>
    <w:rsid w:val="0056746A"/>
    <w:rsid w:val="005674EC"/>
    <w:rsid w:val="00567616"/>
    <w:rsid w:val="0056768D"/>
    <w:rsid w:val="0056776F"/>
    <w:rsid w:val="005677EE"/>
    <w:rsid w:val="00567BDA"/>
    <w:rsid w:val="00567C4E"/>
    <w:rsid w:val="00567CEE"/>
    <w:rsid w:val="00567E60"/>
    <w:rsid w:val="00567EE5"/>
    <w:rsid w:val="00567F9E"/>
    <w:rsid w:val="005703D6"/>
    <w:rsid w:val="005703F6"/>
    <w:rsid w:val="0057057B"/>
    <w:rsid w:val="005705E5"/>
    <w:rsid w:val="005706CB"/>
    <w:rsid w:val="0057079D"/>
    <w:rsid w:val="00570942"/>
    <w:rsid w:val="00570A23"/>
    <w:rsid w:val="00570F84"/>
    <w:rsid w:val="005710A2"/>
    <w:rsid w:val="0057114E"/>
    <w:rsid w:val="00571267"/>
    <w:rsid w:val="00571576"/>
    <w:rsid w:val="0057164C"/>
    <w:rsid w:val="0057165F"/>
    <w:rsid w:val="005718A7"/>
    <w:rsid w:val="00571945"/>
    <w:rsid w:val="005719C4"/>
    <w:rsid w:val="00571A40"/>
    <w:rsid w:val="00571B6C"/>
    <w:rsid w:val="00571BB9"/>
    <w:rsid w:val="00571BCB"/>
    <w:rsid w:val="00571E19"/>
    <w:rsid w:val="00571ECA"/>
    <w:rsid w:val="00571FF1"/>
    <w:rsid w:val="0057207E"/>
    <w:rsid w:val="005720EF"/>
    <w:rsid w:val="00572173"/>
    <w:rsid w:val="0057235D"/>
    <w:rsid w:val="00572367"/>
    <w:rsid w:val="005723E3"/>
    <w:rsid w:val="00572627"/>
    <w:rsid w:val="0057272F"/>
    <w:rsid w:val="005729E5"/>
    <w:rsid w:val="00572A67"/>
    <w:rsid w:val="00572B3A"/>
    <w:rsid w:val="00572C32"/>
    <w:rsid w:val="00572EAF"/>
    <w:rsid w:val="00572F3A"/>
    <w:rsid w:val="00572F99"/>
    <w:rsid w:val="005730B4"/>
    <w:rsid w:val="00573385"/>
    <w:rsid w:val="00573538"/>
    <w:rsid w:val="00573881"/>
    <w:rsid w:val="00573F21"/>
    <w:rsid w:val="00574023"/>
    <w:rsid w:val="0057477F"/>
    <w:rsid w:val="005747A6"/>
    <w:rsid w:val="005749DD"/>
    <w:rsid w:val="00574D1F"/>
    <w:rsid w:val="00574D24"/>
    <w:rsid w:val="00574F2B"/>
    <w:rsid w:val="00575074"/>
    <w:rsid w:val="005755FD"/>
    <w:rsid w:val="0057570E"/>
    <w:rsid w:val="00575718"/>
    <w:rsid w:val="00575723"/>
    <w:rsid w:val="005758A2"/>
    <w:rsid w:val="00575913"/>
    <w:rsid w:val="00575A37"/>
    <w:rsid w:val="00575A4B"/>
    <w:rsid w:val="00575E39"/>
    <w:rsid w:val="005760D1"/>
    <w:rsid w:val="0057612A"/>
    <w:rsid w:val="0057621F"/>
    <w:rsid w:val="00576445"/>
    <w:rsid w:val="0057653B"/>
    <w:rsid w:val="005765EF"/>
    <w:rsid w:val="0057669E"/>
    <w:rsid w:val="00576830"/>
    <w:rsid w:val="0057698E"/>
    <w:rsid w:val="005769CB"/>
    <w:rsid w:val="00576BFA"/>
    <w:rsid w:val="00576CF0"/>
    <w:rsid w:val="00576E63"/>
    <w:rsid w:val="00576F06"/>
    <w:rsid w:val="00576F3E"/>
    <w:rsid w:val="00576F48"/>
    <w:rsid w:val="00576FB2"/>
    <w:rsid w:val="005770B1"/>
    <w:rsid w:val="00577222"/>
    <w:rsid w:val="00577265"/>
    <w:rsid w:val="005773CD"/>
    <w:rsid w:val="0057747D"/>
    <w:rsid w:val="005778DC"/>
    <w:rsid w:val="00577A11"/>
    <w:rsid w:val="00577D25"/>
    <w:rsid w:val="00577E41"/>
    <w:rsid w:val="00577EA7"/>
    <w:rsid w:val="00577FED"/>
    <w:rsid w:val="00580029"/>
    <w:rsid w:val="00580451"/>
    <w:rsid w:val="00580463"/>
    <w:rsid w:val="005806C0"/>
    <w:rsid w:val="005806D1"/>
    <w:rsid w:val="00580948"/>
    <w:rsid w:val="00580B1B"/>
    <w:rsid w:val="00580C4F"/>
    <w:rsid w:val="00580ED3"/>
    <w:rsid w:val="00580EE0"/>
    <w:rsid w:val="00580EF1"/>
    <w:rsid w:val="00580FBE"/>
    <w:rsid w:val="00581086"/>
    <w:rsid w:val="005811A8"/>
    <w:rsid w:val="00581348"/>
    <w:rsid w:val="005813E0"/>
    <w:rsid w:val="005816F4"/>
    <w:rsid w:val="00581783"/>
    <w:rsid w:val="00581943"/>
    <w:rsid w:val="00581A7A"/>
    <w:rsid w:val="00581B61"/>
    <w:rsid w:val="00581C7E"/>
    <w:rsid w:val="00581CA5"/>
    <w:rsid w:val="00581CDF"/>
    <w:rsid w:val="00581DA7"/>
    <w:rsid w:val="00581E31"/>
    <w:rsid w:val="00581E47"/>
    <w:rsid w:val="0058205B"/>
    <w:rsid w:val="00582168"/>
    <w:rsid w:val="0058245D"/>
    <w:rsid w:val="005824F7"/>
    <w:rsid w:val="00582953"/>
    <w:rsid w:val="00582A62"/>
    <w:rsid w:val="00582AA0"/>
    <w:rsid w:val="00582D68"/>
    <w:rsid w:val="00582D72"/>
    <w:rsid w:val="00582F21"/>
    <w:rsid w:val="00583291"/>
    <w:rsid w:val="005833B8"/>
    <w:rsid w:val="00583441"/>
    <w:rsid w:val="00583462"/>
    <w:rsid w:val="005834B1"/>
    <w:rsid w:val="0058358A"/>
    <w:rsid w:val="005835E9"/>
    <w:rsid w:val="005836CC"/>
    <w:rsid w:val="005839D0"/>
    <w:rsid w:val="00583B27"/>
    <w:rsid w:val="00583FAA"/>
    <w:rsid w:val="0058412B"/>
    <w:rsid w:val="00584323"/>
    <w:rsid w:val="00584461"/>
    <w:rsid w:val="00584511"/>
    <w:rsid w:val="005846EF"/>
    <w:rsid w:val="00584762"/>
    <w:rsid w:val="005847C0"/>
    <w:rsid w:val="005848C4"/>
    <w:rsid w:val="00584C80"/>
    <w:rsid w:val="00584DCD"/>
    <w:rsid w:val="00584EE5"/>
    <w:rsid w:val="0058502C"/>
    <w:rsid w:val="0058530D"/>
    <w:rsid w:val="00585313"/>
    <w:rsid w:val="00585326"/>
    <w:rsid w:val="005853D2"/>
    <w:rsid w:val="00585723"/>
    <w:rsid w:val="00585746"/>
    <w:rsid w:val="00585802"/>
    <w:rsid w:val="00585803"/>
    <w:rsid w:val="00585858"/>
    <w:rsid w:val="00585932"/>
    <w:rsid w:val="00585A57"/>
    <w:rsid w:val="00585AA2"/>
    <w:rsid w:val="00585ACA"/>
    <w:rsid w:val="00585B5E"/>
    <w:rsid w:val="00585BB1"/>
    <w:rsid w:val="00585EB3"/>
    <w:rsid w:val="00585EEB"/>
    <w:rsid w:val="00586038"/>
    <w:rsid w:val="0058606A"/>
    <w:rsid w:val="005860CA"/>
    <w:rsid w:val="00586289"/>
    <w:rsid w:val="005862C6"/>
    <w:rsid w:val="0058635A"/>
    <w:rsid w:val="00586428"/>
    <w:rsid w:val="00586532"/>
    <w:rsid w:val="0058653A"/>
    <w:rsid w:val="005867B3"/>
    <w:rsid w:val="0058687D"/>
    <w:rsid w:val="00586BCE"/>
    <w:rsid w:val="00587011"/>
    <w:rsid w:val="00587352"/>
    <w:rsid w:val="00587477"/>
    <w:rsid w:val="00587665"/>
    <w:rsid w:val="005876A4"/>
    <w:rsid w:val="00587802"/>
    <w:rsid w:val="00587A0D"/>
    <w:rsid w:val="00587B5C"/>
    <w:rsid w:val="00587C7E"/>
    <w:rsid w:val="00587DEB"/>
    <w:rsid w:val="00587EC9"/>
    <w:rsid w:val="005901C0"/>
    <w:rsid w:val="00590252"/>
    <w:rsid w:val="005902AA"/>
    <w:rsid w:val="00590501"/>
    <w:rsid w:val="00590581"/>
    <w:rsid w:val="00590802"/>
    <w:rsid w:val="00590803"/>
    <w:rsid w:val="00590AC3"/>
    <w:rsid w:val="00590BD2"/>
    <w:rsid w:val="00590E9C"/>
    <w:rsid w:val="00590F58"/>
    <w:rsid w:val="00591169"/>
    <w:rsid w:val="00591228"/>
    <w:rsid w:val="00591306"/>
    <w:rsid w:val="005915D3"/>
    <w:rsid w:val="00591747"/>
    <w:rsid w:val="00591780"/>
    <w:rsid w:val="005918DE"/>
    <w:rsid w:val="005918FD"/>
    <w:rsid w:val="0059192C"/>
    <w:rsid w:val="00591BF8"/>
    <w:rsid w:val="00591FDA"/>
    <w:rsid w:val="00591FFD"/>
    <w:rsid w:val="0059201E"/>
    <w:rsid w:val="0059220F"/>
    <w:rsid w:val="00592B6D"/>
    <w:rsid w:val="00592B6F"/>
    <w:rsid w:val="00592C48"/>
    <w:rsid w:val="00592D10"/>
    <w:rsid w:val="00592E90"/>
    <w:rsid w:val="00592EB0"/>
    <w:rsid w:val="00592F82"/>
    <w:rsid w:val="005930C9"/>
    <w:rsid w:val="00593128"/>
    <w:rsid w:val="00593265"/>
    <w:rsid w:val="005934FC"/>
    <w:rsid w:val="005935A3"/>
    <w:rsid w:val="00593875"/>
    <w:rsid w:val="00593DC7"/>
    <w:rsid w:val="00593E92"/>
    <w:rsid w:val="00593F1A"/>
    <w:rsid w:val="00593F64"/>
    <w:rsid w:val="00594060"/>
    <w:rsid w:val="005940FC"/>
    <w:rsid w:val="0059421B"/>
    <w:rsid w:val="0059432F"/>
    <w:rsid w:val="0059474E"/>
    <w:rsid w:val="0059481A"/>
    <w:rsid w:val="0059494C"/>
    <w:rsid w:val="005949D6"/>
    <w:rsid w:val="00594C92"/>
    <w:rsid w:val="00594D4E"/>
    <w:rsid w:val="00594D9A"/>
    <w:rsid w:val="00594FFB"/>
    <w:rsid w:val="00595000"/>
    <w:rsid w:val="005950EC"/>
    <w:rsid w:val="0059521F"/>
    <w:rsid w:val="005956A7"/>
    <w:rsid w:val="00595A76"/>
    <w:rsid w:val="00595B4C"/>
    <w:rsid w:val="00595F01"/>
    <w:rsid w:val="00595F76"/>
    <w:rsid w:val="0059610F"/>
    <w:rsid w:val="005962BA"/>
    <w:rsid w:val="0059666B"/>
    <w:rsid w:val="00596767"/>
    <w:rsid w:val="00596859"/>
    <w:rsid w:val="0059699A"/>
    <w:rsid w:val="00596D1C"/>
    <w:rsid w:val="005975B4"/>
    <w:rsid w:val="0059769F"/>
    <w:rsid w:val="0059776D"/>
    <w:rsid w:val="00597887"/>
    <w:rsid w:val="00597971"/>
    <w:rsid w:val="00597A54"/>
    <w:rsid w:val="00597CCE"/>
    <w:rsid w:val="00597DDB"/>
    <w:rsid w:val="00597E83"/>
    <w:rsid w:val="0059FEF5"/>
    <w:rsid w:val="005A0048"/>
    <w:rsid w:val="005A0290"/>
    <w:rsid w:val="005A0366"/>
    <w:rsid w:val="005A0400"/>
    <w:rsid w:val="005A0572"/>
    <w:rsid w:val="005A06F3"/>
    <w:rsid w:val="005A07E5"/>
    <w:rsid w:val="005A089A"/>
    <w:rsid w:val="005A0A42"/>
    <w:rsid w:val="005A0A73"/>
    <w:rsid w:val="005A0EE8"/>
    <w:rsid w:val="005A0EFB"/>
    <w:rsid w:val="005A0F6A"/>
    <w:rsid w:val="005A11FB"/>
    <w:rsid w:val="005A1212"/>
    <w:rsid w:val="005A126A"/>
    <w:rsid w:val="005A13C3"/>
    <w:rsid w:val="005A1461"/>
    <w:rsid w:val="005A158A"/>
    <w:rsid w:val="005A15AF"/>
    <w:rsid w:val="005A1682"/>
    <w:rsid w:val="005A1A13"/>
    <w:rsid w:val="005A1B62"/>
    <w:rsid w:val="005A1E19"/>
    <w:rsid w:val="005A1EA3"/>
    <w:rsid w:val="005A1F4E"/>
    <w:rsid w:val="005A1F55"/>
    <w:rsid w:val="005A1FCA"/>
    <w:rsid w:val="005A1FD0"/>
    <w:rsid w:val="005A1FFB"/>
    <w:rsid w:val="005A21A7"/>
    <w:rsid w:val="005A226F"/>
    <w:rsid w:val="005A255A"/>
    <w:rsid w:val="005A2569"/>
    <w:rsid w:val="005A2825"/>
    <w:rsid w:val="005A282E"/>
    <w:rsid w:val="005A2955"/>
    <w:rsid w:val="005A29D6"/>
    <w:rsid w:val="005A2E10"/>
    <w:rsid w:val="005A2EE5"/>
    <w:rsid w:val="005A2F81"/>
    <w:rsid w:val="005A3059"/>
    <w:rsid w:val="005A305F"/>
    <w:rsid w:val="005A33E0"/>
    <w:rsid w:val="005A3460"/>
    <w:rsid w:val="005A3480"/>
    <w:rsid w:val="005A3894"/>
    <w:rsid w:val="005A3902"/>
    <w:rsid w:val="005A39A5"/>
    <w:rsid w:val="005A3CCA"/>
    <w:rsid w:val="005A3CDC"/>
    <w:rsid w:val="005A4075"/>
    <w:rsid w:val="005A4225"/>
    <w:rsid w:val="005A425A"/>
    <w:rsid w:val="005A4266"/>
    <w:rsid w:val="005A44D6"/>
    <w:rsid w:val="005A459A"/>
    <w:rsid w:val="005A4738"/>
    <w:rsid w:val="005A477A"/>
    <w:rsid w:val="005A4802"/>
    <w:rsid w:val="005A4856"/>
    <w:rsid w:val="005A48C4"/>
    <w:rsid w:val="005A48F0"/>
    <w:rsid w:val="005A4A30"/>
    <w:rsid w:val="005A4AF4"/>
    <w:rsid w:val="005A4CDB"/>
    <w:rsid w:val="005A4D36"/>
    <w:rsid w:val="005A4E06"/>
    <w:rsid w:val="005A4EAA"/>
    <w:rsid w:val="005A4F80"/>
    <w:rsid w:val="005A5067"/>
    <w:rsid w:val="005A50BC"/>
    <w:rsid w:val="005A513C"/>
    <w:rsid w:val="005A5253"/>
    <w:rsid w:val="005A52AB"/>
    <w:rsid w:val="005A5342"/>
    <w:rsid w:val="005A54E3"/>
    <w:rsid w:val="005A55CB"/>
    <w:rsid w:val="005A56B6"/>
    <w:rsid w:val="005A5747"/>
    <w:rsid w:val="005A5876"/>
    <w:rsid w:val="005A58B1"/>
    <w:rsid w:val="005A5FAD"/>
    <w:rsid w:val="005A6004"/>
    <w:rsid w:val="005A6084"/>
    <w:rsid w:val="005A60DA"/>
    <w:rsid w:val="005A60F0"/>
    <w:rsid w:val="005A6155"/>
    <w:rsid w:val="005A63A8"/>
    <w:rsid w:val="005A63D9"/>
    <w:rsid w:val="005A6490"/>
    <w:rsid w:val="005A66D6"/>
    <w:rsid w:val="005A676C"/>
    <w:rsid w:val="005A680A"/>
    <w:rsid w:val="005A6A19"/>
    <w:rsid w:val="005A6A99"/>
    <w:rsid w:val="005A6BF9"/>
    <w:rsid w:val="005A6DE8"/>
    <w:rsid w:val="005A6F4C"/>
    <w:rsid w:val="005A6F8A"/>
    <w:rsid w:val="005A6FF5"/>
    <w:rsid w:val="005A7113"/>
    <w:rsid w:val="005A7163"/>
    <w:rsid w:val="005A744D"/>
    <w:rsid w:val="005A758E"/>
    <w:rsid w:val="005A765B"/>
    <w:rsid w:val="005A76C9"/>
    <w:rsid w:val="005A77E1"/>
    <w:rsid w:val="005A78C5"/>
    <w:rsid w:val="005A7B65"/>
    <w:rsid w:val="005A7D6E"/>
    <w:rsid w:val="005A7DB6"/>
    <w:rsid w:val="005A7E46"/>
    <w:rsid w:val="005A7E6E"/>
    <w:rsid w:val="005B0099"/>
    <w:rsid w:val="005B01B2"/>
    <w:rsid w:val="005B02A4"/>
    <w:rsid w:val="005B04CE"/>
    <w:rsid w:val="005B0925"/>
    <w:rsid w:val="005B0933"/>
    <w:rsid w:val="005B0BBB"/>
    <w:rsid w:val="005B0BC0"/>
    <w:rsid w:val="005B0D74"/>
    <w:rsid w:val="005B0EEC"/>
    <w:rsid w:val="005B0F5E"/>
    <w:rsid w:val="005B104E"/>
    <w:rsid w:val="005B13E3"/>
    <w:rsid w:val="005B15EC"/>
    <w:rsid w:val="005B171C"/>
    <w:rsid w:val="005B18C9"/>
    <w:rsid w:val="005B18D3"/>
    <w:rsid w:val="005B18DE"/>
    <w:rsid w:val="005B194E"/>
    <w:rsid w:val="005B1A10"/>
    <w:rsid w:val="005B1B0E"/>
    <w:rsid w:val="005B1B31"/>
    <w:rsid w:val="005B1BE7"/>
    <w:rsid w:val="005B1C8B"/>
    <w:rsid w:val="005B1CF7"/>
    <w:rsid w:val="005B1D1B"/>
    <w:rsid w:val="005B21FA"/>
    <w:rsid w:val="005B22BF"/>
    <w:rsid w:val="005B24B6"/>
    <w:rsid w:val="005B254D"/>
    <w:rsid w:val="005B26A6"/>
    <w:rsid w:val="005B26E0"/>
    <w:rsid w:val="005B2830"/>
    <w:rsid w:val="005B283C"/>
    <w:rsid w:val="005B285A"/>
    <w:rsid w:val="005B286C"/>
    <w:rsid w:val="005B2B2A"/>
    <w:rsid w:val="005B2EC7"/>
    <w:rsid w:val="005B2EDD"/>
    <w:rsid w:val="005B2F5B"/>
    <w:rsid w:val="005B31AC"/>
    <w:rsid w:val="005B34C6"/>
    <w:rsid w:val="005B35F2"/>
    <w:rsid w:val="005B36B5"/>
    <w:rsid w:val="005B3827"/>
    <w:rsid w:val="005B397C"/>
    <w:rsid w:val="005B3AC7"/>
    <w:rsid w:val="005B3C95"/>
    <w:rsid w:val="005B3E0A"/>
    <w:rsid w:val="005B3F52"/>
    <w:rsid w:val="005B3FEB"/>
    <w:rsid w:val="005B4005"/>
    <w:rsid w:val="005B43DA"/>
    <w:rsid w:val="005B472B"/>
    <w:rsid w:val="005B479A"/>
    <w:rsid w:val="005B47FE"/>
    <w:rsid w:val="005B4800"/>
    <w:rsid w:val="005B4BAB"/>
    <w:rsid w:val="005B4BD6"/>
    <w:rsid w:val="005B4C18"/>
    <w:rsid w:val="005B4C77"/>
    <w:rsid w:val="005B4F6A"/>
    <w:rsid w:val="005B50F3"/>
    <w:rsid w:val="005B536F"/>
    <w:rsid w:val="005B546D"/>
    <w:rsid w:val="005B5673"/>
    <w:rsid w:val="005B581E"/>
    <w:rsid w:val="005B58A7"/>
    <w:rsid w:val="005B5977"/>
    <w:rsid w:val="005B597F"/>
    <w:rsid w:val="005B5A7C"/>
    <w:rsid w:val="005B5AD4"/>
    <w:rsid w:val="005B5B95"/>
    <w:rsid w:val="005B5EC2"/>
    <w:rsid w:val="005B5FE2"/>
    <w:rsid w:val="005B60CA"/>
    <w:rsid w:val="005B61DF"/>
    <w:rsid w:val="005B65C5"/>
    <w:rsid w:val="005B6619"/>
    <w:rsid w:val="005B66BA"/>
    <w:rsid w:val="005B66D5"/>
    <w:rsid w:val="005B67DF"/>
    <w:rsid w:val="005B687F"/>
    <w:rsid w:val="005B6896"/>
    <w:rsid w:val="005B68F9"/>
    <w:rsid w:val="005B6EF7"/>
    <w:rsid w:val="005B6F41"/>
    <w:rsid w:val="005B6F7B"/>
    <w:rsid w:val="005B7088"/>
    <w:rsid w:val="005B7351"/>
    <w:rsid w:val="005B7355"/>
    <w:rsid w:val="005B74E1"/>
    <w:rsid w:val="005B75EE"/>
    <w:rsid w:val="005B76AE"/>
    <w:rsid w:val="005B78B1"/>
    <w:rsid w:val="005B7AF4"/>
    <w:rsid w:val="005B7B23"/>
    <w:rsid w:val="005B7F71"/>
    <w:rsid w:val="005C0033"/>
    <w:rsid w:val="005C0076"/>
    <w:rsid w:val="005C011A"/>
    <w:rsid w:val="005C013D"/>
    <w:rsid w:val="005C01A9"/>
    <w:rsid w:val="005C0269"/>
    <w:rsid w:val="005C026D"/>
    <w:rsid w:val="005C02B4"/>
    <w:rsid w:val="005C02FE"/>
    <w:rsid w:val="005C0625"/>
    <w:rsid w:val="005C064C"/>
    <w:rsid w:val="005C066E"/>
    <w:rsid w:val="005C0BD5"/>
    <w:rsid w:val="005C0DCE"/>
    <w:rsid w:val="005C103E"/>
    <w:rsid w:val="005C12B3"/>
    <w:rsid w:val="005C1503"/>
    <w:rsid w:val="005C16AE"/>
    <w:rsid w:val="005C16E5"/>
    <w:rsid w:val="005C1726"/>
    <w:rsid w:val="005C178C"/>
    <w:rsid w:val="005C1873"/>
    <w:rsid w:val="005C1A91"/>
    <w:rsid w:val="005C1AA5"/>
    <w:rsid w:val="005C1B3E"/>
    <w:rsid w:val="005C1D7E"/>
    <w:rsid w:val="005C1E52"/>
    <w:rsid w:val="005C1F58"/>
    <w:rsid w:val="005C2026"/>
    <w:rsid w:val="005C219A"/>
    <w:rsid w:val="005C2277"/>
    <w:rsid w:val="005C22B6"/>
    <w:rsid w:val="005C2433"/>
    <w:rsid w:val="005C24D9"/>
    <w:rsid w:val="005C25E2"/>
    <w:rsid w:val="005C293D"/>
    <w:rsid w:val="005C2B17"/>
    <w:rsid w:val="005C2CB1"/>
    <w:rsid w:val="005C2D82"/>
    <w:rsid w:val="005C2ED9"/>
    <w:rsid w:val="005C2F3A"/>
    <w:rsid w:val="005C2F69"/>
    <w:rsid w:val="005C2FBD"/>
    <w:rsid w:val="005C327C"/>
    <w:rsid w:val="005C33E7"/>
    <w:rsid w:val="005C352F"/>
    <w:rsid w:val="005C35A8"/>
    <w:rsid w:val="005C3630"/>
    <w:rsid w:val="005C36B5"/>
    <w:rsid w:val="005C389A"/>
    <w:rsid w:val="005C38B9"/>
    <w:rsid w:val="005C3DB0"/>
    <w:rsid w:val="005C4061"/>
    <w:rsid w:val="005C4158"/>
    <w:rsid w:val="005C422F"/>
    <w:rsid w:val="005C42BF"/>
    <w:rsid w:val="005C447B"/>
    <w:rsid w:val="005C4620"/>
    <w:rsid w:val="005C467A"/>
    <w:rsid w:val="005C4690"/>
    <w:rsid w:val="005C48A9"/>
    <w:rsid w:val="005C48D1"/>
    <w:rsid w:val="005C499F"/>
    <w:rsid w:val="005C4A34"/>
    <w:rsid w:val="005C4CCA"/>
    <w:rsid w:val="005C4D32"/>
    <w:rsid w:val="005C4DBD"/>
    <w:rsid w:val="005C4E45"/>
    <w:rsid w:val="005C4E77"/>
    <w:rsid w:val="005C4EE3"/>
    <w:rsid w:val="005C4F7D"/>
    <w:rsid w:val="005C51AA"/>
    <w:rsid w:val="005C5347"/>
    <w:rsid w:val="005C539F"/>
    <w:rsid w:val="005C5479"/>
    <w:rsid w:val="005C55F8"/>
    <w:rsid w:val="005C57B7"/>
    <w:rsid w:val="005C57B9"/>
    <w:rsid w:val="005C59D4"/>
    <w:rsid w:val="005C5A25"/>
    <w:rsid w:val="005C5B0D"/>
    <w:rsid w:val="005C5B81"/>
    <w:rsid w:val="005C5C3C"/>
    <w:rsid w:val="005C5D4C"/>
    <w:rsid w:val="005C5E27"/>
    <w:rsid w:val="005C5FA8"/>
    <w:rsid w:val="005C5FF6"/>
    <w:rsid w:val="005C6039"/>
    <w:rsid w:val="005C624D"/>
    <w:rsid w:val="005C6289"/>
    <w:rsid w:val="005C6381"/>
    <w:rsid w:val="005C63A4"/>
    <w:rsid w:val="005C6417"/>
    <w:rsid w:val="005C6813"/>
    <w:rsid w:val="005C693F"/>
    <w:rsid w:val="005C6B28"/>
    <w:rsid w:val="005C6B7F"/>
    <w:rsid w:val="005C6BD6"/>
    <w:rsid w:val="005C6C8F"/>
    <w:rsid w:val="005C6DA0"/>
    <w:rsid w:val="005C70D0"/>
    <w:rsid w:val="005C739C"/>
    <w:rsid w:val="005C76FC"/>
    <w:rsid w:val="005C7718"/>
    <w:rsid w:val="005C7924"/>
    <w:rsid w:val="005C7951"/>
    <w:rsid w:val="005C79C4"/>
    <w:rsid w:val="005C7A25"/>
    <w:rsid w:val="005C7C02"/>
    <w:rsid w:val="005C7F02"/>
    <w:rsid w:val="005C7FD2"/>
    <w:rsid w:val="005D0062"/>
    <w:rsid w:val="005D0117"/>
    <w:rsid w:val="005D0245"/>
    <w:rsid w:val="005D0452"/>
    <w:rsid w:val="005D0794"/>
    <w:rsid w:val="005D07E5"/>
    <w:rsid w:val="005D0A30"/>
    <w:rsid w:val="005D10A9"/>
    <w:rsid w:val="005D10AB"/>
    <w:rsid w:val="005D1258"/>
    <w:rsid w:val="005D12F4"/>
    <w:rsid w:val="005D14ED"/>
    <w:rsid w:val="005D15FB"/>
    <w:rsid w:val="005D1787"/>
    <w:rsid w:val="005D17E7"/>
    <w:rsid w:val="005D1831"/>
    <w:rsid w:val="005D1A69"/>
    <w:rsid w:val="005D1EF8"/>
    <w:rsid w:val="005D1EFE"/>
    <w:rsid w:val="005D1F33"/>
    <w:rsid w:val="005D1F4B"/>
    <w:rsid w:val="005D207D"/>
    <w:rsid w:val="005D2321"/>
    <w:rsid w:val="005D2516"/>
    <w:rsid w:val="005D257D"/>
    <w:rsid w:val="005D26A8"/>
    <w:rsid w:val="005D26C8"/>
    <w:rsid w:val="005D2CCD"/>
    <w:rsid w:val="005D2E4C"/>
    <w:rsid w:val="005D2FC7"/>
    <w:rsid w:val="005D2FE0"/>
    <w:rsid w:val="005D3020"/>
    <w:rsid w:val="005D30D9"/>
    <w:rsid w:val="005D3144"/>
    <w:rsid w:val="005D321D"/>
    <w:rsid w:val="005D32B9"/>
    <w:rsid w:val="005D3435"/>
    <w:rsid w:val="005D3597"/>
    <w:rsid w:val="005D3618"/>
    <w:rsid w:val="005D386D"/>
    <w:rsid w:val="005D3C02"/>
    <w:rsid w:val="005D3C74"/>
    <w:rsid w:val="005D3DBB"/>
    <w:rsid w:val="005D3E4E"/>
    <w:rsid w:val="005D414A"/>
    <w:rsid w:val="005D4341"/>
    <w:rsid w:val="005D434F"/>
    <w:rsid w:val="005D4536"/>
    <w:rsid w:val="005D470A"/>
    <w:rsid w:val="005D475A"/>
    <w:rsid w:val="005D48EC"/>
    <w:rsid w:val="005D49B8"/>
    <w:rsid w:val="005D4C16"/>
    <w:rsid w:val="005D4DA0"/>
    <w:rsid w:val="005D4DD2"/>
    <w:rsid w:val="005D4F52"/>
    <w:rsid w:val="005D4FF8"/>
    <w:rsid w:val="005D502B"/>
    <w:rsid w:val="005D5084"/>
    <w:rsid w:val="005D50FF"/>
    <w:rsid w:val="005D52BB"/>
    <w:rsid w:val="005D5418"/>
    <w:rsid w:val="005D578D"/>
    <w:rsid w:val="005D57AC"/>
    <w:rsid w:val="005D59A2"/>
    <w:rsid w:val="005D5A49"/>
    <w:rsid w:val="005D5B43"/>
    <w:rsid w:val="005D5D5D"/>
    <w:rsid w:val="005D5E94"/>
    <w:rsid w:val="005D6104"/>
    <w:rsid w:val="005D637C"/>
    <w:rsid w:val="005D6470"/>
    <w:rsid w:val="005D6674"/>
    <w:rsid w:val="005D66C8"/>
    <w:rsid w:val="005D6789"/>
    <w:rsid w:val="005D69D3"/>
    <w:rsid w:val="005D6A69"/>
    <w:rsid w:val="005D6AE7"/>
    <w:rsid w:val="005D6B8E"/>
    <w:rsid w:val="005D6BB3"/>
    <w:rsid w:val="005D6DFA"/>
    <w:rsid w:val="005D6E9C"/>
    <w:rsid w:val="005D6F32"/>
    <w:rsid w:val="005D7043"/>
    <w:rsid w:val="005D71AF"/>
    <w:rsid w:val="005D722C"/>
    <w:rsid w:val="005D72D7"/>
    <w:rsid w:val="005D72FB"/>
    <w:rsid w:val="005D7448"/>
    <w:rsid w:val="005D7462"/>
    <w:rsid w:val="005D76FC"/>
    <w:rsid w:val="005D791E"/>
    <w:rsid w:val="005D7AE6"/>
    <w:rsid w:val="005D7B55"/>
    <w:rsid w:val="005D7B59"/>
    <w:rsid w:val="005D7E31"/>
    <w:rsid w:val="005D7F52"/>
    <w:rsid w:val="005E0029"/>
    <w:rsid w:val="005E0241"/>
    <w:rsid w:val="005E037D"/>
    <w:rsid w:val="005E0490"/>
    <w:rsid w:val="005E074C"/>
    <w:rsid w:val="005E07A4"/>
    <w:rsid w:val="005E0DE7"/>
    <w:rsid w:val="005E0F77"/>
    <w:rsid w:val="005E0F85"/>
    <w:rsid w:val="005E1057"/>
    <w:rsid w:val="005E10F8"/>
    <w:rsid w:val="005E1304"/>
    <w:rsid w:val="005E144A"/>
    <w:rsid w:val="005E146C"/>
    <w:rsid w:val="005E15D7"/>
    <w:rsid w:val="005E15EE"/>
    <w:rsid w:val="005E1898"/>
    <w:rsid w:val="005E18BB"/>
    <w:rsid w:val="005E1ADE"/>
    <w:rsid w:val="005E1B2F"/>
    <w:rsid w:val="005E1CE3"/>
    <w:rsid w:val="005E1D8E"/>
    <w:rsid w:val="005E1EB9"/>
    <w:rsid w:val="005E20B7"/>
    <w:rsid w:val="005E23A5"/>
    <w:rsid w:val="005E23B6"/>
    <w:rsid w:val="005E23BF"/>
    <w:rsid w:val="005E2505"/>
    <w:rsid w:val="005E252D"/>
    <w:rsid w:val="005E2665"/>
    <w:rsid w:val="005E27F4"/>
    <w:rsid w:val="005E2837"/>
    <w:rsid w:val="005E291E"/>
    <w:rsid w:val="005E2B23"/>
    <w:rsid w:val="005E2B61"/>
    <w:rsid w:val="005E2D22"/>
    <w:rsid w:val="005E3007"/>
    <w:rsid w:val="005E30B8"/>
    <w:rsid w:val="005E319D"/>
    <w:rsid w:val="005E3241"/>
    <w:rsid w:val="005E334C"/>
    <w:rsid w:val="005E34FA"/>
    <w:rsid w:val="005E362C"/>
    <w:rsid w:val="005E37CE"/>
    <w:rsid w:val="005E37F7"/>
    <w:rsid w:val="005E3829"/>
    <w:rsid w:val="005E3933"/>
    <w:rsid w:val="005E3B13"/>
    <w:rsid w:val="005E3B8C"/>
    <w:rsid w:val="005E3C4A"/>
    <w:rsid w:val="005E3E7D"/>
    <w:rsid w:val="005E3F61"/>
    <w:rsid w:val="005E3F63"/>
    <w:rsid w:val="005E400B"/>
    <w:rsid w:val="005E4068"/>
    <w:rsid w:val="005E44D3"/>
    <w:rsid w:val="005E4650"/>
    <w:rsid w:val="005E47CE"/>
    <w:rsid w:val="005E4974"/>
    <w:rsid w:val="005E49C8"/>
    <w:rsid w:val="005E4AC1"/>
    <w:rsid w:val="005E4C78"/>
    <w:rsid w:val="005E4D88"/>
    <w:rsid w:val="005E5765"/>
    <w:rsid w:val="005E57DF"/>
    <w:rsid w:val="005E5B47"/>
    <w:rsid w:val="005E5D8A"/>
    <w:rsid w:val="005E5E2A"/>
    <w:rsid w:val="005E5FB5"/>
    <w:rsid w:val="005E5FC3"/>
    <w:rsid w:val="005E6119"/>
    <w:rsid w:val="005E615D"/>
    <w:rsid w:val="005E6962"/>
    <w:rsid w:val="005E6AEF"/>
    <w:rsid w:val="005E6B52"/>
    <w:rsid w:val="005E6D93"/>
    <w:rsid w:val="005E6EA6"/>
    <w:rsid w:val="005E6ECC"/>
    <w:rsid w:val="005E6EE1"/>
    <w:rsid w:val="005E6F2B"/>
    <w:rsid w:val="005E70E0"/>
    <w:rsid w:val="005E717A"/>
    <w:rsid w:val="005E72CB"/>
    <w:rsid w:val="005E7420"/>
    <w:rsid w:val="005E777C"/>
    <w:rsid w:val="005E783E"/>
    <w:rsid w:val="005E78A8"/>
    <w:rsid w:val="005E7935"/>
    <w:rsid w:val="005E7958"/>
    <w:rsid w:val="005E7C64"/>
    <w:rsid w:val="005E7C9A"/>
    <w:rsid w:val="005E7CAD"/>
    <w:rsid w:val="005E7D7D"/>
    <w:rsid w:val="005E7D83"/>
    <w:rsid w:val="005E7E05"/>
    <w:rsid w:val="005E7F62"/>
    <w:rsid w:val="005E7FA2"/>
    <w:rsid w:val="005F0164"/>
    <w:rsid w:val="005F01FB"/>
    <w:rsid w:val="005F05B3"/>
    <w:rsid w:val="005F06DD"/>
    <w:rsid w:val="005F07CD"/>
    <w:rsid w:val="005F08C1"/>
    <w:rsid w:val="005F0900"/>
    <w:rsid w:val="005F093A"/>
    <w:rsid w:val="005F0BBF"/>
    <w:rsid w:val="005F1085"/>
    <w:rsid w:val="005F118C"/>
    <w:rsid w:val="005F11DA"/>
    <w:rsid w:val="005F125D"/>
    <w:rsid w:val="005F13C5"/>
    <w:rsid w:val="005F141E"/>
    <w:rsid w:val="005F151A"/>
    <w:rsid w:val="005F1679"/>
    <w:rsid w:val="005F16DB"/>
    <w:rsid w:val="005F188B"/>
    <w:rsid w:val="005F18CC"/>
    <w:rsid w:val="005F1AB9"/>
    <w:rsid w:val="005F1DA6"/>
    <w:rsid w:val="005F1DD7"/>
    <w:rsid w:val="005F1E13"/>
    <w:rsid w:val="005F1EF2"/>
    <w:rsid w:val="005F1EFC"/>
    <w:rsid w:val="005F20AA"/>
    <w:rsid w:val="005F2110"/>
    <w:rsid w:val="005F2339"/>
    <w:rsid w:val="005F25DA"/>
    <w:rsid w:val="005F2641"/>
    <w:rsid w:val="005F26E4"/>
    <w:rsid w:val="005F2788"/>
    <w:rsid w:val="005F29E9"/>
    <w:rsid w:val="005F2A46"/>
    <w:rsid w:val="005F2AC2"/>
    <w:rsid w:val="005F2AD2"/>
    <w:rsid w:val="005F2BB3"/>
    <w:rsid w:val="005F2CC1"/>
    <w:rsid w:val="005F2EBF"/>
    <w:rsid w:val="005F2F00"/>
    <w:rsid w:val="005F3010"/>
    <w:rsid w:val="005F3320"/>
    <w:rsid w:val="005F33C1"/>
    <w:rsid w:val="005F33E7"/>
    <w:rsid w:val="005F3434"/>
    <w:rsid w:val="005F346B"/>
    <w:rsid w:val="005F34F1"/>
    <w:rsid w:val="005F352A"/>
    <w:rsid w:val="005F38E1"/>
    <w:rsid w:val="005F38F8"/>
    <w:rsid w:val="005F3A7F"/>
    <w:rsid w:val="005F3B3D"/>
    <w:rsid w:val="005F3C07"/>
    <w:rsid w:val="005F3D04"/>
    <w:rsid w:val="005F3EB8"/>
    <w:rsid w:val="005F3EEE"/>
    <w:rsid w:val="005F4058"/>
    <w:rsid w:val="005F4262"/>
    <w:rsid w:val="005F429C"/>
    <w:rsid w:val="005F42DC"/>
    <w:rsid w:val="005F4337"/>
    <w:rsid w:val="005F4395"/>
    <w:rsid w:val="005F452E"/>
    <w:rsid w:val="005F464A"/>
    <w:rsid w:val="005F4869"/>
    <w:rsid w:val="005F48AE"/>
    <w:rsid w:val="005F494E"/>
    <w:rsid w:val="005F4A43"/>
    <w:rsid w:val="005F4B06"/>
    <w:rsid w:val="005F4B09"/>
    <w:rsid w:val="005F4B4E"/>
    <w:rsid w:val="005F4D29"/>
    <w:rsid w:val="005F4D95"/>
    <w:rsid w:val="005F51E6"/>
    <w:rsid w:val="005F51ED"/>
    <w:rsid w:val="005F52A0"/>
    <w:rsid w:val="005F53E6"/>
    <w:rsid w:val="005F5416"/>
    <w:rsid w:val="005F546F"/>
    <w:rsid w:val="005F55FC"/>
    <w:rsid w:val="005F574C"/>
    <w:rsid w:val="005F58E1"/>
    <w:rsid w:val="005F59CC"/>
    <w:rsid w:val="005F5A73"/>
    <w:rsid w:val="005F602C"/>
    <w:rsid w:val="005F60A5"/>
    <w:rsid w:val="005F61D0"/>
    <w:rsid w:val="005F620F"/>
    <w:rsid w:val="005F643B"/>
    <w:rsid w:val="005F66FB"/>
    <w:rsid w:val="005F6728"/>
    <w:rsid w:val="005F6754"/>
    <w:rsid w:val="005F6900"/>
    <w:rsid w:val="005F6DEF"/>
    <w:rsid w:val="005F6F57"/>
    <w:rsid w:val="005F711C"/>
    <w:rsid w:val="005F7228"/>
    <w:rsid w:val="005F75F1"/>
    <w:rsid w:val="005F7792"/>
    <w:rsid w:val="005F7814"/>
    <w:rsid w:val="005F796D"/>
    <w:rsid w:val="0060028B"/>
    <w:rsid w:val="0060036E"/>
    <w:rsid w:val="0060060A"/>
    <w:rsid w:val="00600757"/>
    <w:rsid w:val="0060095D"/>
    <w:rsid w:val="006009DE"/>
    <w:rsid w:val="00600BA3"/>
    <w:rsid w:val="00600D55"/>
    <w:rsid w:val="00600F11"/>
    <w:rsid w:val="00601022"/>
    <w:rsid w:val="00601027"/>
    <w:rsid w:val="006011D8"/>
    <w:rsid w:val="006013BF"/>
    <w:rsid w:val="006014A9"/>
    <w:rsid w:val="006018E8"/>
    <w:rsid w:val="006019D8"/>
    <w:rsid w:val="00601AB0"/>
    <w:rsid w:val="00601B05"/>
    <w:rsid w:val="00601B92"/>
    <w:rsid w:val="00601BA6"/>
    <w:rsid w:val="00601C04"/>
    <w:rsid w:val="00601F76"/>
    <w:rsid w:val="00602001"/>
    <w:rsid w:val="00602075"/>
    <w:rsid w:val="0060211E"/>
    <w:rsid w:val="00602181"/>
    <w:rsid w:val="0060219B"/>
    <w:rsid w:val="006023EF"/>
    <w:rsid w:val="0060247A"/>
    <w:rsid w:val="00602554"/>
    <w:rsid w:val="00602723"/>
    <w:rsid w:val="00602958"/>
    <w:rsid w:val="00602B21"/>
    <w:rsid w:val="00602B28"/>
    <w:rsid w:val="00602C3E"/>
    <w:rsid w:val="0060302D"/>
    <w:rsid w:val="00603072"/>
    <w:rsid w:val="0060311D"/>
    <w:rsid w:val="00603184"/>
    <w:rsid w:val="006031B0"/>
    <w:rsid w:val="00603349"/>
    <w:rsid w:val="00603666"/>
    <w:rsid w:val="006038B3"/>
    <w:rsid w:val="0060390B"/>
    <w:rsid w:val="00603A8E"/>
    <w:rsid w:val="00604071"/>
    <w:rsid w:val="006040F9"/>
    <w:rsid w:val="00604344"/>
    <w:rsid w:val="00604368"/>
    <w:rsid w:val="006045C8"/>
    <w:rsid w:val="006046CD"/>
    <w:rsid w:val="0060472A"/>
    <w:rsid w:val="006047A7"/>
    <w:rsid w:val="006047CB"/>
    <w:rsid w:val="00604835"/>
    <w:rsid w:val="00604855"/>
    <w:rsid w:val="006049BA"/>
    <w:rsid w:val="00604A87"/>
    <w:rsid w:val="00604ADA"/>
    <w:rsid w:val="00604B6B"/>
    <w:rsid w:val="00604C02"/>
    <w:rsid w:val="00604CA6"/>
    <w:rsid w:val="006050E8"/>
    <w:rsid w:val="006051C3"/>
    <w:rsid w:val="00605589"/>
    <w:rsid w:val="006056FF"/>
    <w:rsid w:val="00605B84"/>
    <w:rsid w:val="00605D03"/>
    <w:rsid w:val="00605E08"/>
    <w:rsid w:val="00605F14"/>
    <w:rsid w:val="00605FC4"/>
    <w:rsid w:val="006060F4"/>
    <w:rsid w:val="0060629B"/>
    <w:rsid w:val="0060637B"/>
    <w:rsid w:val="00606467"/>
    <w:rsid w:val="00606478"/>
    <w:rsid w:val="00606593"/>
    <w:rsid w:val="006066A6"/>
    <w:rsid w:val="0060695C"/>
    <w:rsid w:val="00606AC5"/>
    <w:rsid w:val="00606B9D"/>
    <w:rsid w:val="00606E5E"/>
    <w:rsid w:val="00606F54"/>
    <w:rsid w:val="0060710C"/>
    <w:rsid w:val="006072E3"/>
    <w:rsid w:val="00607306"/>
    <w:rsid w:val="00607388"/>
    <w:rsid w:val="00607696"/>
    <w:rsid w:val="00607888"/>
    <w:rsid w:val="00607979"/>
    <w:rsid w:val="00607DB4"/>
    <w:rsid w:val="00607DC7"/>
    <w:rsid w:val="00607F47"/>
    <w:rsid w:val="00607F8B"/>
    <w:rsid w:val="0061005D"/>
    <w:rsid w:val="006100C3"/>
    <w:rsid w:val="00610192"/>
    <w:rsid w:val="006104D5"/>
    <w:rsid w:val="006106D5"/>
    <w:rsid w:val="00610AEB"/>
    <w:rsid w:val="00610BB3"/>
    <w:rsid w:val="00610C07"/>
    <w:rsid w:val="00610DF7"/>
    <w:rsid w:val="00610E51"/>
    <w:rsid w:val="00611103"/>
    <w:rsid w:val="006111DD"/>
    <w:rsid w:val="006111EE"/>
    <w:rsid w:val="006115B4"/>
    <w:rsid w:val="006116A1"/>
    <w:rsid w:val="006116DE"/>
    <w:rsid w:val="0061189C"/>
    <w:rsid w:val="00611A40"/>
    <w:rsid w:val="00611B82"/>
    <w:rsid w:val="00611C23"/>
    <w:rsid w:val="00611E80"/>
    <w:rsid w:val="00611EC4"/>
    <w:rsid w:val="00611F35"/>
    <w:rsid w:val="00611FB9"/>
    <w:rsid w:val="006120A9"/>
    <w:rsid w:val="00612102"/>
    <w:rsid w:val="0061224E"/>
    <w:rsid w:val="006122FF"/>
    <w:rsid w:val="0061238D"/>
    <w:rsid w:val="006123A5"/>
    <w:rsid w:val="006124EC"/>
    <w:rsid w:val="0061273A"/>
    <w:rsid w:val="00612757"/>
    <w:rsid w:val="006127D6"/>
    <w:rsid w:val="006127FF"/>
    <w:rsid w:val="00612838"/>
    <w:rsid w:val="006128B8"/>
    <w:rsid w:val="00612ABB"/>
    <w:rsid w:val="00612BBE"/>
    <w:rsid w:val="00612BE1"/>
    <w:rsid w:val="00612E61"/>
    <w:rsid w:val="00612ECD"/>
    <w:rsid w:val="00612FCD"/>
    <w:rsid w:val="00613051"/>
    <w:rsid w:val="00613063"/>
    <w:rsid w:val="006131CF"/>
    <w:rsid w:val="006132C6"/>
    <w:rsid w:val="006134E5"/>
    <w:rsid w:val="00613550"/>
    <w:rsid w:val="00613556"/>
    <w:rsid w:val="00613627"/>
    <w:rsid w:val="006136BC"/>
    <w:rsid w:val="0061388F"/>
    <w:rsid w:val="00613959"/>
    <w:rsid w:val="006139F8"/>
    <w:rsid w:val="00613A45"/>
    <w:rsid w:val="00613B1B"/>
    <w:rsid w:val="00613EDB"/>
    <w:rsid w:val="00613F7C"/>
    <w:rsid w:val="00613F9E"/>
    <w:rsid w:val="006140F2"/>
    <w:rsid w:val="00614210"/>
    <w:rsid w:val="00614439"/>
    <w:rsid w:val="0061456D"/>
    <w:rsid w:val="00614598"/>
    <w:rsid w:val="00614602"/>
    <w:rsid w:val="006147C1"/>
    <w:rsid w:val="006148D6"/>
    <w:rsid w:val="006148E3"/>
    <w:rsid w:val="00614B19"/>
    <w:rsid w:val="00614C1A"/>
    <w:rsid w:val="00614E00"/>
    <w:rsid w:val="006151B2"/>
    <w:rsid w:val="006152A8"/>
    <w:rsid w:val="0061548D"/>
    <w:rsid w:val="006157C7"/>
    <w:rsid w:val="006158D1"/>
    <w:rsid w:val="006158DB"/>
    <w:rsid w:val="00615933"/>
    <w:rsid w:val="00615A31"/>
    <w:rsid w:val="00615A4C"/>
    <w:rsid w:val="00615AEE"/>
    <w:rsid w:val="00615AFB"/>
    <w:rsid w:val="00616085"/>
    <w:rsid w:val="0061626C"/>
    <w:rsid w:val="006164AA"/>
    <w:rsid w:val="0061662D"/>
    <w:rsid w:val="00616673"/>
    <w:rsid w:val="006166DC"/>
    <w:rsid w:val="00616917"/>
    <w:rsid w:val="006169DC"/>
    <w:rsid w:val="00616E73"/>
    <w:rsid w:val="00616EDE"/>
    <w:rsid w:val="00616F22"/>
    <w:rsid w:val="00616FFC"/>
    <w:rsid w:val="006170C1"/>
    <w:rsid w:val="006172EB"/>
    <w:rsid w:val="00617322"/>
    <w:rsid w:val="00617507"/>
    <w:rsid w:val="00617634"/>
    <w:rsid w:val="00617695"/>
    <w:rsid w:val="00617821"/>
    <w:rsid w:val="00617907"/>
    <w:rsid w:val="00617AD8"/>
    <w:rsid w:val="00617B16"/>
    <w:rsid w:val="00617C2F"/>
    <w:rsid w:val="00617E7B"/>
    <w:rsid w:val="006200CB"/>
    <w:rsid w:val="006201B7"/>
    <w:rsid w:val="006203FE"/>
    <w:rsid w:val="00620799"/>
    <w:rsid w:val="0062088A"/>
    <w:rsid w:val="006208C4"/>
    <w:rsid w:val="00620A81"/>
    <w:rsid w:val="00620A9D"/>
    <w:rsid w:val="00620B1D"/>
    <w:rsid w:val="00620C9B"/>
    <w:rsid w:val="00620FDD"/>
    <w:rsid w:val="00620FFA"/>
    <w:rsid w:val="00621414"/>
    <w:rsid w:val="00621692"/>
    <w:rsid w:val="00621A6D"/>
    <w:rsid w:val="00621AAD"/>
    <w:rsid w:val="00621C5C"/>
    <w:rsid w:val="00621D87"/>
    <w:rsid w:val="00621F48"/>
    <w:rsid w:val="0062201B"/>
    <w:rsid w:val="0062209C"/>
    <w:rsid w:val="0062218B"/>
    <w:rsid w:val="006224F7"/>
    <w:rsid w:val="00622607"/>
    <w:rsid w:val="00622767"/>
    <w:rsid w:val="0062287E"/>
    <w:rsid w:val="0062288C"/>
    <w:rsid w:val="0062297D"/>
    <w:rsid w:val="006229F2"/>
    <w:rsid w:val="00622CE6"/>
    <w:rsid w:val="00622D3F"/>
    <w:rsid w:val="00622D91"/>
    <w:rsid w:val="00622E2B"/>
    <w:rsid w:val="006232A2"/>
    <w:rsid w:val="006233A0"/>
    <w:rsid w:val="00623402"/>
    <w:rsid w:val="0062340E"/>
    <w:rsid w:val="00623596"/>
    <w:rsid w:val="0062384E"/>
    <w:rsid w:val="00623A6D"/>
    <w:rsid w:val="00623D3D"/>
    <w:rsid w:val="00623EF2"/>
    <w:rsid w:val="00623F0D"/>
    <w:rsid w:val="00623F61"/>
    <w:rsid w:val="006242C3"/>
    <w:rsid w:val="0062434A"/>
    <w:rsid w:val="00624568"/>
    <w:rsid w:val="00624664"/>
    <w:rsid w:val="006246A7"/>
    <w:rsid w:val="006247E4"/>
    <w:rsid w:val="00624970"/>
    <w:rsid w:val="00624E0A"/>
    <w:rsid w:val="00624EF1"/>
    <w:rsid w:val="00624FA9"/>
    <w:rsid w:val="00624FEE"/>
    <w:rsid w:val="0062501A"/>
    <w:rsid w:val="00625171"/>
    <w:rsid w:val="006251F7"/>
    <w:rsid w:val="00625204"/>
    <w:rsid w:val="0062548F"/>
    <w:rsid w:val="006254B1"/>
    <w:rsid w:val="00625540"/>
    <w:rsid w:val="0062599A"/>
    <w:rsid w:val="006259FE"/>
    <w:rsid w:val="00625B52"/>
    <w:rsid w:val="00625D24"/>
    <w:rsid w:val="00625EAF"/>
    <w:rsid w:val="00626019"/>
    <w:rsid w:val="0062602F"/>
    <w:rsid w:val="00626090"/>
    <w:rsid w:val="0062616E"/>
    <w:rsid w:val="006262AF"/>
    <w:rsid w:val="006262CF"/>
    <w:rsid w:val="006262DE"/>
    <w:rsid w:val="0062649F"/>
    <w:rsid w:val="00626557"/>
    <w:rsid w:val="00626569"/>
    <w:rsid w:val="006265ED"/>
    <w:rsid w:val="00626694"/>
    <w:rsid w:val="006267E0"/>
    <w:rsid w:val="006267F4"/>
    <w:rsid w:val="006269C9"/>
    <w:rsid w:val="006269D7"/>
    <w:rsid w:val="00626B65"/>
    <w:rsid w:val="00626FC5"/>
    <w:rsid w:val="00627010"/>
    <w:rsid w:val="00627059"/>
    <w:rsid w:val="0062705C"/>
    <w:rsid w:val="0062712A"/>
    <w:rsid w:val="006271D9"/>
    <w:rsid w:val="006272BE"/>
    <w:rsid w:val="00627534"/>
    <w:rsid w:val="006277F3"/>
    <w:rsid w:val="00627844"/>
    <w:rsid w:val="006279FE"/>
    <w:rsid w:val="00627C99"/>
    <w:rsid w:val="00627EEC"/>
    <w:rsid w:val="00627FC5"/>
    <w:rsid w:val="00630183"/>
    <w:rsid w:val="00630251"/>
    <w:rsid w:val="006303ED"/>
    <w:rsid w:val="0063047A"/>
    <w:rsid w:val="006304AB"/>
    <w:rsid w:val="0063058A"/>
    <w:rsid w:val="006305CA"/>
    <w:rsid w:val="00630786"/>
    <w:rsid w:val="0063092B"/>
    <w:rsid w:val="0063092D"/>
    <w:rsid w:val="00630A3D"/>
    <w:rsid w:val="00630B26"/>
    <w:rsid w:val="00630BAA"/>
    <w:rsid w:val="00630D3A"/>
    <w:rsid w:val="00630DE1"/>
    <w:rsid w:val="00631132"/>
    <w:rsid w:val="006312CF"/>
    <w:rsid w:val="006313CD"/>
    <w:rsid w:val="006315E8"/>
    <w:rsid w:val="00631980"/>
    <w:rsid w:val="0063198A"/>
    <w:rsid w:val="00631A69"/>
    <w:rsid w:val="00631BA9"/>
    <w:rsid w:val="00631C5D"/>
    <w:rsid w:val="00631D55"/>
    <w:rsid w:val="00631EA8"/>
    <w:rsid w:val="006320DC"/>
    <w:rsid w:val="00632100"/>
    <w:rsid w:val="00632152"/>
    <w:rsid w:val="0063220E"/>
    <w:rsid w:val="0063230E"/>
    <w:rsid w:val="00632390"/>
    <w:rsid w:val="006323E9"/>
    <w:rsid w:val="00632433"/>
    <w:rsid w:val="00632643"/>
    <w:rsid w:val="00632ABD"/>
    <w:rsid w:val="00632B1B"/>
    <w:rsid w:val="00632EE4"/>
    <w:rsid w:val="00632EF0"/>
    <w:rsid w:val="0063304B"/>
    <w:rsid w:val="006332F1"/>
    <w:rsid w:val="0063333E"/>
    <w:rsid w:val="0063348B"/>
    <w:rsid w:val="0063359F"/>
    <w:rsid w:val="00633983"/>
    <w:rsid w:val="006339BA"/>
    <w:rsid w:val="00633A7A"/>
    <w:rsid w:val="00633BCC"/>
    <w:rsid w:val="00633E47"/>
    <w:rsid w:val="00633F49"/>
    <w:rsid w:val="00633F5B"/>
    <w:rsid w:val="006345E2"/>
    <w:rsid w:val="006345E4"/>
    <w:rsid w:val="00634694"/>
    <w:rsid w:val="00634823"/>
    <w:rsid w:val="006348A4"/>
    <w:rsid w:val="0063498A"/>
    <w:rsid w:val="00634B96"/>
    <w:rsid w:val="00634E4A"/>
    <w:rsid w:val="00634F30"/>
    <w:rsid w:val="00634F52"/>
    <w:rsid w:val="00635126"/>
    <w:rsid w:val="00635209"/>
    <w:rsid w:val="0063522D"/>
    <w:rsid w:val="0063527B"/>
    <w:rsid w:val="006352E8"/>
    <w:rsid w:val="00635461"/>
    <w:rsid w:val="0063569B"/>
    <w:rsid w:val="00635721"/>
    <w:rsid w:val="006357B9"/>
    <w:rsid w:val="006357CF"/>
    <w:rsid w:val="00635880"/>
    <w:rsid w:val="0063591A"/>
    <w:rsid w:val="00636067"/>
    <w:rsid w:val="006361AE"/>
    <w:rsid w:val="006365E8"/>
    <w:rsid w:val="00636764"/>
    <w:rsid w:val="00636980"/>
    <w:rsid w:val="00636AC9"/>
    <w:rsid w:val="00636C4E"/>
    <w:rsid w:val="00636D00"/>
    <w:rsid w:val="00636F76"/>
    <w:rsid w:val="00636FC5"/>
    <w:rsid w:val="00636FE6"/>
    <w:rsid w:val="00637068"/>
    <w:rsid w:val="006370B1"/>
    <w:rsid w:val="006374F0"/>
    <w:rsid w:val="00637645"/>
    <w:rsid w:val="00637651"/>
    <w:rsid w:val="0063766D"/>
    <w:rsid w:val="006376B5"/>
    <w:rsid w:val="006377F4"/>
    <w:rsid w:val="00637A4D"/>
    <w:rsid w:val="00637AF8"/>
    <w:rsid w:val="00637B2B"/>
    <w:rsid w:val="00637BC7"/>
    <w:rsid w:val="00637C0F"/>
    <w:rsid w:val="00637CDA"/>
    <w:rsid w:val="006400DF"/>
    <w:rsid w:val="00640208"/>
    <w:rsid w:val="006403F7"/>
    <w:rsid w:val="0064043C"/>
    <w:rsid w:val="00640663"/>
    <w:rsid w:val="00640725"/>
    <w:rsid w:val="006407D3"/>
    <w:rsid w:val="00640971"/>
    <w:rsid w:val="006409D8"/>
    <w:rsid w:val="00640C69"/>
    <w:rsid w:val="00640CEE"/>
    <w:rsid w:val="00640D52"/>
    <w:rsid w:val="00640DAC"/>
    <w:rsid w:val="00640EB2"/>
    <w:rsid w:val="00640F21"/>
    <w:rsid w:val="00640F3C"/>
    <w:rsid w:val="00640F8C"/>
    <w:rsid w:val="00641012"/>
    <w:rsid w:val="0064126A"/>
    <w:rsid w:val="006412F1"/>
    <w:rsid w:val="0064131E"/>
    <w:rsid w:val="0064134D"/>
    <w:rsid w:val="00641626"/>
    <w:rsid w:val="00641686"/>
    <w:rsid w:val="006416B0"/>
    <w:rsid w:val="00641874"/>
    <w:rsid w:val="006418C8"/>
    <w:rsid w:val="006419E1"/>
    <w:rsid w:val="00641A84"/>
    <w:rsid w:val="00641B86"/>
    <w:rsid w:val="00641DBD"/>
    <w:rsid w:val="00641DE8"/>
    <w:rsid w:val="00641E0B"/>
    <w:rsid w:val="00641E85"/>
    <w:rsid w:val="00641EB2"/>
    <w:rsid w:val="00641F84"/>
    <w:rsid w:val="00641FE9"/>
    <w:rsid w:val="006420C8"/>
    <w:rsid w:val="00642236"/>
    <w:rsid w:val="006424A8"/>
    <w:rsid w:val="00642668"/>
    <w:rsid w:val="0064278C"/>
    <w:rsid w:val="0064284F"/>
    <w:rsid w:val="006428E1"/>
    <w:rsid w:val="006429DE"/>
    <w:rsid w:val="00642C67"/>
    <w:rsid w:val="00642DBB"/>
    <w:rsid w:val="00642F9C"/>
    <w:rsid w:val="00643148"/>
    <w:rsid w:val="00643402"/>
    <w:rsid w:val="006434CC"/>
    <w:rsid w:val="00643651"/>
    <w:rsid w:val="00643962"/>
    <w:rsid w:val="00643A4C"/>
    <w:rsid w:val="00643AA0"/>
    <w:rsid w:val="00643BB1"/>
    <w:rsid w:val="00643BC9"/>
    <w:rsid w:val="00643CE3"/>
    <w:rsid w:val="00643D36"/>
    <w:rsid w:val="00643E00"/>
    <w:rsid w:val="00643E11"/>
    <w:rsid w:val="00643EAA"/>
    <w:rsid w:val="00644051"/>
    <w:rsid w:val="0064414B"/>
    <w:rsid w:val="0064435C"/>
    <w:rsid w:val="00644725"/>
    <w:rsid w:val="00644774"/>
    <w:rsid w:val="00644B0F"/>
    <w:rsid w:val="00644B7B"/>
    <w:rsid w:val="00644E60"/>
    <w:rsid w:val="00644F3B"/>
    <w:rsid w:val="00644FE9"/>
    <w:rsid w:val="006455B9"/>
    <w:rsid w:val="00645757"/>
    <w:rsid w:val="00645874"/>
    <w:rsid w:val="006458E6"/>
    <w:rsid w:val="00645AB4"/>
    <w:rsid w:val="00645B21"/>
    <w:rsid w:val="00645BCD"/>
    <w:rsid w:val="00645CC1"/>
    <w:rsid w:val="00645E88"/>
    <w:rsid w:val="00645F53"/>
    <w:rsid w:val="00645F70"/>
    <w:rsid w:val="006460CE"/>
    <w:rsid w:val="006460EB"/>
    <w:rsid w:val="0064612D"/>
    <w:rsid w:val="0064622E"/>
    <w:rsid w:val="00646253"/>
    <w:rsid w:val="006462D4"/>
    <w:rsid w:val="00646355"/>
    <w:rsid w:val="006466DB"/>
    <w:rsid w:val="006467C1"/>
    <w:rsid w:val="00646B03"/>
    <w:rsid w:val="00646C7A"/>
    <w:rsid w:val="00646CA3"/>
    <w:rsid w:val="00646CF3"/>
    <w:rsid w:val="00646E8A"/>
    <w:rsid w:val="00646EF9"/>
    <w:rsid w:val="006472D9"/>
    <w:rsid w:val="006473D5"/>
    <w:rsid w:val="0064762B"/>
    <w:rsid w:val="0064775E"/>
    <w:rsid w:val="006477C1"/>
    <w:rsid w:val="0064793C"/>
    <w:rsid w:val="006479F2"/>
    <w:rsid w:val="00647AC1"/>
    <w:rsid w:val="00647B56"/>
    <w:rsid w:val="00647BF0"/>
    <w:rsid w:val="00647E9C"/>
    <w:rsid w:val="006500FC"/>
    <w:rsid w:val="006504EC"/>
    <w:rsid w:val="00650763"/>
    <w:rsid w:val="00650AE5"/>
    <w:rsid w:val="00650C4C"/>
    <w:rsid w:val="00650C7C"/>
    <w:rsid w:val="00650CC8"/>
    <w:rsid w:val="00650D2F"/>
    <w:rsid w:val="00650FBF"/>
    <w:rsid w:val="00650FD1"/>
    <w:rsid w:val="00651030"/>
    <w:rsid w:val="00651044"/>
    <w:rsid w:val="00651162"/>
    <w:rsid w:val="0065117E"/>
    <w:rsid w:val="006511C2"/>
    <w:rsid w:val="00651220"/>
    <w:rsid w:val="006512A2"/>
    <w:rsid w:val="006514A4"/>
    <w:rsid w:val="006514B7"/>
    <w:rsid w:val="006515AE"/>
    <w:rsid w:val="006515FF"/>
    <w:rsid w:val="0065172F"/>
    <w:rsid w:val="00651981"/>
    <w:rsid w:val="006519F5"/>
    <w:rsid w:val="00651A9F"/>
    <w:rsid w:val="00651B9F"/>
    <w:rsid w:val="00651CA1"/>
    <w:rsid w:val="00651CCC"/>
    <w:rsid w:val="00651E54"/>
    <w:rsid w:val="00652029"/>
    <w:rsid w:val="006521B3"/>
    <w:rsid w:val="006522CF"/>
    <w:rsid w:val="006522F4"/>
    <w:rsid w:val="00652343"/>
    <w:rsid w:val="0065235F"/>
    <w:rsid w:val="00652417"/>
    <w:rsid w:val="00652420"/>
    <w:rsid w:val="0065244C"/>
    <w:rsid w:val="0065248E"/>
    <w:rsid w:val="0065276E"/>
    <w:rsid w:val="006527AC"/>
    <w:rsid w:val="006527CB"/>
    <w:rsid w:val="006529BA"/>
    <w:rsid w:val="00652CA4"/>
    <w:rsid w:val="00652E51"/>
    <w:rsid w:val="00653053"/>
    <w:rsid w:val="00653085"/>
    <w:rsid w:val="00653426"/>
    <w:rsid w:val="0065342B"/>
    <w:rsid w:val="00653EBD"/>
    <w:rsid w:val="00653FD9"/>
    <w:rsid w:val="0065405C"/>
    <w:rsid w:val="0065409C"/>
    <w:rsid w:val="006541D4"/>
    <w:rsid w:val="006541F7"/>
    <w:rsid w:val="00654307"/>
    <w:rsid w:val="006543D4"/>
    <w:rsid w:val="006543D7"/>
    <w:rsid w:val="00654407"/>
    <w:rsid w:val="00654440"/>
    <w:rsid w:val="00654463"/>
    <w:rsid w:val="00654512"/>
    <w:rsid w:val="00654699"/>
    <w:rsid w:val="006546D4"/>
    <w:rsid w:val="00654875"/>
    <w:rsid w:val="00654892"/>
    <w:rsid w:val="00654B56"/>
    <w:rsid w:val="00654CAE"/>
    <w:rsid w:val="00654CFE"/>
    <w:rsid w:val="00654D83"/>
    <w:rsid w:val="00654E8D"/>
    <w:rsid w:val="00654F0B"/>
    <w:rsid w:val="00654F70"/>
    <w:rsid w:val="006550F8"/>
    <w:rsid w:val="006551B5"/>
    <w:rsid w:val="006552C2"/>
    <w:rsid w:val="006552F1"/>
    <w:rsid w:val="006554DE"/>
    <w:rsid w:val="006555A8"/>
    <w:rsid w:val="00655625"/>
    <w:rsid w:val="0065566F"/>
    <w:rsid w:val="0065577C"/>
    <w:rsid w:val="0065586D"/>
    <w:rsid w:val="0065587D"/>
    <w:rsid w:val="00655BAC"/>
    <w:rsid w:val="00655BCF"/>
    <w:rsid w:val="00655C1B"/>
    <w:rsid w:val="00655C2D"/>
    <w:rsid w:val="00655CC5"/>
    <w:rsid w:val="00655E53"/>
    <w:rsid w:val="00655ECF"/>
    <w:rsid w:val="006560CD"/>
    <w:rsid w:val="006560EA"/>
    <w:rsid w:val="00656127"/>
    <w:rsid w:val="00656411"/>
    <w:rsid w:val="00656470"/>
    <w:rsid w:val="00656537"/>
    <w:rsid w:val="006565D9"/>
    <w:rsid w:val="006567AB"/>
    <w:rsid w:val="00656963"/>
    <w:rsid w:val="00656CDD"/>
    <w:rsid w:val="00656EBF"/>
    <w:rsid w:val="00656F63"/>
    <w:rsid w:val="00656F6D"/>
    <w:rsid w:val="00656FE3"/>
    <w:rsid w:val="006572A5"/>
    <w:rsid w:val="006572CB"/>
    <w:rsid w:val="00657304"/>
    <w:rsid w:val="00657313"/>
    <w:rsid w:val="00657353"/>
    <w:rsid w:val="0065737E"/>
    <w:rsid w:val="0065752D"/>
    <w:rsid w:val="00657668"/>
    <w:rsid w:val="00657670"/>
    <w:rsid w:val="00657A23"/>
    <w:rsid w:val="00657A9C"/>
    <w:rsid w:val="00657AC7"/>
    <w:rsid w:val="00657B79"/>
    <w:rsid w:val="00657BF9"/>
    <w:rsid w:val="00657EFA"/>
    <w:rsid w:val="00657F45"/>
    <w:rsid w:val="00657F60"/>
    <w:rsid w:val="00660161"/>
    <w:rsid w:val="0066038A"/>
    <w:rsid w:val="00660488"/>
    <w:rsid w:val="006604A9"/>
    <w:rsid w:val="006604BB"/>
    <w:rsid w:val="0066060E"/>
    <w:rsid w:val="0066071D"/>
    <w:rsid w:val="0066073C"/>
    <w:rsid w:val="00660755"/>
    <w:rsid w:val="00660824"/>
    <w:rsid w:val="00660DD0"/>
    <w:rsid w:val="00660DFC"/>
    <w:rsid w:val="00660E16"/>
    <w:rsid w:val="00660E45"/>
    <w:rsid w:val="00660FBD"/>
    <w:rsid w:val="0066115B"/>
    <w:rsid w:val="0066117D"/>
    <w:rsid w:val="0066132D"/>
    <w:rsid w:val="00661345"/>
    <w:rsid w:val="00661775"/>
    <w:rsid w:val="00661865"/>
    <w:rsid w:val="00661E20"/>
    <w:rsid w:val="00661E34"/>
    <w:rsid w:val="00661FDE"/>
    <w:rsid w:val="00662181"/>
    <w:rsid w:val="00662399"/>
    <w:rsid w:val="006623F0"/>
    <w:rsid w:val="006624C9"/>
    <w:rsid w:val="006624F2"/>
    <w:rsid w:val="00662543"/>
    <w:rsid w:val="00662573"/>
    <w:rsid w:val="006626C5"/>
    <w:rsid w:val="006627AC"/>
    <w:rsid w:val="00662840"/>
    <w:rsid w:val="00662842"/>
    <w:rsid w:val="006628A8"/>
    <w:rsid w:val="006628C0"/>
    <w:rsid w:val="00662DB3"/>
    <w:rsid w:val="00662F75"/>
    <w:rsid w:val="00663092"/>
    <w:rsid w:val="0066326E"/>
    <w:rsid w:val="00663554"/>
    <w:rsid w:val="00663706"/>
    <w:rsid w:val="006637FC"/>
    <w:rsid w:val="00663828"/>
    <w:rsid w:val="00663C0A"/>
    <w:rsid w:val="00663C6C"/>
    <w:rsid w:val="00663D65"/>
    <w:rsid w:val="006641B5"/>
    <w:rsid w:val="00664231"/>
    <w:rsid w:val="006642CE"/>
    <w:rsid w:val="0066438C"/>
    <w:rsid w:val="006644C0"/>
    <w:rsid w:val="006644D8"/>
    <w:rsid w:val="0066464B"/>
    <w:rsid w:val="00664698"/>
    <w:rsid w:val="006647AE"/>
    <w:rsid w:val="0066495D"/>
    <w:rsid w:val="0066496D"/>
    <w:rsid w:val="006649C7"/>
    <w:rsid w:val="00664AD9"/>
    <w:rsid w:val="00664C9E"/>
    <w:rsid w:val="00664E88"/>
    <w:rsid w:val="00664F62"/>
    <w:rsid w:val="0066508C"/>
    <w:rsid w:val="0066516A"/>
    <w:rsid w:val="006651BB"/>
    <w:rsid w:val="00665292"/>
    <w:rsid w:val="0066535A"/>
    <w:rsid w:val="006653F9"/>
    <w:rsid w:val="00665462"/>
    <w:rsid w:val="006654A4"/>
    <w:rsid w:val="00665730"/>
    <w:rsid w:val="006658B2"/>
    <w:rsid w:val="006658C7"/>
    <w:rsid w:val="006659A2"/>
    <w:rsid w:val="00665BAE"/>
    <w:rsid w:val="00665CB6"/>
    <w:rsid w:val="00665DD7"/>
    <w:rsid w:val="00665F56"/>
    <w:rsid w:val="006661CA"/>
    <w:rsid w:val="006661EE"/>
    <w:rsid w:val="00666484"/>
    <w:rsid w:val="00666595"/>
    <w:rsid w:val="006667CE"/>
    <w:rsid w:val="006667FB"/>
    <w:rsid w:val="006668A5"/>
    <w:rsid w:val="00666C84"/>
    <w:rsid w:val="00667148"/>
    <w:rsid w:val="006671B1"/>
    <w:rsid w:val="00667414"/>
    <w:rsid w:val="00667670"/>
    <w:rsid w:val="00667672"/>
    <w:rsid w:val="006676C9"/>
    <w:rsid w:val="0066782D"/>
    <w:rsid w:val="00667C54"/>
    <w:rsid w:val="00667E42"/>
    <w:rsid w:val="00670003"/>
    <w:rsid w:val="00670359"/>
    <w:rsid w:val="0067040E"/>
    <w:rsid w:val="0067044D"/>
    <w:rsid w:val="006704F7"/>
    <w:rsid w:val="00670724"/>
    <w:rsid w:val="00670EC9"/>
    <w:rsid w:val="006711C7"/>
    <w:rsid w:val="006712D0"/>
    <w:rsid w:val="006713B3"/>
    <w:rsid w:val="00671530"/>
    <w:rsid w:val="006715DC"/>
    <w:rsid w:val="006717A2"/>
    <w:rsid w:val="006718B9"/>
    <w:rsid w:val="00671D04"/>
    <w:rsid w:val="006722EA"/>
    <w:rsid w:val="0067266E"/>
    <w:rsid w:val="00672733"/>
    <w:rsid w:val="00672868"/>
    <w:rsid w:val="00672887"/>
    <w:rsid w:val="006729C4"/>
    <w:rsid w:val="006729D0"/>
    <w:rsid w:val="00672D18"/>
    <w:rsid w:val="00672E1E"/>
    <w:rsid w:val="00672E53"/>
    <w:rsid w:val="00672F8C"/>
    <w:rsid w:val="00672FAF"/>
    <w:rsid w:val="006730DA"/>
    <w:rsid w:val="0067312C"/>
    <w:rsid w:val="006731DD"/>
    <w:rsid w:val="006732EA"/>
    <w:rsid w:val="00673321"/>
    <w:rsid w:val="006733A2"/>
    <w:rsid w:val="00673416"/>
    <w:rsid w:val="00673562"/>
    <w:rsid w:val="0067396C"/>
    <w:rsid w:val="00673A7B"/>
    <w:rsid w:val="00673C78"/>
    <w:rsid w:val="00673D35"/>
    <w:rsid w:val="00673D54"/>
    <w:rsid w:val="00673DC6"/>
    <w:rsid w:val="00673DDC"/>
    <w:rsid w:val="00673F28"/>
    <w:rsid w:val="00673FFB"/>
    <w:rsid w:val="00674053"/>
    <w:rsid w:val="0067410D"/>
    <w:rsid w:val="006742EF"/>
    <w:rsid w:val="0067430B"/>
    <w:rsid w:val="00674487"/>
    <w:rsid w:val="0067469F"/>
    <w:rsid w:val="00674791"/>
    <w:rsid w:val="006747A0"/>
    <w:rsid w:val="006747C1"/>
    <w:rsid w:val="006748B9"/>
    <w:rsid w:val="00674A6F"/>
    <w:rsid w:val="00674B23"/>
    <w:rsid w:val="00674C22"/>
    <w:rsid w:val="00674C53"/>
    <w:rsid w:val="00674F5A"/>
    <w:rsid w:val="00675022"/>
    <w:rsid w:val="0067517D"/>
    <w:rsid w:val="0067518C"/>
    <w:rsid w:val="0067527B"/>
    <w:rsid w:val="006752B1"/>
    <w:rsid w:val="006753E9"/>
    <w:rsid w:val="00675441"/>
    <w:rsid w:val="00675469"/>
    <w:rsid w:val="006756CF"/>
    <w:rsid w:val="00675B28"/>
    <w:rsid w:val="00675B69"/>
    <w:rsid w:val="00675BB4"/>
    <w:rsid w:val="00675BCB"/>
    <w:rsid w:val="00675D61"/>
    <w:rsid w:val="00675D95"/>
    <w:rsid w:val="00675DBE"/>
    <w:rsid w:val="00675E41"/>
    <w:rsid w:val="00675F43"/>
    <w:rsid w:val="006760C7"/>
    <w:rsid w:val="00676160"/>
    <w:rsid w:val="0067624B"/>
    <w:rsid w:val="0067640F"/>
    <w:rsid w:val="00676590"/>
    <w:rsid w:val="006766D5"/>
    <w:rsid w:val="0067677D"/>
    <w:rsid w:val="00676830"/>
    <w:rsid w:val="00676B3B"/>
    <w:rsid w:val="00676B74"/>
    <w:rsid w:val="00676D14"/>
    <w:rsid w:val="00676DF1"/>
    <w:rsid w:val="00676E18"/>
    <w:rsid w:val="00676E44"/>
    <w:rsid w:val="00676E6D"/>
    <w:rsid w:val="00676F87"/>
    <w:rsid w:val="00676FF8"/>
    <w:rsid w:val="0067722B"/>
    <w:rsid w:val="006772C3"/>
    <w:rsid w:val="00677356"/>
    <w:rsid w:val="0067747A"/>
    <w:rsid w:val="006776CE"/>
    <w:rsid w:val="00677724"/>
    <w:rsid w:val="00677958"/>
    <w:rsid w:val="00680029"/>
    <w:rsid w:val="006800DC"/>
    <w:rsid w:val="00680461"/>
    <w:rsid w:val="00680494"/>
    <w:rsid w:val="006804C9"/>
    <w:rsid w:val="00680668"/>
    <w:rsid w:val="0068087A"/>
    <w:rsid w:val="006808D7"/>
    <w:rsid w:val="00680943"/>
    <w:rsid w:val="00680AB5"/>
    <w:rsid w:val="00680CD5"/>
    <w:rsid w:val="00680CEC"/>
    <w:rsid w:val="00681036"/>
    <w:rsid w:val="006813AB"/>
    <w:rsid w:val="006815FB"/>
    <w:rsid w:val="00681740"/>
    <w:rsid w:val="006817E5"/>
    <w:rsid w:val="00681815"/>
    <w:rsid w:val="00681993"/>
    <w:rsid w:val="006819F1"/>
    <w:rsid w:val="00681A3E"/>
    <w:rsid w:val="00681B9F"/>
    <w:rsid w:val="00681C0B"/>
    <w:rsid w:val="00681C41"/>
    <w:rsid w:val="00681D64"/>
    <w:rsid w:val="00681F4E"/>
    <w:rsid w:val="00682060"/>
    <w:rsid w:val="00682180"/>
    <w:rsid w:val="006821DA"/>
    <w:rsid w:val="0068247A"/>
    <w:rsid w:val="00682590"/>
    <w:rsid w:val="0068275F"/>
    <w:rsid w:val="00682788"/>
    <w:rsid w:val="00682808"/>
    <w:rsid w:val="00682889"/>
    <w:rsid w:val="0068295E"/>
    <w:rsid w:val="00682995"/>
    <w:rsid w:val="00682BB3"/>
    <w:rsid w:val="00682CF5"/>
    <w:rsid w:val="00682D97"/>
    <w:rsid w:val="00682DE7"/>
    <w:rsid w:val="00682E19"/>
    <w:rsid w:val="00682E92"/>
    <w:rsid w:val="006830C3"/>
    <w:rsid w:val="006831B4"/>
    <w:rsid w:val="006834B4"/>
    <w:rsid w:val="006835AC"/>
    <w:rsid w:val="006836DF"/>
    <w:rsid w:val="00683960"/>
    <w:rsid w:val="00683B78"/>
    <w:rsid w:val="00683B8B"/>
    <w:rsid w:val="00683D00"/>
    <w:rsid w:val="00683D21"/>
    <w:rsid w:val="00683D5D"/>
    <w:rsid w:val="00683F37"/>
    <w:rsid w:val="00684094"/>
    <w:rsid w:val="0068412B"/>
    <w:rsid w:val="00684268"/>
    <w:rsid w:val="0068442B"/>
    <w:rsid w:val="00684C0C"/>
    <w:rsid w:val="00684C51"/>
    <w:rsid w:val="00684E4C"/>
    <w:rsid w:val="00684FB0"/>
    <w:rsid w:val="00685040"/>
    <w:rsid w:val="006850DF"/>
    <w:rsid w:val="00685255"/>
    <w:rsid w:val="006853DA"/>
    <w:rsid w:val="006856E0"/>
    <w:rsid w:val="0068585E"/>
    <w:rsid w:val="00685908"/>
    <w:rsid w:val="00685AD9"/>
    <w:rsid w:val="00685CAB"/>
    <w:rsid w:val="00685D52"/>
    <w:rsid w:val="00685FED"/>
    <w:rsid w:val="00686000"/>
    <w:rsid w:val="006861E9"/>
    <w:rsid w:val="00686241"/>
    <w:rsid w:val="00686247"/>
    <w:rsid w:val="006862EE"/>
    <w:rsid w:val="00686599"/>
    <w:rsid w:val="0068668C"/>
    <w:rsid w:val="00686707"/>
    <w:rsid w:val="0068677F"/>
    <w:rsid w:val="00686865"/>
    <w:rsid w:val="0068696F"/>
    <w:rsid w:val="0068697A"/>
    <w:rsid w:val="00686A25"/>
    <w:rsid w:val="00686B2E"/>
    <w:rsid w:val="00686D97"/>
    <w:rsid w:val="00686E48"/>
    <w:rsid w:val="00686FC8"/>
    <w:rsid w:val="00686FD6"/>
    <w:rsid w:val="006871C4"/>
    <w:rsid w:val="0068770B"/>
    <w:rsid w:val="00687836"/>
    <w:rsid w:val="00687869"/>
    <w:rsid w:val="00687ACC"/>
    <w:rsid w:val="00687AE3"/>
    <w:rsid w:val="00687B26"/>
    <w:rsid w:val="00687CBF"/>
    <w:rsid w:val="00687D29"/>
    <w:rsid w:val="006901E2"/>
    <w:rsid w:val="006902CE"/>
    <w:rsid w:val="0069053E"/>
    <w:rsid w:val="0069057E"/>
    <w:rsid w:val="006905A9"/>
    <w:rsid w:val="006905E0"/>
    <w:rsid w:val="00690B85"/>
    <w:rsid w:val="00690B86"/>
    <w:rsid w:val="00690CD7"/>
    <w:rsid w:val="00690CF3"/>
    <w:rsid w:val="00690D86"/>
    <w:rsid w:val="00690DAF"/>
    <w:rsid w:val="00690EC2"/>
    <w:rsid w:val="00690FEB"/>
    <w:rsid w:val="0069109F"/>
    <w:rsid w:val="00691102"/>
    <w:rsid w:val="00691117"/>
    <w:rsid w:val="00691207"/>
    <w:rsid w:val="006913F8"/>
    <w:rsid w:val="006915A8"/>
    <w:rsid w:val="0069165B"/>
    <w:rsid w:val="006917D9"/>
    <w:rsid w:val="00691851"/>
    <w:rsid w:val="006918AB"/>
    <w:rsid w:val="00691AF7"/>
    <w:rsid w:val="00691B0E"/>
    <w:rsid w:val="00691C12"/>
    <w:rsid w:val="00691D2D"/>
    <w:rsid w:val="00691E0D"/>
    <w:rsid w:val="00691E13"/>
    <w:rsid w:val="00691ED4"/>
    <w:rsid w:val="00691F1C"/>
    <w:rsid w:val="00691FED"/>
    <w:rsid w:val="00692044"/>
    <w:rsid w:val="0069207F"/>
    <w:rsid w:val="00692243"/>
    <w:rsid w:val="006922D4"/>
    <w:rsid w:val="00692675"/>
    <w:rsid w:val="00692689"/>
    <w:rsid w:val="0069282E"/>
    <w:rsid w:val="0069282F"/>
    <w:rsid w:val="006928D2"/>
    <w:rsid w:val="00692B9B"/>
    <w:rsid w:val="00692C82"/>
    <w:rsid w:val="00692F46"/>
    <w:rsid w:val="00692F77"/>
    <w:rsid w:val="00692FAB"/>
    <w:rsid w:val="0069320C"/>
    <w:rsid w:val="0069347C"/>
    <w:rsid w:val="006935F0"/>
    <w:rsid w:val="0069370D"/>
    <w:rsid w:val="006939BD"/>
    <w:rsid w:val="006939FA"/>
    <w:rsid w:val="00693A07"/>
    <w:rsid w:val="00693D80"/>
    <w:rsid w:val="0069419C"/>
    <w:rsid w:val="006944F9"/>
    <w:rsid w:val="006945E0"/>
    <w:rsid w:val="0069462E"/>
    <w:rsid w:val="00694749"/>
    <w:rsid w:val="00694915"/>
    <w:rsid w:val="00694BB4"/>
    <w:rsid w:val="00694C26"/>
    <w:rsid w:val="00694D9F"/>
    <w:rsid w:val="00695029"/>
    <w:rsid w:val="00695213"/>
    <w:rsid w:val="006952F0"/>
    <w:rsid w:val="006953F6"/>
    <w:rsid w:val="00695424"/>
    <w:rsid w:val="00695545"/>
    <w:rsid w:val="00695552"/>
    <w:rsid w:val="0069556C"/>
    <w:rsid w:val="00695784"/>
    <w:rsid w:val="0069588B"/>
    <w:rsid w:val="00695A43"/>
    <w:rsid w:val="00695A79"/>
    <w:rsid w:val="00695BE8"/>
    <w:rsid w:val="00695E49"/>
    <w:rsid w:val="006961D2"/>
    <w:rsid w:val="00696200"/>
    <w:rsid w:val="0069645C"/>
    <w:rsid w:val="006964A2"/>
    <w:rsid w:val="006964B3"/>
    <w:rsid w:val="00696650"/>
    <w:rsid w:val="00696714"/>
    <w:rsid w:val="00696753"/>
    <w:rsid w:val="0069685C"/>
    <w:rsid w:val="00696982"/>
    <w:rsid w:val="00696CE7"/>
    <w:rsid w:val="00696DDC"/>
    <w:rsid w:val="00696DE6"/>
    <w:rsid w:val="00696EB3"/>
    <w:rsid w:val="00696FC1"/>
    <w:rsid w:val="00696FEE"/>
    <w:rsid w:val="00697050"/>
    <w:rsid w:val="00697294"/>
    <w:rsid w:val="0069731A"/>
    <w:rsid w:val="0069737F"/>
    <w:rsid w:val="006973F0"/>
    <w:rsid w:val="0069742F"/>
    <w:rsid w:val="0069744B"/>
    <w:rsid w:val="0069753A"/>
    <w:rsid w:val="006975B5"/>
    <w:rsid w:val="00697687"/>
    <w:rsid w:val="006977C8"/>
    <w:rsid w:val="00697968"/>
    <w:rsid w:val="00697BA3"/>
    <w:rsid w:val="00697CAF"/>
    <w:rsid w:val="00697CEB"/>
    <w:rsid w:val="00697E0B"/>
    <w:rsid w:val="00697F48"/>
    <w:rsid w:val="006A01D3"/>
    <w:rsid w:val="006A03BD"/>
    <w:rsid w:val="006A05B8"/>
    <w:rsid w:val="006A07D0"/>
    <w:rsid w:val="006A0834"/>
    <w:rsid w:val="006A0AA1"/>
    <w:rsid w:val="006A0ACF"/>
    <w:rsid w:val="006A0B08"/>
    <w:rsid w:val="006A0B29"/>
    <w:rsid w:val="006A0B68"/>
    <w:rsid w:val="006A0D2E"/>
    <w:rsid w:val="006A0D44"/>
    <w:rsid w:val="006A0EEC"/>
    <w:rsid w:val="006A0FF6"/>
    <w:rsid w:val="006A10A4"/>
    <w:rsid w:val="006A10BD"/>
    <w:rsid w:val="006A10FF"/>
    <w:rsid w:val="006A1292"/>
    <w:rsid w:val="006A1515"/>
    <w:rsid w:val="006A1ABA"/>
    <w:rsid w:val="006A1B32"/>
    <w:rsid w:val="006A1C41"/>
    <w:rsid w:val="006A1C76"/>
    <w:rsid w:val="006A1D7A"/>
    <w:rsid w:val="006A1F33"/>
    <w:rsid w:val="006A2006"/>
    <w:rsid w:val="006A2399"/>
    <w:rsid w:val="006A2688"/>
    <w:rsid w:val="006A273E"/>
    <w:rsid w:val="006A28C4"/>
    <w:rsid w:val="006A290A"/>
    <w:rsid w:val="006A2B94"/>
    <w:rsid w:val="006A2F33"/>
    <w:rsid w:val="006A3282"/>
    <w:rsid w:val="006A3501"/>
    <w:rsid w:val="006A3602"/>
    <w:rsid w:val="006A3725"/>
    <w:rsid w:val="006A37C0"/>
    <w:rsid w:val="006A37E1"/>
    <w:rsid w:val="006A3862"/>
    <w:rsid w:val="006A3896"/>
    <w:rsid w:val="006A38A4"/>
    <w:rsid w:val="006A3979"/>
    <w:rsid w:val="006A3997"/>
    <w:rsid w:val="006A3B62"/>
    <w:rsid w:val="006A3B8B"/>
    <w:rsid w:val="006A3E1A"/>
    <w:rsid w:val="006A3E74"/>
    <w:rsid w:val="006A41FF"/>
    <w:rsid w:val="006A4244"/>
    <w:rsid w:val="006A42D7"/>
    <w:rsid w:val="006A4628"/>
    <w:rsid w:val="006A4640"/>
    <w:rsid w:val="006A46CD"/>
    <w:rsid w:val="006A4791"/>
    <w:rsid w:val="006A481B"/>
    <w:rsid w:val="006A483C"/>
    <w:rsid w:val="006A484E"/>
    <w:rsid w:val="006A4984"/>
    <w:rsid w:val="006A49EC"/>
    <w:rsid w:val="006A4B2A"/>
    <w:rsid w:val="006A4D9E"/>
    <w:rsid w:val="006A4ED4"/>
    <w:rsid w:val="006A5024"/>
    <w:rsid w:val="006A509E"/>
    <w:rsid w:val="006A5514"/>
    <w:rsid w:val="006A554B"/>
    <w:rsid w:val="006A566B"/>
    <w:rsid w:val="006A59BA"/>
    <w:rsid w:val="006A5A42"/>
    <w:rsid w:val="006A5B04"/>
    <w:rsid w:val="006A5C10"/>
    <w:rsid w:val="006A5C16"/>
    <w:rsid w:val="006A5DA3"/>
    <w:rsid w:val="006A5DC5"/>
    <w:rsid w:val="006A5DE2"/>
    <w:rsid w:val="006A5F51"/>
    <w:rsid w:val="006A600E"/>
    <w:rsid w:val="006A6050"/>
    <w:rsid w:val="006A60ED"/>
    <w:rsid w:val="006A6368"/>
    <w:rsid w:val="006A63E2"/>
    <w:rsid w:val="006A65E9"/>
    <w:rsid w:val="006A66FE"/>
    <w:rsid w:val="006A67B0"/>
    <w:rsid w:val="006A67D6"/>
    <w:rsid w:val="006A6808"/>
    <w:rsid w:val="006A695E"/>
    <w:rsid w:val="006A6AE8"/>
    <w:rsid w:val="006A6C40"/>
    <w:rsid w:val="006A6DD5"/>
    <w:rsid w:val="006A71F7"/>
    <w:rsid w:val="006A7569"/>
    <w:rsid w:val="006A76CC"/>
    <w:rsid w:val="006A7767"/>
    <w:rsid w:val="006A791A"/>
    <w:rsid w:val="006A7951"/>
    <w:rsid w:val="006A795C"/>
    <w:rsid w:val="006A79D2"/>
    <w:rsid w:val="006A7CAF"/>
    <w:rsid w:val="006A7E2E"/>
    <w:rsid w:val="006A7F65"/>
    <w:rsid w:val="006B0191"/>
    <w:rsid w:val="006B030E"/>
    <w:rsid w:val="006B0342"/>
    <w:rsid w:val="006B0370"/>
    <w:rsid w:val="006B0409"/>
    <w:rsid w:val="006B0899"/>
    <w:rsid w:val="006B0D37"/>
    <w:rsid w:val="006B0E21"/>
    <w:rsid w:val="006B0F8A"/>
    <w:rsid w:val="006B10D0"/>
    <w:rsid w:val="006B1181"/>
    <w:rsid w:val="006B12AA"/>
    <w:rsid w:val="006B12C6"/>
    <w:rsid w:val="006B14A7"/>
    <w:rsid w:val="006B1823"/>
    <w:rsid w:val="006B1B8E"/>
    <w:rsid w:val="006B1C2E"/>
    <w:rsid w:val="006B1C9C"/>
    <w:rsid w:val="006B1D47"/>
    <w:rsid w:val="006B1D52"/>
    <w:rsid w:val="006B2161"/>
    <w:rsid w:val="006B21CA"/>
    <w:rsid w:val="006B22A0"/>
    <w:rsid w:val="006B23C9"/>
    <w:rsid w:val="006B2442"/>
    <w:rsid w:val="006B24B7"/>
    <w:rsid w:val="006B260C"/>
    <w:rsid w:val="006B27B8"/>
    <w:rsid w:val="006B280B"/>
    <w:rsid w:val="006B280C"/>
    <w:rsid w:val="006B2999"/>
    <w:rsid w:val="006B299F"/>
    <w:rsid w:val="006B29F1"/>
    <w:rsid w:val="006B2A90"/>
    <w:rsid w:val="006B2D72"/>
    <w:rsid w:val="006B2F7C"/>
    <w:rsid w:val="006B3081"/>
    <w:rsid w:val="006B30B8"/>
    <w:rsid w:val="006B3100"/>
    <w:rsid w:val="006B326D"/>
    <w:rsid w:val="006B32DA"/>
    <w:rsid w:val="006B33E4"/>
    <w:rsid w:val="006B378E"/>
    <w:rsid w:val="006B387A"/>
    <w:rsid w:val="006B398B"/>
    <w:rsid w:val="006B3A6D"/>
    <w:rsid w:val="006B3B2B"/>
    <w:rsid w:val="006B3B75"/>
    <w:rsid w:val="006B3D9B"/>
    <w:rsid w:val="006B3E4E"/>
    <w:rsid w:val="006B3FF0"/>
    <w:rsid w:val="006B4635"/>
    <w:rsid w:val="006B4A40"/>
    <w:rsid w:val="006B4AF4"/>
    <w:rsid w:val="006B4B0E"/>
    <w:rsid w:val="006B4C89"/>
    <w:rsid w:val="006B4CA0"/>
    <w:rsid w:val="006B4D47"/>
    <w:rsid w:val="006B4D4D"/>
    <w:rsid w:val="006B4E7A"/>
    <w:rsid w:val="006B5006"/>
    <w:rsid w:val="006B5086"/>
    <w:rsid w:val="006B51F2"/>
    <w:rsid w:val="006B5214"/>
    <w:rsid w:val="006B57FF"/>
    <w:rsid w:val="006B5A05"/>
    <w:rsid w:val="006B5B00"/>
    <w:rsid w:val="006B5B76"/>
    <w:rsid w:val="006B5BBC"/>
    <w:rsid w:val="006B5D64"/>
    <w:rsid w:val="006B6230"/>
    <w:rsid w:val="006B6299"/>
    <w:rsid w:val="006B6405"/>
    <w:rsid w:val="006B657B"/>
    <w:rsid w:val="006B661C"/>
    <w:rsid w:val="006B67A4"/>
    <w:rsid w:val="006B67BF"/>
    <w:rsid w:val="006B69C8"/>
    <w:rsid w:val="006B6B10"/>
    <w:rsid w:val="006B6B6B"/>
    <w:rsid w:val="006B6CE1"/>
    <w:rsid w:val="006B6E6E"/>
    <w:rsid w:val="006B728B"/>
    <w:rsid w:val="006B740A"/>
    <w:rsid w:val="006B7432"/>
    <w:rsid w:val="006B746E"/>
    <w:rsid w:val="006B75BA"/>
    <w:rsid w:val="006B7649"/>
    <w:rsid w:val="006B7787"/>
    <w:rsid w:val="006B78F8"/>
    <w:rsid w:val="006B79A9"/>
    <w:rsid w:val="006B7B8C"/>
    <w:rsid w:val="006B7FB6"/>
    <w:rsid w:val="006B7FE6"/>
    <w:rsid w:val="006C028B"/>
    <w:rsid w:val="006C0425"/>
    <w:rsid w:val="006C04FF"/>
    <w:rsid w:val="006C06B3"/>
    <w:rsid w:val="006C07BD"/>
    <w:rsid w:val="006C08F9"/>
    <w:rsid w:val="006C0A83"/>
    <w:rsid w:val="006C0A99"/>
    <w:rsid w:val="006C0AE9"/>
    <w:rsid w:val="006C0C3A"/>
    <w:rsid w:val="006C0E02"/>
    <w:rsid w:val="006C0E10"/>
    <w:rsid w:val="006C1144"/>
    <w:rsid w:val="006C11BE"/>
    <w:rsid w:val="006C12B7"/>
    <w:rsid w:val="006C15D8"/>
    <w:rsid w:val="006C15F6"/>
    <w:rsid w:val="006C17D1"/>
    <w:rsid w:val="006C1A04"/>
    <w:rsid w:val="006C1A11"/>
    <w:rsid w:val="006C1B25"/>
    <w:rsid w:val="006C1B6C"/>
    <w:rsid w:val="006C1D5F"/>
    <w:rsid w:val="006C1DB4"/>
    <w:rsid w:val="006C1E6A"/>
    <w:rsid w:val="006C1F8B"/>
    <w:rsid w:val="006C1FAE"/>
    <w:rsid w:val="006C2093"/>
    <w:rsid w:val="006C213E"/>
    <w:rsid w:val="006C2148"/>
    <w:rsid w:val="006C219B"/>
    <w:rsid w:val="006C22B2"/>
    <w:rsid w:val="006C2385"/>
    <w:rsid w:val="006C254E"/>
    <w:rsid w:val="006C29D1"/>
    <w:rsid w:val="006C2DE8"/>
    <w:rsid w:val="006C30CF"/>
    <w:rsid w:val="006C3196"/>
    <w:rsid w:val="006C32F5"/>
    <w:rsid w:val="006C3391"/>
    <w:rsid w:val="006C3410"/>
    <w:rsid w:val="006C379B"/>
    <w:rsid w:val="006C3822"/>
    <w:rsid w:val="006C39A3"/>
    <w:rsid w:val="006C3A38"/>
    <w:rsid w:val="006C3C49"/>
    <w:rsid w:val="006C3D2D"/>
    <w:rsid w:val="006C3FAF"/>
    <w:rsid w:val="006C417F"/>
    <w:rsid w:val="006C41C8"/>
    <w:rsid w:val="006C4357"/>
    <w:rsid w:val="006C4472"/>
    <w:rsid w:val="006C45CA"/>
    <w:rsid w:val="006C46CC"/>
    <w:rsid w:val="006C4797"/>
    <w:rsid w:val="006C47EF"/>
    <w:rsid w:val="006C49DE"/>
    <w:rsid w:val="006C4BA8"/>
    <w:rsid w:val="006C4C8C"/>
    <w:rsid w:val="006C4CBA"/>
    <w:rsid w:val="006C4E18"/>
    <w:rsid w:val="006C5072"/>
    <w:rsid w:val="006C5092"/>
    <w:rsid w:val="006C53F5"/>
    <w:rsid w:val="006C5656"/>
    <w:rsid w:val="006C587A"/>
    <w:rsid w:val="006C5945"/>
    <w:rsid w:val="006C5992"/>
    <w:rsid w:val="006C5B8D"/>
    <w:rsid w:val="006C5FFB"/>
    <w:rsid w:val="006C6023"/>
    <w:rsid w:val="006C6064"/>
    <w:rsid w:val="006C6256"/>
    <w:rsid w:val="006C6347"/>
    <w:rsid w:val="006C6585"/>
    <w:rsid w:val="006C65B4"/>
    <w:rsid w:val="006C67FC"/>
    <w:rsid w:val="006C6A62"/>
    <w:rsid w:val="006C6B34"/>
    <w:rsid w:val="006C6BEF"/>
    <w:rsid w:val="006C6DB2"/>
    <w:rsid w:val="006C6DFB"/>
    <w:rsid w:val="006C6F4F"/>
    <w:rsid w:val="006C7140"/>
    <w:rsid w:val="006C7163"/>
    <w:rsid w:val="006C72A1"/>
    <w:rsid w:val="006C73AB"/>
    <w:rsid w:val="006C75B7"/>
    <w:rsid w:val="006C771B"/>
    <w:rsid w:val="006C7734"/>
    <w:rsid w:val="006C791E"/>
    <w:rsid w:val="006C79A5"/>
    <w:rsid w:val="006C7DE0"/>
    <w:rsid w:val="006C7F0C"/>
    <w:rsid w:val="006D0023"/>
    <w:rsid w:val="006D022F"/>
    <w:rsid w:val="006D0628"/>
    <w:rsid w:val="006D072B"/>
    <w:rsid w:val="006D07B0"/>
    <w:rsid w:val="006D0981"/>
    <w:rsid w:val="006D09CD"/>
    <w:rsid w:val="006D0AA1"/>
    <w:rsid w:val="006D0C78"/>
    <w:rsid w:val="006D0CB6"/>
    <w:rsid w:val="006D0D82"/>
    <w:rsid w:val="006D0F29"/>
    <w:rsid w:val="006D11E8"/>
    <w:rsid w:val="006D12A8"/>
    <w:rsid w:val="006D1784"/>
    <w:rsid w:val="006D18B0"/>
    <w:rsid w:val="006D1AF8"/>
    <w:rsid w:val="006D1BFD"/>
    <w:rsid w:val="006D1E30"/>
    <w:rsid w:val="006D1E4E"/>
    <w:rsid w:val="006D1F0E"/>
    <w:rsid w:val="006D1FCF"/>
    <w:rsid w:val="006D20B5"/>
    <w:rsid w:val="006D210F"/>
    <w:rsid w:val="006D25E6"/>
    <w:rsid w:val="006D2627"/>
    <w:rsid w:val="006D269B"/>
    <w:rsid w:val="006D26B8"/>
    <w:rsid w:val="006D27B8"/>
    <w:rsid w:val="006D28F6"/>
    <w:rsid w:val="006D2CA3"/>
    <w:rsid w:val="006D2FB9"/>
    <w:rsid w:val="006D2FF1"/>
    <w:rsid w:val="006D309E"/>
    <w:rsid w:val="006D3114"/>
    <w:rsid w:val="006D31C8"/>
    <w:rsid w:val="006D3442"/>
    <w:rsid w:val="006D3445"/>
    <w:rsid w:val="006D3535"/>
    <w:rsid w:val="006D359C"/>
    <w:rsid w:val="006D362E"/>
    <w:rsid w:val="006D3713"/>
    <w:rsid w:val="006D3A2C"/>
    <w:rsid w:val="006D3C74"/>
    <w:rsid w:val="006D3CC5"/>
    <w:rsid w:val="006D3DC9"/>
    <w:rsid w:val="006D3E31"/>
    <w:rsid w:val="006D4129"/>
    <w:rsid w:val="006D41CC"/>
    <w:rsid w:val="006D41F0"/>
    <w:rsid w:val="006D4289"/>
    <w:rsid w:val="006D428A"/>
    <w:rsid w:val="006D42CF"/>
    <w:rsid w:val="006D4361"/>
    <w:rsid w:val="006D446B"/>
    <w:rsid w:val="006D46E5"/>
    <w:rsid w:val="006D476B"/>
    <w:rsid w:val="006D49D1"/>
    <w:rsid w:val="006D49D6"/>
    <w:rsid w:val="006D4C42"/>
    <w:rsid w:val="006D4CDE"/>
    <w:rsid w:val="006D4CDF"/>
    <w:rsid w:val="006D4D5E"/>
    <w:rsid w:val="006D513F"/>
    <w:rsid w:val="006D516B"/>
    <w:rsid w:val="006D5198"/>
    <w:rsid w:val="006D527A"/>
    <w:rsid w:val="006D5361"/>
    <w:rsid w:val="006D5668"/>
    <w:rsid w:val="006D569E"/>
    <w:rsid w:val="006D57A3"/>
    <w:rsid w:val="006D58A7"/>
    <w:rsid w:val="006D596C"/>
    <w:rsid w:val="006D5A25"/>
    <w:rsid w:val="006D5B55"/>
    <w:rsid w:val="006D5BD8"/>
    <w:rsid w:val="006D6016"/>
    <w:rsid w:val="006D616D"/>
    <w:rsid w:val="006D6309"/>
    <w:rsid w:val="006D6711"/>
    <w:rsid w:val="006D6782"/>
    <w:rsid w:val="006D6A6E"/>
    <w:rsid w:val="006D6AA6"/>
    <w:rsid w:val="006D6B2A"/>
    <w:rsid w:val="006D6DA1"/>
    <w:rsid w:val="006D6FDD"/>
    <w:rsid w:val="006D7013"/>
    <w:rsid w:val="006D7074"/>
    <w:rsid w:val="006D70A4"/>
    <w:rsid w:val="006D70C0"/>
    <w:rsid w:val="006D72A5"/>
    <w:rsid w:val="006D750D"/>
    <w:rsid w:val="006D7512"/>
    <w:rsid w:val="006D752D"/>
    <w:rsid w:val="006D75D3"/>
    <w:rsid w:val="006D75FC"/>
    <w:rsid w:val="006D766C"/>
    <w:rsid w:val="006D7686"/>
    <w:rsid w:val="006D76F7"/>
    <w:rsid w:val="006D78B5"/>
    <w:rsid w:val="006D7CF7"/>
    <w:rsid w:val="006D7D04"/>
    <w:rsid w:val="006D7E9E"/>
    <w:rsid w:val="006D7F22"/>
    <w:rsid w:val="006E0102"/>
    <w:rsid w:val="006E01D5"/>
    <w:rsid w:val="006E05EA"/>
    <w:rsid w:val="006E06BE"/>
    <w:rsid w:val="006E0763"/>
    <w:rsid w:val="006E078B"/>
    <w:rsid w:val="006E0963"/>
    <w:rsid w:val="006E0A33"/>
    <w:rsid w:val="006E0C38"/>
    <w:rsid w:val="006E0C7A"/>
    <w:rsid w:val="006E0C9F"/>
    <w:rsid w:val="006E0CDC"/>
    <w:rsid w:val="006E0E6B"/>
    <w:rsid w:val="006E10D1"/>
    <w:rsid w:val="006E133B"/>
    <w:rsid w:val="006E15EA"/>
    <w:rsid w:val="006E163C"/>
    <w:rsid w:val="006E1A10"/>
    <w:rsid w:val="006E1B51"/>
    <w:rsid w:val="006E1FEB"/>
    <w:rsid w:val="006E2151"/>
    <w:rsid w:val="006E21D6"/>
    <w:rsid w:val="006E22B7"/>
    <w:rsid w:val="006E2677"/>
    <w:rsid w:val="006E271A"/>
    <w:rsid w:val="006E2B2F"/>
    <w:rsid w:val="006E2B79"/>
    <w:rsid w:val="006E2CC6"/>
    <w:rsid w:val="006E2EC4"/>
    <w:rsid w:val="006E2F3D"/>
    <w:rsid w:val="006E313E"/>
    <w:rsid w:val="006E324A"/>
    <w:rsid w:val="006E3373"/>
    <w:rsid w:val="006E3462"/>
    <w:rsid w:val="006E3614"/>
    <w:rsid w:val="006E36BC"/>
    <w:rsid w:val="006E3C2D"/>
    <w:rsid w:val="006E3D42"/>
    <w:rsid w:val="006E41DF"/>
    <w:rsid w:val="006E4268"/>
    <w:rsid w:val="006E4608"/>
    <w:rsid w:val="006E4624"/>
    <w:rsid w:val="006E469A"/>
    <w:rsid w:val="006E475D"/>
    <w:rsid w:val="006E48FB"/>
    <w:rsid w:val="006E49E5"/>
    <w:rsid w:val="006E4A0A"/>
    <w:rsid w:val="006E4F68"/>
    <w:rsid w:val="006E500B"/>
    <w:rsid w:val="006E50C1"/>
    <w:rsid w:val="006E5215"/>
    <w:rsid w:val="006E537F"/>
    <w:rsid w:val="006E5A99"/>
    <w:rsid w:val="006E5E27"/>
    <w:rsid w:val="006E5E6D"/>
    <w:rsid w:val="006E615A"/>
    <w:rsid w:val="006E6201"/>
    <w:rsid w:val="006E62C0"/>
    <w:rsid w:val="006E643E"/>
    <w:rsid w:val="006E653F"/>
    <w:rsid w:val="006E65B6"/>
    <w:rsid w:val="006E666F"/>
    <w:rsid w:val="006E67C0"/>
    <w:rsid w:val="006E6BAC"/>
    <w:rsid w:val="006E6C90"/>
    <w:rsid w:val="006E6DA7"/>
    <w:rsid w:val="006E6DB9"/>
    <w:rsid w:val="006E6EA5"/>
    <w:rsid w:val="006E6F77"/>
    <w:rsid w:val="006E6FBD"/>
    <w:rsid w:val="006E6FF8"/>
    <w:rsid w:val="006E70E1"/>
    <w:rsid w:val="006E7105"/>
    <w:rsid w:val="006E74D7"/>
    <w:rsid w:val="006E7548"/>
    <w:rsid w:val="006E7732"/>
    <w:rsid w:val="006E79AF"/>
    <w:rsid w:val="006E79FF"/>
    <w:rsid w:val="006E7A97"/>
    <w:rsid w:val="006E7C37"/>
    <w:rsid w:val="006E7DD6"/>
    <w:rsid w:val="006E7F63"/>
    <w:rsid w:val="006E7F65"/>
    <w:rsid w:val="006F00FC"/>
    <w:rsid w:val="006F033D"/>
    <w:rsid w:val="006F04C0"/>
    <w:rsid w:val="006F04FA"/>
    <w:rsid w:val="006F068C"/>
    <w:rsid w:val="006F0779"/>
    <w:rsid w:val="006F0830"/>
    <w:rsid w:val="006F09CE"/>
    <w:rsid w:val="006F09FD"/>
    <w:rsid w:val="006F0EDB"/>
    <w:rsid w:val="006F0EFD"/>
    <w:rsid w:val="006F0FA6"/>
    <w:rsid w:val="006F0FCA"/>
    <w:rsid w:val="006F1033"/>
    <w:rsid w:val="006F110D"/>
    <w:rsid w:val="006F12A1"/>
    <w:rsid w:val="006F1426"/>
    <w:rsid w:val="006F1565"/>
    <w:rsid w:val="006F1963"/>
    <w:rsid w:val="006F1B91"/>
    <w:rsid w:val="006F1BCA"/>
    <w:rsid w:val="006F1C62"/>
    <w:rsid w:val="006F1D78"/>
    <w:rsid w:val="006F215C"/>
    <w:rsid w:val="006F23D4"/>
    <w:rsid w:val="006F23E8"/>
    <w:rsid w:val="006F2408"/>
    <w:rsid w:val="006F2598"/>
    <w:rsid w:val="006F289C"/>
    <w:rsid w:val="006F28E4"/>
    <w:rsid w:val="006F2A84"/>
    <w:rsid w:val="006F2B82"/>
    <w:rsid w:val="006F2BAE"/>
    <w:rsid w:val="006F2ED2"/>
    <w:rsid w:val="006F3010"/>
    <w:rsid w:val="006F30FB"/>
    <w:rsid w:val="006F3102"/>
    <w:rsid w:val="006F31E9"/>
    <w:rsid w:val="006F3207"/>
    <w:rsid w:val="006F3461"/>
    <w:rsid w:val="006F3533"/>
    <w:rsid w:val="006F38A4"/>
    <w:rsid w:val="006F38A8"/>
    <w:rsid w:val="006F3A24"/>
    <w:rsid w:val="006F3B4B"/>
    <w:rsid w:val="006F3BBB"/>
    <w:rsid w:val="006F3CE1"/>
    <w:rsid w:val="006F3FB2"/>
    <w:rsid w:val="006F3FDB"/>
    <w:rsid w:val="006F403D"/>
    <w:rsid w:val="006F4076"/>
    <w:rsid w:val="006F441B"/>
    <w:rsid w:val="006F442E"/>
    <w:rsid w:val="006F445F"/>
    <w:rsid w:val="006F4476"/>
    <w:rsid w:val="006F455D"/>
    <w:rsid w:val="006F476A"/>
    <w:rsid w:val="006F480D"/>
    <w:rsid w:val="006F48DD"/>
    <w:rsid w:val="006F48DE"/>
    <w:rsid w:val="006F4A2D"/>
    <w:rsid w:val="006F4B71"/>
    <w:rsid w:val="006F4C43"/>
    <w:rsid w:val="006F4E0F"/>
    <w:rsid w:val="006F4FFD"/>
    <w:rsid w:val="006F5186"/>
    <w:rsid w:val="006F51C5"/>
    <w:rsid w:val="006F52F7"/>
    <w:rsid w:val="006F5415"/>
    <w:rsid w:val="006F55D8"/>
    <w:rsid w:val="006F5871"/>
    <w:rsid w:val="006F59A7"/>
    <w:rsid w:val="006F5A8E"/>
    <w:rsid w:val="006F5A94"/>
    <w:rsid w:val="006F5AA7"/>
    <w:rsid w:val="006F5C9E"/>
    <w:rsid w:val="006F5F27"/>
    <w:rsid w:val="006F6201"/>
    <w:rsid w:val="006F71C2"/>
    <w:rsid w:val="006F7308"/>
    <w:rsid w:val="006F7463"/>
    <w:rsid w:val="006F749E"/>
    <w:rsid w:val="006F74D6"/>
    <w:rsid w:val="006F74F1"/>
    <w:rsid w:val="006F7549"/>
    <w:rsid w:val="006F783B"/>
    <w:rsid w:val="006F7876"/>
    <w:rsid w:val="006F79D7"/>
    <w:rsid w:val="006F7BB0"/>
    <w:rsid w:val="006F7EE2"/>
    <w:rsid w:val="0070004F"/>
    <w:rsid w:val="00700155"/>
    <w:rsid w:val="007003D6"/>
    <w:rsid w:val="00700518"/>
    <w:rsid w:val="00700528"/>
    <w:rsid w:val="0070058E"/>
    <w:rsid w:val="00700627"/>
    <w:rsid w:val="00700664"/>
    <w:rsid w:val="007008B9"/>
    <w:rsid w:val="00700929"/>
    <w:rsid w:val="00700ACB"/>
    <w:rsid w:val="00700AF1"/>
    <w:rsid w:val="00700DD1"/>
    <w:rsid w:val="00701056"/>
    <w:rsid w:val="0070109C"/>
    <w:rsid w:val="007012AF"/>
    <w:rsid w:val="007014A5"/>
    <w:rsid w:val="0070163C"/>
    <w:rsid w:val="007016E0"/>
    <w:rsid w:val="00701790"/>
    <w:rsid w:val="00701818"/>
    <w:rsid w:val="00701C6F"/>
    <w:rsid w:val="00701D98"/>
    <w:rsid w:val="00701EA1"/>
    <w:rsid w:val="00702009"/>
    <w:rsid w:val="007020D3"/>
    <w:rsid w:val="007023B7"/>
    <w:rsid w:val="007023E4"/>
    <w:rsid w:val="007025F3"/>
    <w:rsid w:val="00702935"/>
    <w:rsid w:val="00702C08"/>
    <w:rsid w:val="00702CA0"/>
    <w:rsid w:val="00702CBB"/>
    <w:rsid w:val="00702D82"/>
    <w:rsid w:val="00702E3F"/>
    <w:rsid w:val="00702EFE"/>
    <w:rsid w:val="00702F18"/>
    <w:rsid w:val="00702F36"/>
    <w:rsid w:val="00703048"/>
    <w:rsid w:val="0070319B"/>
    <w:rsid w:val="007033E3"/>
    <w:rsid w:val="007033F0"/>
    <w:rsid w:val="00703668"/>
    <w:rsid w:val="0070376A"/>
    <w:rsid w:val="0070382B"/>
    <w:rsid w:val="00703837"/>
    <w:rsid w:val="00703BF8"/>
    <w:rsid w:val="00703CA8"/>
    <w:rsid w:val="00703CFB"/>
    <w:rsid w:val="00704004"/>
    <w:rsid w:val="00704070"/>
    <w:rsid w:val="007040C1"/>
    <w:rsid w:val="00704257"/>
    <w:rsid w:val="007044BB"/>
    <w:rsid w:val="0070455B"/>
    <w:rsid w:val="007046AC"/>
    <w:rsid w:val="0070481F"/>
    <w:rsid w:val="007049D1"/>
    <w:rsid w:val="00704A28"/>
    <w:rsid w:val="00704D72"/>
    <w:rsid w:val="00704DED"/>
    <w:rsid w:val="00704E2E"/>
    <w:rsid w:val="007052DD"/>
    <w:rsid w:val="00705530"/>
    <w:rsid w:val="00705579"/>
    <w:rsid w:val="007056FD"/>
    <w:rsid w:val="00705775"/>
    <w:rsid w:val="00705AE8"/>
    <w:rsid w:val="00705CFB"/>
    <w:rsid w:val="00705FDE"/>
    <w:rsid w:val="00706077"/>
    <w:rsid w:val="00706087"/>
    <w:rsid w:val="007062D2"/>
    <w:rsid w:val="00706376"/>
    <w:rsid w:val="007064E3"/>
    <w:rsid w:val="007069AB"/>
    <w:rsid w:val="00706A82"/>
    <w:rsid w:val="00706C09"/>
    <w:rsid w:val="00706D6D"/>
    <w:rsid w:val="00706E46"/>
    <w:rsid w:val="00706EE1"/>
    <w:rsid w:val="007071DF"/>
    <w:rsid w:val="0070723F"/>
    <w:rsid w:val="0070726E"/>
    <w:rsid w:val="007072C5"/>
    <w:rsid w:val="00707381"/>
    <w:rsid w:val="007074F2"/>
    <w:rsid w:val="00707681"/>
    <w:rsid w:val="0070777D"/>
    <w:rsid w:val="007077B7"/>
    <w:rsid w:val="007078DF"/>
    <w:rsid w:val="00707A1A"/>
    <w:rsid w:val="00707AE0"/>
    <w:rsid w:val="00707D71"/>
    <w:rsid w:val="00707E45"/>
    <w:rsid w:val="00707F3E"/>
    <w:rsid w:val="007100C5"/>
    <w:rsid w:val="007102F7"/>
    <w:rsid w:val="0071039B"/>
    <w:rsid w:val="0071047A"/>
    <w:rsid w:val="0071053A"/>
    <w:rsid w:val="00710548"/>
    <w:rsid w:val="0071068D"/>
    <w:rsid w:val="00710723"/>
    <w:rsid w:val="00710846"/>
    <w:rsid w:val="0071089C"/>
    <w:rsid w:val="007108A2"/>
    <w:rsid w:val="00710BBE"/>
    <w:rsid w:val="00710BDE"/>
    <w:rsid w:val="00710DB4"/>
    <w:rsid w:val="00710DC7"/>
    <w:rsid w:val="00710F31"/>
    <w:rsid w:val="0071108B"/>
    <w:rsid w:val="0071131F"/>
    <w:rsid w:val="00711384"/>
    <w:rsid w:val="007117F8"/>
    <w:rsid w:val="00711AE6"/>
    <w:rsid w:val="00711C99"/>
    <w:rsid w:val="00711CD7"/>
    <w:rsid w:val="00711F81"/>
    <w:rsid w:val="00712190"/>
    <w:rsid w:val="007122AC"/>
    <w:rsid w:val="007124EF"/>
    <w:rsid w:val="00712861"/>
    <w:rsid w:val="00712B3A"/>
    <w:rsid w:val="00712CD9"/>
    <w:rsid w:val="00712E78"/>
    <w:rsid w:val="00712F17"/>
    <w:rsid w:val="007134E3"/>
    <w:rsid w:val="0071362F"/>
    <w:rsid w:val="0071398F"/>
    <w:rsid w:val="00713A33"/>
    <w:rsid w:val="00713A78"/>
    <w:rsid w:val="00713B66"/>
    <w:rsid w:val="00713CC1"/>
    <w:rsid w:val="00713D1F"/>
    <w:rsid w:val="00713EE6"/>
    <w:rsid w:val="00713F67"/>
    <w:rsid w:val="00714046"/>
    <w:rsid w:val="007140AC"/>
    <w:rsid w:val="00714238"/>
    <w:rsid w:val="007142A6"/>
    <w:rsid w:val="007143C9"/>
    <w:rsid w:val="00714452"/>
    <w:rsid w:val="0071458E"/>
    <w:rsid w:val="007145F1"/>
    <w:rsid w:val="0071461A"/>
    <w:rsid w:val="00714638"/>
    <w:rsid w:val="007146C7"/>
    <w:rsid w:val="007149C5"/>
    <w:rsid w:val="00714B1E"/>
    <w:rsid w:val="00714CDC"/>
    <w:rsid w:val="00714D97"/>
    <w:rsid w:val="00714F6A"/>
    <w:rsid w:val="0071515F"/>
    <w:rsid w:val="007152F7"/>
    <w:rsid w:val="007157B8"/>
    <w:rsid w:val="00715A32"/>
    <w:rsid w:val="00715D49"/>
    <w:rsid w:val="00715DB2"/>
    <w:rsid w:val="00715E88"/>
    <w:rsid w:val="007160A1"/>
    <w:rsid w:val="007160A8"/>
    <w:rsid w:val="007160D9"/>
    <w:rsid w:val="007161F6"/>
    <w:rsid w:val="00716226"/>
    <w:rsid w:val="0071622C"/>
    <w:rsid w:val="007164F6"/>
    <w:rsid w:val="00716599"/>
    <w:rsid w:val="007167B6"/>
    <w:rsid w:val="00716906"/>
    <w:rsid w:val="0071695E"/>
    <w:rsid w:val="00716A27"/>
    <w:rsid w:val="00716BCE"/>
    <w:rsid w:val="00716C2A"/>
    <w:rsid w:val="00716E5D"/>
    <w:rsid w:val="00716E8C"/>
    <w:rsid w:val="00716FA3"/>
    <w:rsid w:val="00717031"/>
    <w:rsid w:val="007170C9"/>
    <w:rsid w:val="007170D8"/>
    <w:rsid w:val="007170F4"/>
    <w:rsid w:val="00717114"/>
    <w:rsid w:val="007171C5"/>
    <w:rsid w:val="0071729C"/>
    <w:rsid w:val="00717350"/>
    <w:rsid w:val="00717493"/>
    <w:rsid w:val="007174A3"/>
    <w:rsid w:val="0071759B"/>
    <w:rsid w:val="00717637"/>
    <w:rsid w:val="00717642"/>
    <w:rsid w:val="00717692"/>
    <w:rsid w:val="00717951"/>
    <w:rsid w:val="00717A7D"/>
    <w:rsid w:val="00717C42"/>
    <w:rsid w:val="00717F4A"/>
    <w:rsid w:val="00720056"/>
    <w:rsid w:val="00720102"/>
    <w:rsid w:val="0072014E"/>
    <w:rsid w:val="007201C4"/>
    <w:rsid w:val="00720429"/>
    <w:rsid w:val="00720535"/>
    <w:rsid w:val="0072072F"/>
    <w:rsid w:val="00720782"/>
    <w:rsid w:val="00720921"/>
    <w:rsid w:val="007209B8"/>
    <w:rsid w:val="00720B09"/>
    <w:rsid w:val="00720D0F"/>
    <w:rsid w:val="007213E2"/>
    <w:rsid w:val="007214E9"/>
    <w:rsid w:val="0072175F"/>
    <w:rsid w:val="0072178A"/>
    <w:rsid w:val="0072186A"/>
    <w:rsid w:val="007219B2"/>
    <w:rsid w:val="00721C2D"/>
    <w:rsid w:val="00721D25"/>
    <w:rsid w:val="00721E38"/>
    <w:rsid w:val="00721E4B"/>
    <w:rsid w:val="00722050"/>
    <w:rsid w:val="007220FA"/>
    <w:rsid w:val="0072212F"/>
    <w:rsid w:val="00722188"/>
    <w:rsid w:val="00722206"/>
    <w:rsid w:val="00722297"/>
    <w:rsid w:val="007224C6"/>
    <w:rsid w:val="00722545"/>
    <w:rsid w:val="00722675"/>
    <w:rsid w:val="00722734"/>
    <w:rsid w:val="00722A0F"/>
    <w:rsid w:val="00722AA3"/>
    <w:rsid w:val="00722D2A"/>
    <w:rsid w:val="00722F5F"/>
    <w:rsid w:val="00723144"/>
    <w:rsid w:val="0072314F"/>
    <w:rsid w:val="00723264"/>
    <w:rsid w:val="0072326F"/>
    <w:rsid w:val="007234CE"/>
    <w:rsid w:val="00723634"/>
    <w:rsid w:val="00723751"/>
    <w:rsid w:val="00723902"/>
    <w:rsid w:val="00723CA5"/>
    <w:rsid w:val="00723F04"/>
    <w:rsid w:val="00723FF7"/>
    <w:rsid w:val="007241CF"/>
    <w:rsid w:val="007241D8"/>
    <w:rsid w:val="0072420C"/>
    <w:rsid w:val="00724428"/>
    <w:rsid w:val="00724722"/>
    <w:rsid w:val="00724911"/>
    <w:rsid w:val="00724922"/>
    <w:rsid w:val="007249D1"/>
    <w:rsid w:val="00724A0A"/>
    <w:rsid w:val="00724F16"/>
    <w:rsid w:val="0072526D"/>
    <w:rsid w:val="007252DA"/>
    <w:rsid w:val="00725590"/>
    <w:rsid w:val="007255B8"/>
    <w:rsid w:val="007256F0"/>
    <w:rsid w:val="0072576D"/>
    <w:rsid w:val="007257F4"/>
    <w:rsid w:val="00725978"/>
    <w:rsid w:val="00725B18"/>
    <w:rsid w:val="00725D81"/>
    <w:rsid w:val="00725DFD"/>
    <w:rsid w:val="00726168"/>
    <w:rsid w:val="00726233"/>
    <w:rsid w:val="007265AB"/>
    <w:rsid w:val="007265F4"/>
    <w:rsid w:val="00726681"/>
    <w:rsid w:val="007266A6"/>
    <w:rsid w:val="007266A8"/>
    <w:rsid w:val="00726721"/>
    <w:rsid w:val="0072676E"/>
    <w:rsid w:val="0072693E"/>
    <w:rsid w:val="0072693F"/>
    <w:rsid w:val="00726BF3"/>
    <w:rsid w:val="00726BFC"/>
    <w:rsid w:val="00726C61"/>
    <w:rsid w:val="00726D7E"/>
    <w:rsid w:val="00726E66"/>
    <w:rsid w:val="00726F5F"/>
    <w:rsid w:val="007272F4"/>
    <w:rsid w:val="007273E1"/>
    <w:rsid w:val="00727540"/>
    <w:rsid w:val="00727649"/>
    <w:rsid w:val="0072774B"/>
    <w:rsid w:val="007277E9"/>
    <w:rsid w:val="007279AD"/>
    <w:rsid w:val="00727B92"/>
    <w:rsid w:val="00727BDE"/>
    <w:rsid w:val="00727C58"/>
    <w:rsid w:val="00727C66"/>
    <w:rsid w:val="00727C89"/>
    <w:rsid w:val="00727DA8"/>
    <w:rsid w:val="00727E30"/>
    <w:rsid w:val="00727F20"/>
    <w:rsid w:val="00727F3F"/>
    <w:rsid w:val="00730114"/>
    <w:rsid w:val="00730121"/>
    <w:rsid w:val="00730128"/>
    <w:rsid w:val="00730141"/>
    <w:rsid w:val="0073020B"/>
    <w:rsid w:val="0073031D"/>
    <w:rsid w:val="0073058A"/>
    <w:rsid w:val="007306DD"/>
    <w:rsid w:val="00730B56"/>
    <w:rsid w:val="00730EAB"/>
    <w:rsid w:val="00730F30"/>
    <w:rsid w:val="00731122"/>
    <w:rsid w:val="007312C5"/>
    <w:rsid w:val="00731341"/>
    <w:rsid w:val="00731411"/>
    <w:rsid w:val="0073164E"/>
    <w:rsid w:val="007319DF"/>
    <w:rsid w:val="00731A38"/>
    <w:rsid w:val="00731C7F"/>
    <w:rsid w:val="00731D56"/>
    <w:rsid w:val="00731E0C"/>
    <w:rsid w:val="00731F48"/>
    <w:rsid w:val="007324C7"/>
    <w:rsid w:val="007325A4"/>
    <w:rsid w:val="0073269B"/>
    <w:rsid w:val="007326FA"/>
    <w:rsid w:val="00732A03"/>
    <w:rsid w:val="00732A8F"/>
    <w:rsid w:val="00732B09"/>
    <w:rsid w:val="00732C0F"/>
    <w:rsid w:val="00732CDB"/>
    <w:rsid w:val="00732F50"/>
    <w:rsid w:val="007330A3"/>
    <w:rsid w:val="007332AC"/>
    <w:rsid w:val="00733463"/>
    <w:rsid w:val="00733484"/>
    <w:rsid w:val="007336CD"/>
    <w:rsid w:val="007336FB"/>
    <w:rsid w:val="007337DA"/>
    <w:rsid w:val="007338CE"/>
    <w:rsid w:val="007339D3"/>
    <w:rsid w:val="00733F61"/>
    <w:rsid w:val="00734076"/>
    <w:rsid w:val="007343DF"/>
    <w:rsid w:val="007344FA"/>
    <w:rsid w:val="00734549"/>
    <w:rsid w:val="007346A7"/>
    <w:rsid w:val="0073485B"/>
    <w:rsid w:val="00734890"/>
    <w:rsid w:val="00734B2D"/>
    <w:rsid w:val="00734BB3"/>
    <w:rsid w:val="00734D66"/>
    <w:rsid w:val="00734E5D"/>
    <w:rsid w:val="00734F61"/>
    <w:rsid w:val="00735072"/>
    <w:rsid w:val="0073536D"/>
    <w:rsid w:val="00735424"/>
    <w:rsid w:val="0073582D"/>
    <w:rsid w:val="00735928"/>
    <w:rsid w:val="0073599A"/>
    <w:rsid w:val="007359D5"/>
    <w:rsid w:val="00735B34"/>
    <w:rsid w:val="00735B4C"/>
    <w:rsid w:val="00735BDF"/>
    <w:rsid w:val="00735E77"/>
    <w:rsid w:val="00735F1B"/>
    <w:rsid w:val="007360A8"/>
    <w:rsid w:val="00736372"/>
    <w:rsid w:val="0073641C"/>
    <w:rsid w:val="00736459"/>
    <w:rsid w:val="00736943"/>
    <w:rsid w:val="00736A3F"/>
    <w:rsid w:val="00736BE5"/>
    <w:rsid w:val="00736C94"/>
    <w:rsid w:val="00736DA6"/>
    <w:rsid w:val="00736DC3"/>
    <w:rsid w:val="00737017"/>
    <w:rsid w:val="00737123"/>
    <w:rsid w:val="007372CD"/>
    <w:rsid w:val="00737388"/>
    <w:rsid w:val="007373D7"/>
    <w:rsid w:val="007374EE"/>
    <w:rsid w:val="00737665"/>
    <w:rsid w:val="007376F7"/>
    <w:rsid w:val="00737747"/>
    <w:rsid w:val="00737A06"/>
    <w:rsid w:val="00737A43"/>
    <w:rsid w:val="00737AC1"/>
    <w:rsid w:val="00737C42"/>
    <w:rsid w:val="00737C5E"/>
    <w:rsid w:val="00737CA2"/>
    <w:rsid w:val="00737D52"/>
    <w:rsid w:val="00737ED2"/>
    <w:rsid w:val="007400F4"/>
    <w:rsid w:val="007404D9"/>
    <w:rsid w:val="007405BF"/>
    <w:rsid w:val="00740615"/>
    <w:rsid w:val="00740646"/>
    <w:rsid w:val="007407B7"/>
    <w:rsid w:val="007407EA"/>
    <w:rsid w:val="007409BC"/>
    <w:rsid w:val="00740A86"/>
    <w:rsid w:val="00740BA8"/>
    <w:rsid w:val="00740C4D"/>
    <w:rsid w:val="00740E05"/>
    <w:rsid w:val="00740E78"/>
    <w:rsid w:val="00740F59"/>
    <w:rsid w:val="0074100A"/>
    <w:rsid w:val="0074136E"/>
    <w:rsid w:val="00741574"/>
    <w:rsid w:val="007416E6"/>
    <w:rsid w:val="00741743"/>
    <w:rsid w:val="00741900"/>
    <w:rsid w:val="00741938"/>
    <w:rsid w:val="0074198C"/>
    <w:rsid w:val="00741BA0"/>
    <w:rsid w:val="00741E34"/>
    <w:rsid w:val="00741EBF"/>
    <w:rsid w:val="00741FF3"/>
    <w:rsid w:val="007420BA"/>
    <w:rsid w:val="00742185"/>
    <w:rsid w:val="00742198"/>
    <w:rsid w:val="00742208"/>
    <w:rsid w:val="00742220"/>
    <w:rsid w:val="007424FE"/>
    <w:rsid w:val="00742602"/>
    <w:rsid w:val="007427A5"/>
    <w:rsid w:val="007427EF"/>
    <w:rsid w:val="0074283F"/>
    <w:rsid w:val="0074291D"/>
    <w:rsid w:val="007429D9"/>
    <w:rsid w:val="00742AF1"/>
    <w:rsid w:val="00742B2C"/>
    <w:rsid w:val="00742D4E"/>
    <w:rsid w:val="00742DD7"/>
    <w:rsid w:val="00742F1F"/>
    <w:rsid w:val="00742F47"/>
    <w:rsid w:val="00742F7A"/>
    <w:rsid w:val="007431DD"/>
    <w:rsid w:val="00743320"/>
    <w:rsid w:val="0074334E"/>
    <w:rsid w:val="00743649"/>
    <w:rsid w:val="00743697"/>
    <w:rsid w:val="00743B56"/>
    <w:rsid w:val="00743D50"/>
    <w:rsid w:val="00743DE4"/>
    <w:rsid w:val="00743E95"/>
    <w:rsid w:val="007440DD"/>
    <w:rsid w:val="0074411E"/>
    <w:rsid w:val="0074415F"/>
    <w:rsid w:val="0074430B"/>
    <w:rsid w:val="00744459"/>
    <w:rsid w:val="0074451C"/>
    <w:rsid w:val="007446FD"/>
    <w:rsid w:val="00744827"/>
    <w:rsid w:val="00744857"/>
    <w:rsid w:val="00744A87"/>
    <w:rsid w:val="00744AE4"/>
    <w:rsid w:val="00744BD0"/>
    <w:rsid w:val="00744E27"/>
    <w:rsid w:val="00744E4B"/>
    <w:rsid w:val="00744E93"/>
    <w:rsid w:val="00744FCC"/>
    <w:rsid w:val="007452AE"/>
    <w:rsid w:val="007452B2"/>
    <w:rsid w:val="0074537C"/>
    <w:rsid w:val="007453C8"/>
    <w:rsid w:val="0074581A"/>
    <w:rsid w:val="00745880"/>
    <w:rsid w:val="00745972"/>
    <w:rsid w:val="007459EE"/>
    <w:rsid w:val="007459FD"/>
    <w:rsid w:val="00745A8E"/>
    <w:rsid w:val="00745B4C"/>
    <w:rsid w:val="00745D5A"/>
    <w:rsid w:val="00745E18"/>
    <w:rsid w:val="00745EA2"/>
    <w:rsid w:val="0074604B"/>
    <w:rsid w:val="0074609F"/>
    <w:rsid w:val="0074616E"/>
    <w:rsid w:val="007461AD"/>
    <w:rsid w:val="00746368"/>
    <w:rsid w:val="007464F2"/>
    <w:rsid w:val="0074656A"/>
    <w:rsid w:val="00746628"/>
    <w:rsid w:val="007466D7"/>
    <w:rsid w:val="0074671C"/>
    <w:rsid w:val="007467D7"/>
    <w:rsid w:val="0074692E"/>
    <w:rsid w:val="007469E4"/>
    <w:rsid w:val="00746A40"/>
    <w:rsid w:val="00746ABF"/>
    <w:rsid w:val="00746AE1"/>
    <w:rsid w:val="00746B45"/>
    <w:rsid w:val="00746B96"/>
    <w:rsid w:val="00746BBE"/>
    <w:rsid w:val="00746D2D"/>
    <w:rsid w:val="00746E5F"/>
    <w:rsid w:val="00746E62"/>
    <w:rsid w:val="00746EC9"/>
    <w:rsid w:val="00746F64"/>
    <w:rsid w:val="00746FB3"/>
    <w:rsid w:val="00747030"/>
    <w:rsid w:val="007470B5"/>
    <w:rsid w:val="007471BF"/>
    <w:rsid w:val="00747395"/>
    <w:rsid w:val="0074746D"/>
    <w:rsid w:val="007475CE"/>
    <w:rsid w:val="007475E6"/>
    <w:rsid w:val="0074764A"/>
    <w:rsid w:val="007477F4"/>
    <w:rsid w:val="00747A13"/>
    <w:rsid w:val="00747B25"/>
    <w:rsid w:val="00747D14"/>
    <w:rsid w:val="00747D32"/>
    <w:rsid w:val="00747EBD"/>
    <w:rsid w:val="00747F7B"/>
    <w:rsid w:val="00750067"/>
    <w:rsid w:val="007500D7"/>
    <w:rsid w:val="00750292"/>
    <w:rsid w:val="007502AC"/>
    <w:rsid w:val="007502D8"/>
    <w:rsid w:val="00750445"/>
    <w:rsid w:val="007504CE"/>
    <w:rsid w:val="007505A2"/>
    <w:rsid w:val="0075077C"/>
    <w:rsid w:val="007508D0"/>
    <w:rsid w:val="0075097B"/>
    <w:rsid w:val="00750994"/>
    <w:rsid w:val="00750B4F"/>
    <w:rsid w:val="00750CD8"/>
    <w:rsid w:val="00750DE4"/>
    <w:rsid w:val="0075112B"/>
    <w:rsid w:val="0075115A"/>
    <w:rsid w:val="007513F5"/>
    <w:rsid w:val="007514A9"/>
    <w:rsid w:val="00751534"/>
    <w:rsid w:val="007516CF"/>
    <w:rsid w:val="00751858"/>
    <w:rsid w:val="007518D0"/>
    <w:rsid w:val="00751943"/>
    <w:rsid w:val="00751BBA"/>
    <w:rsid w:val="00751C52"/>
    <w:rsid w:val="00751CE7"/>
    <w:rsid w:val="00751DB8"/>
    <w:rsid w:val="00751EC7"/>
    <w:rsid w:val="00752017"/>
    <w:rsid w:val="007521B3"/>
    <w:rsid w:val="007522AE"/>
    <w:rsid w:val="007522FD"/>
    <w:rsid w:val="007523DF"/>
    <w:rsid w:val="007524F4"/>
    <w:rsid w:val="007525AC"/>
    <w:rsid w:val="00752743"/>
    <w:rsid w:val="007527F6"/>
    <w:rsid w:val="00752842"/>
    <w:rsid w:val="00752A9D"/>
    <w:rsid w:val="00752C1F"/>
    <w:rsid w:val="00752C96"/>
    <w:rsid w:val="00752C9A"/>
    <w:rsid w:val="00752F72"/>
    <w:rsid w:val="00752F81"/>
    <w:rsid w:val="00752FA3"/>
    <w:rsid w:val="00753097"/>
    <w:rsid w:val="00753099"/>
    <w:rsid w:val="0075332C"/>
    <w:rsid w:val="007533D3"/>
    <w:rsid w:val="00753408"/>
    <w:rsid w:val="0075356F"/>
    <w:rsid w:val="007535CD"/>
    <w:rsid w:val="007536F2"/>
    <w:rsid w:val="007537D5"/>
    <w:rsid w:val="0075399B"/>
    <w:rsid w:val="007539A7"/>
    <w:rsid w:val="00753A44"/>
    <w:rsid w:val="00753BBE"/>
    <w:rsid w:val="00753D02"/>
    <w:rsid w:val="00753E42"/>
    <w:rsid w:val="00753E52"/>
    <w:rsid w:val="00753F55"/>
    <w:rsid w:val="00753FFF"/>
    <w:rsid w:val="007541CE"/>
    <w:rsid w:val="007541EE"/>
    <w:rsid w:val="00754245"/>
    <w:rsid w:val="007542D4"/>
    <w:rsid w:val="007542E7"/>
    <w:rsid w:val="00754586"/>
    <w:rsid w:val="00754725"/>
    <w:rsid w:val="00754783"/>
    <w:rsid w:val="0075482A"/>
    <w:rsid w:val="00754887"/>
    <w:rsid w:val="00754974"/>
    <w:rsid w:val="00754A37"/>
    <w:rsid w:val="00754C35"/>
    <w:rsid w:val="00754E82"/>
    <w:rsid w:val="00754F1E"/>
    <w:rsid w:val="007552FE"/>
    <w:rsid w:val="007555F8"/>
    <w:rsid w:val="0075579C"/>
    <w:rsid w:val="007559A6"/>
    <w:rsid w:val="007559D6"/>
    <w:rsid w:val="007559E4"/>
    <w:rsid w:val="00755AA6"/>
    <w:rsid w:val="00755BBC"/>
    <w:rsid w:val="00755C86"/>
    <w:rsid w:val="00755E3A"/>
    <w:rsid w:val="00756331"/>
    <w:rsid w:val="007563F1"/>
    <w:rsid w:val="007563FC"/>
    <w:rsid w:val="00756673"/>
    <w:rsid w:val="007567C6"/>
    <w:rsid w:val="00756951"/>
    <w:rsid w:val="00756DD5"/>
    <w:rsid w:val="00756E15"/>
    <w:rsid w:val="00756EA7"/>
    <w:rsid w:val="00756F38"/>
    <w:rsid w:val="007571FC"/>
    <w:rsid w:val="00757216"/>
    <w:rsid w:val="007575DC"/>
    <w:rsid w:val="0075765F"/>
    <w:rsid w:val="00757672"/>
    <w:rsid w:val="00757921"/>
    <w:rsid w:val="00757A54"/>
    <w:rsid w:val="00757D06"/>
    <w:rsid w:val="00757D12"/>
    <w:rsid w:val="00757E27"/>
    <w:rsid w:val="0076009D"/>
    <w:rsid w:val="007604D3"/>
    <w:rsid w:val="007606A8"/>
    <w:rsid w:val="00760741"/>
    <w:rsid w:val="007608ED"/>
    <w:rsid w:val="007609D7"/>
    <w:rsid w:val="007609E1"/>
    <w:rsid w:val="00760A0E"/>
    <w:rsid w:val="00760C12"/>
    <w:rsid w:val="00760D89"/>
    <w:rsid w:val="00760F34"/>
    <w:rsid w:val="00761087"/>
    <w:rsid w:val="007610E4"/>
    <w:rsid w:val="007611CC"/>
    <w:rsid w:val="00761334"/>
    <w:rsid w:val="0076141E"/>
    <w:rsid w:val="007614C2"/>
    <w:rsid w:val="00761514"/>
    <w:rsid w:val="00761605"/>
    <w:rsid w:val="00761675"/>
    <w:rsid w:val="00761749"/>
    <w:rsid w:val="00761767"/>
    <w:rsid w:val="00761810"/>
    <w:rsid w:val="00761811"/>
    <w:rsid w:val="00761D18"/>
    <w:rsid w:val="00761D2E"/>
    <w:rsid w:val="00761F37"/>
    <w:rsid w:val="00761FB0"/>
    <w:rsid w:val="0076203F"/>
    <w:rsid w:val="0076209A"/>
    <w:rsid w:val="007620C4"/>
    <w:rsid w:val="007621DF"/>
    <w:rsid w:val="007622C1"/>
    <w:rsid w:val="0076231F"/>
    <w:rsid w:val="00762427"/>
    <w:rsid w:val="00762A18"/>
    <w:rsid w:val="00762BB8"/>
    <w:rsid w:val="00763402"/>
    <w:rsid w:val="00763462"/>
    <w:rsid w:val="00763725"/>
    <w:rsid w:val="00763916"/>
    <w:rsid w:val="007639FA"/>
    <w:rsid w:val="00763A89"/>
    <w:rsid w:val="00763C8C"/>
    <w:rsid w:val="00763D88"/>
    <w:rsid w:val="00763F57"/>
    <w:rsid w:val="007640A9"/>
    <w:rsid w:val="007641E5"/>
    <w:rsid w:val="007642D4"/>
    <w:rsid w:val="00764580"/>
    <w:rsid w:val="0076471C"/>
    <w:rsid w:val="00764874"/>
    <w:rsid w:val="00764A77"/>
    <w:rsid w:val="00764AF5"/>
    <w:rsid w:val="00764DC9"/>
    <w:rsid w:val="00765131"/>
    <w:rsid w:val="007651D4"/>
    <w:rsid w:val="0076527A"/>
    <w:rsid w:val="0076543C"/>
    <w:rsid w:val="0076575D"/>
    <w:rsid w:val="00765936"/>
    <w:rsid w:val="007659E2"/>
    <w:rsid w:val="00765B85"/>
    <w:rsid w:val="00765DB6"/>
    <w:rsid w:val="00765FCA"/>
    <w:rsid w:val="00765FF0"/>
    <w:rsid w:val="0076600E"/>
    <w:rsid w:val="0076679B"/>
    <w:rsid w:val="00766837"/>
    <w:rsid w:val="007668C6"/>
    <w:rsid w:val="007669E9"/>
    <w:rsid w:val="00766B01"/>
    <w:rsid w:val="00766D61"/>
    <w:rsid w:val="00767003"/>
    <w:rsid w:val="00767154"/>
    <w:rsid w:val="00767433"/>
    <w:rsid w:val="00767440"/>
    <w:rsid w:val="007674A6"/>
    <w:rsid w:val="007674BC"/>
    <w:rsid w:val="007676E4"/>
    <w:rsid w:val="0076784B"/>
    <w:rsid w:val="0076790F"/>
    <w:rsid w:val="00767938"/>
    <w:rsid w:val="0076797E"/>
    <w:rsid w:val="00767BB8"/>
    <w:rsid w:val="00767D5B"/>
    <w:rsid w:val="00767E11"/>
    <w:rsid w:val="0077004C"/>
    <w:rsid w:val="007700EA"/>
    <w:rsid w:val="00770124"/>
    <w:rsid w:val="00770126"/>
    <w:rsid w:val="007701BC"/>
    <w:rsid w:val="0077053D"/>
    <w:rsid w:val="007706A6"/>
    <w:rsid w:val="007707E3"/>
    <w:rsid w:val="0077083D"/>
    <w:rsid w:val="0077086B"/>
    <w:rsid w:val="007709DF"/>
    <w:rsid w:val="00770B08"/>
    <w:rsid w:val="00771055"/>
    <w:rsid w:val="007710AE"/>
    <w:rsid w:val="007710BE"/>
    <w:rsid w:val="0077129B"/>
    <w:rsid w:val="007712B9"/>
    <w:rsid w:val="007715E9"/>
    <w:rsid w:val="00771631"/>
    <w:rsid w:val="00771645"/>
    <w:rsid w:val="00771750"/>
    <w:rsid w:val="007718DC"/>
    <w:rsid w:val="007719D7"/>
    <w:rsid w:val="00771A0A"/>
    <w:rsid w:val="00771BD0"/>
    <w:rsid w:val="00771D9F"/>
    <w:rsid w:val="00771E2D"/>
    <w:rsid w:val="00771E88"/>
    <w:rsid w:val="007720CF"/>
    <w:rsid w:val="00772103"/>
    <w:rsid w:val="0077223E"/>
    <w:rsid w:val="007724D3"/>
    <w:rsid w:val="00772744"/>
    <w:rsid w:val="0077290A"/>
    <w:rsid w:val="00772963"/>
    <w:rsid w:val="00772C5C"/>
    <w:rsid w:val="00772CCA"/>
    <w:rsid w:val="00772DBD"/>
    <w:rsid w:val="00772DBF"/>
    <w:rsid w:val="00772E54"/>
    <w:rsid w:val="007731BC"/>
    <w:rsid w:val="007731F8"/>
    <w:rsid w:val="007732D6"/>
    <w:rsid w:val="007735B8"/>
    <w:rsid w:val="00773667"/>
    <w:rsid w:val="007739B1"/>
    <w:rsid w:val="00773A52"/>
    <w:rsid w:val="00773C0C"/>
    <w:rsid w:val="00773D05"/>
    <w:rsid w:val="00773D1F"/>
    <w:rsid w:val="00773D5E"/>
    <w:rsid w:val="00773DAE"/>
    <w:rsid w:val="00773FAE"/>
    <w:rsid w:val="00773FCE"/>
    <w:rsid w:val="00774248"/>
    <w:rsid w:val="007742A6"/>
    <w:rsid w:val="00774412"/>
    <w:rsid w:val="007744FD"/>
    <w:rsid w:val="0077455E"/>
    <w:rsid w:val="00774919"/>
    <w:rsid w:val="007749A7"/>
    <w:rsid w:val="007749DE"/>
    <w:rsid w:val="00774AB1"/>
    <w:rsid w:val="00774B01"/>
    <w:rsid w:val="00774B13"/>
    <w:rsid w:val="00774CB3"/>
    <w:rsid w:val="00774CF2"/>
    <w:rsid w:val="00774E3A"/>
    <w:rsid w:val="00774F74"/>
    <w:rsid w:val="00775116"/>
    <w:rsid w:val="007752A8"/>
    <w:rsid w:val="007754E0"/>
    <w:rsid w:val="007754F3"/>
    <w:rsid w:val="00775746"/>
    <w:rsid w:val="00775838"/>
    <w:rsid w:val="0077597D"/>
    <w:rsid w:val="007759CD"/>
    <w:rsid w:val="00775A46"/>
    <w:rsid w:val="00775BAF"/>
    <w:rsid w:val="00775D02"/>
    <w:rsid w:val="00775D2D"/>
    <w:rsid w:val="00775E57"/>
    <w:rsid w:val="00775EB0"/>
    <w:rsid w:val="00775FC0"/>
    <w:rsid w:val="00776278"/>
    <w:rsid w:val="007763AD"/>
    <w:rsid w:val="00776487"/>
    <w:rsid w:val="00776519"/>
    <w:rsid w:val="00776977"/>
    <w:rsid w:val="0077699B"/>
    <w:rsid w:val="00776B3C"/>
    <w:rsid w:val="00776BA8"/>
    <w:rsid w:val="00776BFA"/>
    <w:rsid w:val="00776E14"/>
    <w:rsid w:val="00776E31"/>
    <w:rsid w:val="00776E33"/>
    <w:rsid w:val="00776EA4"/>
    <w:rsid w:val="00776F44"/>
    <w:rsid w:val="007773E5"/>
    <w:rsid w:val="00777848"/>
    <w:rsid w:val="00777A73"/>
    <w:rsid w:val="00777C1F"/>
    <w:rsid w:val="007802A4"/>
    <w:rsid w:val="0078035C"/>
    <w:rsid w:val="007803F5"/>
    <w:rsid w:val="007805EC"/>
    <w:rsid w:val="00780796"/>
    <w:rsid w:val="0078083C"/>
    <w:rsid w:val="00780B1E"/>
    <w:rsid w:val="00780BF2"/>
    <w:rsid w:val="00780D42"/>
    <w:rsid w:val="00780F4B"/>
    <w:rsid w:val="00780F84"/>
    <w:rsid w:val="00780FD3"/>
    <w:rsid w:val="00780FDF"/>
    <w:rsid w:val="007810B5"/>
    <w:rsid w:val="007810C3"/>
    <w:rsid w:val="007811DD"/>
    <w:rsid w:val="007811E8"/>
    <w:rsid w:val="00781461"/>
    <w:rsid w:val="007817B1"/>
    <w:rsid w:val="007818DC"/>
    <w:rsid w:val="00781A38"/>
    <w:rsid w:val="00781B91"/>
    <w:rsid w:val="00781BFC"/>
    <w:rsid w:val="00781C34"/>
    <w:rsid w:val="00781D70"/>
    <w:rsid w:val="00781DA1"/>
    <w:rsid w:val="00781E69"/>
    <w:rsid w:val="007824E6"/>
    <w:rsid w:val="0078252A"/>
    <w:rsid w:val="00782568"/>
    <w:rsid w:val="00782583"/>
    <w:rsid w:val="00782587"/>
    <w:rsid w:val="00782686"/>
    <w:rsid w:val="007826D2"/>
    <w:rsid w:val="007826E1"/>
    <w:rsid w:val="00782877"/>
    <w:rsid w:val="00782926"/>
    <w:rsid w:val="00782C15"/>
    <w:rsid w:val="0078304C"/>
    <w:rsid w:val="00783083"/>
    <w:rsid w:val="007830D0"/>
    <w:rsid w:val="007831D3"/>
    <w:rsid w:val="0078321D"/>
    <w:rsid w:val="00783262"/>
    <w:rsid w:val="00783321"/>
    <w:rsid w:val="0078332F"/>
    <w:rsid w:val="00783664"/>
    <w:rsid w:val="00783935"/>
    <w:rsid w:val="00783AA1"/>
    <w:rsid w:val="00783C84"/>
    <w:rsid w:val="00783CE7"/>
    <w:rsid w:val="00783E59"/>
    <w:rsid w:val="0078413E"/>
    <w:rsid w:val="0078423B"/>
    <w:rsid w:val="0078429C"/>
    <w:rsid w:val="007842E4"/>
    <w:rsid w:val="0078448A"/>
    <w:rsid w:val="0078457A"/>
    <w:rsid w:val="007846C5"/>
    <w:rsid w:val="007846DB"/>
    <w:rsid w:val="00784715"/>
    <w:rsid w:val="00784753"/>
    <w:rsid w:val="0078476D"/>
    <w:rsid w:val="007847A7"/>
    <w:rsid w:val="00784979"/>
    <w:rsid w:val="007849BD"/>
    <w:rsid w:val="00784A3B"/>
    <w:rsid w:val="00784B1A"/>
    <w:rsid w:val="00784B73"/>
    <w:rsid w:val="00784D45"/>
    <w:rsid w:val="00784FEE"/>
    <w:rsid w:val="00784FFD"/>
    <w:rsid w:val="00785026"/>
    <w:rsid w:val="0078507F"/>
    <w:rsid w:val="007850FA"/>
    <w:rsid w:val="0078517E"/>
    <w:rsid w:val="007851A8"/>
    <w:rsid w:val="007851AB"/>
    <w:rsid w:val="0078529E"/>
    <w:rsid w:val="00785453"/>
    <w:rsid w:val="00785549"/>
    <w:rsid w:val="007855ED"/>
    <w:rsid w:val="00785627"/>
    <w:rsid w:val="00785784"/>
    <w:rsid w:val="00785862"/>
    <w:rsid w:val="00785991"/>
    <w:rsid w:val="007860E0"/>
    <w:rsid w:val="0078611B"/>
    <w:rsid w:val="00786211"/>
    <w:rsid w:val="007862C4"/>
    <w:rsid w:val="007863A3"/>
    <w:rsid w:val="007863FA"/>
    <w:rsid w:val="0078642B"/>
    <w:rsid w:val="00786594"/>
    <w:rsid w:val="007865E1"/>
    <w:rsid w:val="0078671A"/>
    <w:rsid w:val="00786878"/>
    <w:rsid w:val="00786882"/>
    <w:rsid w:val="00786982"/>
    <w:rsid w:val="007869CE"/>
    <w:rsid w:val="00786ABA"/>
    <w:rsid w:val="00786B85"/>
    <w:rsid w:val="00786BCC"/>
    <w:rsid w:val="00786CD1"/>
    <w:rsid w:val="00786F25"/>
    <w:rsid w:val="00786FA6"/>
    <w:rsid w:val="00786FDF"/>
    <w:rsid w:val="00787082"/>
    <w:rsid w:val="00787153"/>
    <w:rsid w:val="007871C6"/>
    <w:rsid w:val="007873FC"/>
    <w:rsid w:val="00787566"/>
    <w:rsid w:val="007875DC"/>
    <w:rsid w:val="0078776F"/>
    <w:rsid w:val="00787785"/>
    <w:rsid w:val="007877D8"/>
    <w:rsid w:val="0078797E"/>
    <w:rsid w:val="00787C46"/>
    <w:rsid w:val="00787D31"/>
    <w:rsid w:val="007901C5"/>
    <w:rsid w:val="007902EA"/>
    <w:rsid w:val="0079047B"/>
    <w:rsid w:val="0079057E"/>
    <w:rsid w:val="007905D2"/>
    <w:rsid w:val="00790662"/>
    <w:rsid w:val="00790664"/>
    <w:rsid w:val="007908E7"/>
    <w:rsid w:val="00790998"/>
    <w:rsid w:val="00790C00"/>
    <w:rsid w:val="00790C70"/>
    <w:rsid w:val="00790CAA"/>
    <w:rsid w:val="00790D81"/>
    <w:rsid w:val="00790DB7"/>
    <w:rsid w:val="00790DF1"/>
    <w:rsid w:val="00790E62"/>
    <w:rsid w:val="00790EC5"/>
    <w:rsid w:val="00790F5E"/>
    <w:rsid w:val="007911D5"/>
    <w:rsid w:val="007912CE"/>
    <w:rsid w:val="0079130B"/>
    <w:rsid w:val="0079132A"/>
    <w:rsid w:val="00791380"/>
    <w:rsid w:val="00791557"/>
    <w:rsid w:val="00791601"/>
    <w:rsid w:val="007916E1"/>
    <w:rsid w:val="007919D5"/>
    <w:rsid w:val="00791C62"/>
    <w:rsid w:val="00791D9E"/>
    <w:rsid w:val="0079231C"/>
    <w:rsid w:val="0079263C"/>
    <w:rsid w:val="007926C9"/>
    <w:rsid w:val="00792749"/>
    <w:rsid w:val="007928FC"/>
    <w:rsid w:val="00792C00"/>
    <w:rsid w:val="00792C38"/>
    <w:rsid w:val="00792E09"/>
    <w:rsid w:val="00792ED0"/>
    <w:rsid w:val="00792FBB"/>
    <w:rsid w:val="0079304F"/>
    <w:rsid w:val="00793158"/>
    <w:rsid w:val="0079318E"/>
    <w:rsid w:val="007931B7"/>
    <w:rsid w:val="007931BD"/>
    <w:rsid w:val="0079324B"/>
    <w:rsid w:val="007932B5"/>
    <w:rsid w:val="00793427"/>
    <w:rsid w:val="0079342A"/>
    <w:rsid w:val="00793515"/>
    <w:rsid w:val="007936BE"/>
    <w:rsid w:val="007937B9"/>
    <w:rsid w:val="0079381E"/>
    <w:rsid w:val="00793867"/>
    <w:rsid w:val="00793A9F"/>
    <w:rsid w:val="00793E0A"/>
    <w:rsid w:val="00793EAD"/>
    <w:rsid w:val="00793EB1"/>
    <w:rsid w:val="00793F1F"/>
    <w:rsid w:val="00794001"/>
    <w:rsid w:val="0079415A"/>
    <w:rsid w:val="007942D2"/>
    <w:rsid w:val="0079434E"/>
    <w:rsid w:val="00794487"/>
    <w:rsid w:val="00794583"/>
    <w:rsid w:val="007945D1"/>
    <w:rsid w:val="00794741"/>
    <w:rsid w:val="0079475E"/>
    <w:rsid w:val="00794D13"/>
    <w:rsid w:val="00794DA6"/>
    <w:rsid w:val="00794E48"/>
    <w:rsid w:val="00794E76"/>
    <w:rsid w:val="007950A9"/>
    <w:rsid w:val="00795328"/>
    <w:rsid w:val="0079539D"/>
    <w:rsid w:val="00795643"/>
    <w:rsid w:val="0079568D"/>
    <w:rsid w:val="0079569C"/>
    <w:rsid w:val="0079575E"/>
    <w:rsid w:val="00795AF1"/>
    <w:rsid w:val="00796012"/>
    <w:rsid w:val="0079628E"/>
    <w:rsid w:val="007964B7"/>
    <w:rsid w:val="00796642"/>
    <w:rsid w:val="00796857"/>
    <w:rsid w:val="00796ABC"/>
    <w:rsid w:val="00796B08"/>
    <w:rsid w:val="00796B68"/>
    <w:rsid w:val="00796BA3"/>
    <w:rsid w:val="00796C38"/>
    <w:rsid w:val="00796C59"/>
    <w:rsid w:val="00797423"/>
    <w:rsid w:val="007975F1"/>
    <w:rsid w:val="00797608"/>
    <w:rsid w:val="00797733"/>
    <w:rsid w:val="007978E5"/>
    <w:rsid w:val="007979C2"/>
    <w:rsid w:val="00797B91"/>
    <w:rsid w:val="00797CB6"/>
    <w:rsid w:val="00797CFD"/>
    <w:rsid w:val="00797E4D"/>
    <w:rsid w:val="00797EB9"/>
    <w:rsid w:val="00797F5E"/>
    <w:rsid w:val="007A003C"/>
    <w:rsid w:val="007A010C"/>
    <w:rsid w:val="007A015D"/>
    <w:rsid w:val="007A025A"/>
    <w:rsid w:val="007A0359"/>
    <w:rsid w:val="007A0474"/>
    <w:rsid w:val="007A0642"/>
    <w:rsid w:val="007A09BD"/>
    <w:rsid w:val="007A0CC6"/>
    <w:rsid w:val="007A0DFD"/>
    <w:rsid w:val="007A0EBC"/>
    <w:rsid w:val="007A1290"/>
    <w:rsid w:val="007A137A"/>
    <w:rsid w:val="007A13B1"/>
    <w:rsid w:val="007A13FA"/>
    <w:rsid w:val="007A159D"/>
    <w:rsid w:val="007A16B4"/>
    <w:rsid w:val="007A1737"/>
    <w:rsid w:val="007A1DE1"/>
    <w:rsid w:val="007A21B3"/>
    <w:rsid w:val="007A2387"/>
    <w:rsid w:val="007A23F6"/>
    <w:rsid w:val="007A262C"/>
    <w:rsid w:val="007A268F"/>
    <w:rsid w:val="007A2A83"/>
    <w:rsid w:val="007A2DA2"/>
    <w:rsid w:val="007A2DC7"/>
    <w:rsid w:val="007A2DDE"/>
    <w:rsid w:val="007A2F72"/>
    <w:rsid w:val="007A3390"/>
    <w:rsid w:val="007A33DA"/>
    <w:rsid w:val="007A35A4"/>
    <w:rsid w:val="007A36DB"/>
    <w:rsid w:val="007A3720"/>
    <w:rsid w:val="007A3917"/>
    <w:rsid w:val="007A3965"/>
    <w:rsid w:val="007A3ADB"/>
    <w:rsid w:val="007A3B36"/>
    <w:rsid w:val="007A3D50"/>
    <w:rsid w:val="007A405D"/>
    <w:rsid w:val="007A4351"/>
    <w:rsid w:val="007A469B"/>
    <w:rsid w:val="007A475F"/>
    <w:rsid w:val="007A4995"/>
    <w:rsid w:val="007A4B97"/>
    <w:rsid w:val="007A4C78"/>
    <w:rsid w:val="007A4D0B"/>
    <w:rsid w:val="007A4E41"/>
    <w:rsid w:val="007A4FFB"/>
    <w:rsid w:val="007A50FE"/>
    <w:rsid w:val="007A51C9"/>
    <w:rsid w:val="007A51F9"/>
    <w:rsid w:val="007A53F4"/>
    <w:rsid w:val="007A5524"/>
    <w:rsid w:val="007A568C"/>
    <w:rsid w:val="007A5857"/>
    <w:rsid w:val="007A58A4"/>
    <w:rsid w:val="007A58B2"/>
    <w:rsid w:val="007A5A3E"/>
    <w:rsid w:val="007A5AC4"/>
    <w:rsid w:val="007A5FE0"/>
    <w:rsid w:val="007A6085"/>
    <w:rsid w:val="007A6123"/>
    <w:rsid w:val="007A65DF"/>
    <w:rsid w:val="007A6952"/>
    <w:rsid w:val="007A697B"/>
    <w:rsid w:val="007A6A5E"/>
    <w:rsid w:val="007A6CDB"/>
    <w:rsid w:val="007A6D25"/>
    <w:rsid w:val="007A6DB3"/>
    <w:rsid w:val="007A6E79"/>
    <w:rsid w:val="007A6F80"/>
    <w:rsid w:val="007A7004"/>
    <w:rsid w:val="007A7051"/>
    <w:rsid w:val="007A7357"/>
    <w:rsid w:val="007A7360"/>
    <w:rsid w:val="007A7756"/>
    <w:rsid w:val="007A7900"/>
    <w:rsid w:val="007A7919"/>
    <w:rsid w:val="007A7997"/>
    <w:rsid w:val="007A7A31"/>
    <w:rsid w:val="007A7A5C"/>
    <w:rsid w:val="007A7BA7"/>
    <w:rsid w:val="007B0183"/>
    <w:rsid w:val="007B01A8"/>
    <w:rsid w:val="007B0413"/>
    <w:rsid w:val="007B043D"/>
    <w:rsid w:val="007B04B0"/>
    <w:rsid w:val="007B04C2"/>
    <w:rsid w:val="007B0529"/>
    <w:rsid w:val="007B06AE"/>
    <w:rsid w:val="007B08C4"/>
    <w:rsid w:val="007B08DF"/>
    <w:rsid w:val="007B095C"/>
    <w:rsid w:val="007B0A0B"/>
    <w:rsid w:val="007B0C57"/>
    <w:rsid w:val="007B0D05"/>
    <w:rsid w:val="007B0DE7"/>
    <w:rsid w:val="007B0E14"/>
    <w:rsid w:val="007B0FAA"/>
    <w:rsid w:val="007B0FC8"/>
    <w:rsid w:val="007B1175"/>
    <w:rsid w:val="007B118C"/>
    <w:rsid w:val="007B1261"/>
    <w:rsid w:val="007B1344"/>
    <w:rsid w:val="007B138F"/>
    <w:rsid w:val="007B13EF"/>
    <w:rsid w:val="007B1444"/>
    <w:rsid w:val="007B15EE"/>
    <w:rsid w:val="007B1620"/>
    <w:rsid w:val="007B1647"/>
    <w:rsid w:val="007B16CE"/>
    <w:rsid w:val="007B1795"/>
    <w:rsid w:val="007B17AA"/>
    <w:rsid w:val="007B1C29"/>
    <w:rsid w:val="007B1E34"/>
    <w:rsid w:val="007B2048"/>
    <w:rsid w:val="007B2163"/>
    <w:rsid w:val="007B2176"/>
    <w:rsid w:val="007B21CA"/>
    <w:rsid w:val="007B230F"/>
    <w:rsid w:val="007B2349"/>
    <w:rsid w:val="007B2398"/>
    <w:rsid w:val="007B241D"/>
    <w:rsid w:val="007B27ED"/>
    <w:rsid w:val="007B287F"/>
    <w:rsid w:val="007B288E"/>
    <w:rsid w:val="007B2BA2"/>
    <w:rsid w:val="007B2E14"/>
    <w:rsid w:val="007B2E17"/>
    <w:rsid w:val="007B2F3E"/>
    <w:rsid w:val="007B2FF6"/>
    <w:rsid w:val="007B3189"/>
    <w:rsid w:val="007B3381"/>
    <w:rsid w:val="007B36DB"/>
    <w:rsid w:val="007B3A9A"/>
    <w:rsid w:val="007B3CA6"/>
    <w:rsid w:val="007B3D11"/>
    <w:rsid w:val="007B418A"/>
    <w:rsid w:val="007B41C4"/>
    <w:rsid w:val="007B43CE"/>
    <w:rsid w:val="007B44DD"/>
    <w:rsid w:val="007B4564"/>
    <w:rsid w:val="007B4706"/>
    <w:rsid w:val="007B47C3"/>
    <w:rsid w:val="007B4960"/>
    <w:rsid w:val="007B4B0E"/>
    <w:rsid w:val="007B4C14"/>
    <w:rsid w:val="007B4E2E"/>
    <w:rsid w:val="007B542B"/>
    <w:rsid w:val="007B56D9"/>
    <w:rsid w:val="007B572E"/>
    <w:rsid w:val="007B57DC"/>
    <w:rsid w:val="007B58DF"/>
    <w:rsid w:val="007B594E"/>
    <w:rsid w:val="007B59F9"/>
    <w:rsid w:val="007B5A3D"/>
    <w:rsid w:val="007B5B24"/>
    <w:rsid w:val="007B5B30"/>
    <w:rsid w:val="007B5B65"/>
    <w:rsid w:val="007B5D2B"/>
    <w:rsid w:val="007B5E0A"/>
    <w:rsid w:val="007B5F83"/>
    <w:rsid w:val="007B5FB4"/>
    <w:rsid w:val="007B6088"/>
    <w:rsid w:val="007B60AA"/>
    <w:rsid w:val="007B60CF"/>
    <w:rsid w:val="007B6141"/>
    <w:rsid w:val="007B619D"/>
    <w:rsid w:val="007B6675"/>
    <w:rsid w:val="007B66CB"/>
    <w:rsid w:val="007B6766"/>
    <w:rsid w:val="007B698B"/>
    <w:rsid w:val="007B6A57"/>
    <w:rsid w:val="007B6C76"/>
    <w:rsid w:val="007B73C9"/>
    <w:rsid w:val="007B75E2"/>
    <w:rsid w:val="007B75EC"/>
    <w:rsid w:val="007B765B"/>
    <w:rsid w:val="007B7754"/>
    <w:rsid w:val="007B7782"/>
    <w:rsid w:val="007B7837"/>
    <w:rsid w:val="007B7885"/>
    <w:rsid w:val="007B7956"/>
    <w:rsid w:val="007B7BBA"/>
    <w:rsid w:val="007B7C85"/>
    <w:rsid w:val="007B7DD4"/>
    <w:rsid w:val="007B7EB1"/>
    <w:rsid w:val="007B7EEA"/>
    <w:rsid w:val="007B7F03"/>
    <w:rsid w:val="007B7FCD"/>
    <w:rsid w:val="007C01AB"/>
    <w:rsid w:val="007C031D"/>
    <w:rsid w:val="007C0380"/>
    <w:rsid w:val="007C040A"/>
    <w:rsid w:val="007C046F"/>
    <w:rsid w:val="007C0913"/>
    <w:rsid w:val="007C0919"/>
    <w:rsid w:val="007C0AE8"/>
    <w:rsid w:val="007C119A"/>
    <w:rsid w:val="007C131D"/>
    <w:rsid w:val="007C1347"/>
    <w:rsid w:val="007C1391"/>
    <w:rsid w:val="007C1443"/>
    <w:rsid w:val="007C15B0"/>
    <w:rsid w:val="007C1682"/>
    <w:rsid w:val="007C172A"/>
    <w:rsid w:val="007C1855"/>
    <w:rsid w:val="007C1AAF"/>
    <w:rsid w:val="007C1B0C"/>
    <w:rsid w:val="007C1BF3"/>
    <w:rsid w:val="007C1C4E"/>
    <w:rsid w:val="007C1CB0"/>
    <w:rsid w:val="007C1EC2"/>
    <w:rsid w:val="007C2343"/>
    <w:rsid w:val="007C23C7"/>
    <w:rsid w:val="007C249B"/>
    <w:rsid w:val="007C24F0"/>
    <w:rsid w:val="007C2573"/>
    <w:rsid w:val="007C2714"/>
    <w:rsid w:val="007C2AA2"/>
    <w:rsid w:val="007C2CBC"/>
    <w:rsid w:val="007C2D56"/>
    <w:rsid w:val="007C2E14"/>
    <w:rsid w:val="007C2E37"/>
    <w:rsid w:val="007C2E77"/>
    <w:rsid w:val="007C2FCB"/>
    <w:rsid w:val="007C3070"/>
    <w:rsid w:val="007C3106"/>
    <w:rsid w:val="007C3147"/>
    <w:rsid w:val="007C332D"/>
    <w:rsid w:val="007C3388"/>
    <w:rsid w:val="007C34CD"/>
    <w:rsid w:val="007C3620"/>
    <w:rsid w:val="007C40E7"/>
    <w:rsid w:val="007C4227"/>
    <w:rsid w:val="007C4415"/>
    <w:rsid w:val="007C4619"/>
    <w:rsid w:val="007C46EB"/>
    <w:rsid w:val="007C47AF"/>
    <w:rsid w:val="007C4C44"/>
    <w:rsid w:val="007C4DC1"/>
    <w:rsid w:val="007C4F1B"/>
    <w:rsid w:val="007C5072"/>
    <w:rsid w:val="007C5449"/>
    <w:rsid w:val="007C548D"/>
    <w:rsid w:val="007C572C"/>
    <w:rsid w:val="007C5778"/>
    <w:rsid w:val="007C587E"/>
    <w:rsid w:val="007C5C91"/>
    <w:rsid w:val="007C5D01"/>
    <w:rsid w:val="007C5E6F"/>
    <w:rsid w:val="007C629F"/>
    <w:rsid w:val="007C62AD"/>
    <w:rsid w:val="007C62D3"/>
    <w:rsid w:val="007C6652"/>
    <w:rsid w:val="007C6715"/>
    <w:rsid w:val="007C678E"/>
    <w:rsid w:val="007C6883"/>
    <w:rsid w:val="007C6899"/>
    <w:rsid w:val="007C68F0"/>
    <w:rsid w:val="007C692D"/>
    <w:rsid w:val="007C69C3"/>
    <w:rsid w:val="007C69D8"/>
    <w:rsid w:val="007C6A19"/>
    <w:rsid w:val="007C6A43"/>
    <w:rsid w:val="007C6D58"/>
    <w:rsid w:val="007C6E2E"/>
    <w:rsid w:val="007C6E4A"/>
    <w:rsid w:val="007C6F38"/>
    <w:rsid w:val="007C6FFD"/>
    <w:rsid w:val="007C7147"/>
    <w:rsid w:val="007C7148"/>
    <w:rsid w:val="007C730F"/>
    <w:rsid w:val="007C7374"/>
    <w:rsid w:val="007C7377"/>
    <w:rsid w:val="007C742C"/>
    <w:rsid w:val="007C762A"/>
    <w:rsid w:val="007C766E"/>
    <w:rsid w:val="007C7702"/>
    <w:rsid w:val="007C7829"/>
    <w:rsid w:val="007C78AA"/>
    <w:rsid w:val="007C78BA"/>
    <w:rsid w:val="007C7B14"/>
    <w:rsid w:val="007C7BDE"/>
    <w:rsid w:val="007C7BED"/>
    <w:rsid w:val="007C7BFE"/>
    <w:rsid w:val="007C7D56"/>
    <w:rsid w:val="007C7D68"/>
    <w:rsid w:val="007C7EDF"/>
    <w:rsid w:val="007C7F67"/>
    <w:rsid w:val="007C7FF4"/>
    <w:rsid w:val="007D0068"/>
    <w:rsid w:val="007D023D"/>
    <w:rsid w:val="007D02A0"/>
    <w:rsid w:val="007D02A4"/>
    <w:rsid w:val="007D079B"/>
    <w:rsid w:val="007D07E6"/>
    <w:rsid w:val="007D0801"/>
    <w:rsid w:val="007D0A30"/>
    <w:rsid w:val="007D0ADB"/>
    <w:rsid w:val="007D128A"/>
    <w:rsid w:val="007D1703"/>
    <w:rsid w:val="007D18E7"/>
    <w:rsid w:val="007D18F6"/>
    <w:rsid w:val="007D19BB"/>
    <w:rsid w:val="007D1A10"/>
    <w:rsid w:val="007D1B23"/>
    <w:rsid w:val="007D1C01"/>
    <w:rsid w:val="007D1C0F"/>
    <w:rsid w:val="007D1D3A"/>
    <w:rsid w:val="007D21D5"/>
    <w:rsid w:val="007D2209"/>
    <w:rsid w:val="007D2215"/>
    <w:rsid w:val="007D222D"/>
    <w:rsid w:val="007D267A"/>
    <w:rsid w:val="007D26C2"/>
    <w:rsid w:val="007D28B4"/>
    <w:rsid w:val="007D2BDA"/>
    <w:rsid w:val="007D2C19"/>
    <w:rsid w:val="007D2CAF"/>
    <w:rsid w:val="007D2D17"/>
    <w:rsid w:val="007D2E18"/>
    <w:rsid w:val="007D2EDE"/>
    <w:rsid w:val="007D2F1E"/>
    <w:rsid w:val="007D2FD4"/>
    <w:rsid w:val="007D304F"/>
    <w:rsid w:val="007D3086"/>
    <w:rsid w:val="007D30AC"/>
    <w:rsid w:val="007D30B8"/>
    <w:rsid w:val="007D3336"/>
    <w:rsid w:val="007D335F"/>
    <w:rsid w:val="007D33DD"/>
    <w:rsid w:val="007D343C"/>
    <w:rsid w:val="007D3491"/>
    <w:rsid w:val="007D3522"/>
    <w:rsid w:val="007D37CC"/>
    <w:rsid w:val="007D3823"/>
    <w:rsid w:val="007D3A54"/>
    <w:rsid w:val="007D3C46"/>
    <w:rsid w:val="007D3D22"/>
    <w:rsid w:val="007D3D67"/>
    <w:rsid w:val="007D3D9B"/>
    <w:rsid w:val="007D3EA4"/>
    <w:rsid w:val="007D3F44"/>
    <w:rsid w:val="007D3F5F"/>
    <w:rsid w:val="007D4069"/>
    <w:rsid w:val="007D40FC"/>
    <w:rsid w:val="007D4245"/>
    <w:rsid w:val="007D4405"/>
    <w:rsid w:val="007D4877"/>
    <w:rsid w:val="007D4910"/>
    <w:rsid w:val="007D4A32"/>
    <w:rsid w:val="007D4C91"/>
    <w:rsid w:val="007D4D99"/>
    <w:rsid w:val="007D4E69"/>
    <w:rsid w:val="007D5044"/>
    <w:rsid w:val="007D573D"/>
    <w:rsid w:val="007D5788"/>
    <w:rsid w:val="007D585D"/>
    <w:rsid w:val="007D59E9"/>
    <w:rsid w:val="007D5AB6"/>
    <w:rsid w:val="007D5D79"/>
    <w:rsid w:val="007D5E56"/>
    <w:rsid w:val="007D5EDD"/>
    <w:rsid w:val="007D5F57"/>
    <w:rsid w:val="007D5FA1"/>
    <w:rsid w:val="007D60FA"/>
    <w:rsid w:val="007D64EB"/>
    <w:rsid w:val="007D65D9"/>
    <w:rsid w:val="007D6653"/>
    <w:rsid w:val="007D66D2"/>
    <w:rsid w:val="007D6701"/>
    <w:rsid w:val="007D6785"/>
    <w:rsid w:val="007D6842"/>
    <w:rsid w:val="007D68E4"/>
    <w:rsid w:val="007D698B"/>
    <w:rsid w:val="007D6A7B"/>
    <w:rsid w:val="007D6A8B"/>
    <w:rsid w:val="007D6C04"/>
    <w:rsid w:val="007D6D0C"/>
    <w:rsid w:val="007D71B5"/>
    <w:rsid w:val="007D7262"/>
    <w:rsid w:val="007D734B"/>
    <w:rsid w:val="007D73AF"/>
    <w:rsid w:val="007D74E0"/>
    <w:rsid w:val="007D754E"/>
    <w:rsid w:val="007D75B0"/>
    <w:rsid w:val="007D76FE"/>
    <w:rsid w:val="007D7739"/>
    <w:rsid w:val="007D78BC"/>
    <w:rsid w:val="007D78C0"/>
    <w:rsid w:val="007D78F5"/>
    <w:rsid w:val="007D7991"/>
    <w:rsid w:val="007D7A37"/>
    <w:rsid w:val="007D7B67"/>
    <w:rsid w:val="007D7CFC"/>
    <w:rsid w:val="007D7DAF"/>
    <w:rsid w:val="007D7E3B"/>
    <w:rsid w:val="007E00A8"/>
    <w:rsid w:val="007E026B"/>
    <w:rsid w:val="007E029F"/>
    <w:rsid w:val="007E033E"/>
    <w:rsid w:val="007E04A8"/>
    <w:rsid w:val="007E08F6"/>
    <w:rsid w:val="007E0AAB"/>
    <w:rsid w:val="007E0B53"/>
    <w:rsid w:val="007E0D34"/>
    <w:rsid w:val="007E0DFE"/>
    <w:rsid w:val="007E0F0A"/>
    <w:rsid w:val="007E0F10"/>
    <w:rsid w:val="007E0F95"/>
    <w:rsid w:val="007E0FF1"/>
    <w:rsid w:val="007E11A6"/>
    <w:rsid w:val="007E1708"/>
    <w:rsid w:val="007E1751"/>
    <w:rsid w:val="007E1776"/>
    <w:rsid w:val="007E1914"/>
    <w:rsid w:val="007E194B"/>
    <w:rsid w:val="007E1963"/>
    <w:rsid w:val="007E19DD"/>
    <w:rsid w:val="007E1A08"/>
    <w:rsid w:val="007E1A60"/>
    <w:rsid w:val="007E1B35"/>
    <w:rsid w:val="007E1BE4"/>
    <w:rsid w:val="007E22EE"/>
    <w:rsid w:val="007E2332"/>
    <w:rsid w:val="007E248E"/>
    <w:rsid w:val="007E25A2"/>
    <w:rsid w:val="007E2604"/>
    <w:rsid w:val="007E28AC"/>
    <w:rsid w:val="007E2954"/>
    <w:rsid w:val="007E2A90"/>
    <w:rsid w:val="007E2B50"/>
    <w:rsid w:val="007E2C2D"/>
    <w:rsid w:val="007E30CB"/>
    <w:rsid w:val="007E32C7"/>
    <w:rsid w:val="007E335A"/>
    <w:rsid w:val="007E3507"/>
    <w:rsid w:val="007E3617"/>
    <w:rsid w:val="007E3900"/>
    <w:rsid w:val="007E3914"/>
    <w:rsid w:val="007E3962"/>
    <w:rsid w:val="007E39C3"/>
    <w:rsid w:val="007E3A08"/>
    <w:rsid w:val="007E3AFE"/>
    <w:rsid w:val="007E3DAC"/>
    <w:rsid w:val="007E3EF2"/>
    <w:rsid w:val="007E3F56"/>
    <w:rsid w:val="007E3F64"/>
    <w:rsid w:val="007E4021"/>
    <w:rsid w:val="007E4022"/>
    <w:rsid w:val="007E413B"/>
    <w:rsid w:val="007E42A0"/>
    <w:rsid w:val="007E4313"/>
    <w:rsid w:val="007E45A3"/>
    <w:rsid w:val="007E45D2"/>
    <w:rsid w:val="007E4716"/>
    <w:rsid w:val="007E4945"/>
    <w:rsid w:val="007E4A23"/>
    <w:rsid w:val="007E4B50"/>
    <w:rsid w:val="007E4C4C"/>
    <w:rsid w:val="007E4D5C"/>
    <w:rsid w:val="007E5178"/>
    <w:rsid w:val="007E5339"/>
    <w:rsid w:val="007E5421"/>
    <w:rsid w:val="007E5629"/>
    <w:rsid w:val="007E570F"/>
    <w:rsid w:val="007E5710"/>
    <w:rsid w:val="007E578F"/>
    <w:rsid w:val="007E5895"/>
    <w:rsid w:val="007E59C6"/>
    <w:rsid w:val="007E5A4D"/>
    <w:rsid w:val="007E5CE3"/>
    <w:rsid w:val="007E5D6D"/>
    <w:rsid w:val="007E5EB4"/>
    <w:rsid w:val="007E6084"/>
    <w:rsid w:val="007E6088"/>
    <w:rsid w:val="007E610A"/>
    <w:rsid w:val="007E612F"/>
    <w:rsid w:val="007E62BD"/>
    <w:rsid w:val="007E6304"/>
    <w:rsid w:val="007E6377"/>
    <w:rsid w:val="007E66B3"/>
    <w:rsid w:val="007E6781"/>
    <w:rsid w:val="007E685A"/>
    <w:rsid w:val="007E68FD"/>
    <w:rsid w:val="007E6A3B"/>
    <w:rsid w:val="007E6A55"/>
    <w:rsid w:val="007E6A68"/>
    <w:rsid w:val="007E6AC0"/>
    <w:rsid w:val="007E6C0D"/>
    <w:rsid w:val="007E6C12"/>
    <w:rsid w:val="007E6CA9"/>
    <w:rsid w:val="007E6CDB"/>
    <w:rsid w:val="007E6EC9"/>
    <w:rsid w:val="007E6F42"/>
    <w:rsid w:val="007E71A9"/>
    <w:rsid w:val="007E71F1"/>
    <w:rsid w:val="007E727A"/>
    <w:rsid w:val="007E75C0"/>
    <w:rsid w:val="007E7662"/>
    <w:rsid w:val="007E7948"/>
    <w:rsid w:val="007E79CE"/>
    <w:rsid w:val="007E7A85"/>
    <w:rsid w:val="007E7B63"/>
    <w:rsid w:val="007E7C93"/>
    <w:rsid w:val="007E7F9F"/>
    <w:rsid w:val="007F0007"/>
    <w:rsid w:val="007F000E"/>
    <w:rsid w:val="007F009E"/>
    <w:rsid w:val="007F0188"/>
    <w:rsid w:val="007F0287"/>
    <w:rsid w:val="007F028A"/>
    <w:rsid w:val="007F0416"/>
    <w:rsid w:val="007F0484"/>
    <w:rsid w:val="007F0526"/>
    <w:rsid w:val="007F0852"/>
    <w:rsid w:val="007F091F"/>
    <w:rsid w:val="007F0C81"/>
    <w:rsid w:val="007F0DA8"/>
    <w:rsid w:val="007F0DC5"/>
    <w:rsid w:val="007F0E3F"/>
    <w:rsid w:val="007F0E6D"/>
    <w:rsid w:val="007F0F77"/>
    <w:rsid w:val="007F0F94"/>
    <w:rsid w:val="007F113D"/>
    <w:rsid w:val="007F183F"/>
    <w:rsid w:val="007F1909"/>
    <w:rsid w:val="007F1974"/>
    <w:rsid w:val="007F1B60"/>
    <w:rsid w:val="007F1E23"/>
    <w:rsid w:val="007F1E48"/>
    <w:rsid w:val="007F1E93"/>
    <w:rsid w:val="007F2062"/>
    <w:rsid w:val="007F2071"/>
    <w:rsid w:val="007F211D"/>
    <w:rsid w:val="007F23D1"/>
    <w:rsid w:val="007F23E8"/>
    <w:rsid w:val="007F2477"/>
    <w:rsid w:val="007F24DB"/>
    <w:rsid w:val="007F253D"/>
    <w:rsid w:val="007F2556"/>
    <w:rsid w:val="007F26D7"/>
    <w:rsid w:val="007F2738"/>
    <w:rsid w:val="007F279C"/>
    <w:rsid w:val="007F27E2"/>
    <w:rsid w:val="007F29A8"/>
    <w:rsid w:val="007F2A7C"/>
    <w:rsid w:val="007F2BF9"/>
    <w:rsid w:val="007F2E29"/>
    <w:rsid w:val="007F2E6D"/>
    <w:rsid w:val="007F2EC9"/>
    <w:rsid w:val="007F3018"/>
    <w:rsid w:val="007F313D"/>
    <w:rsid w:val="007F3191"/>
    <w:rsid w:val="007F320E"/>
    <w:rsid w:val="007F33DF"/>
    <w:rsid w:val="007F3431"/>
    <w:rsid w:val="007F3478"/>
    <w:rsid w:val="007F361D"/>
    <w:rsid w:val="007F37C7"/>
    <w:rsid w:val="007F38AC"/>
    <w:rsid w:val="007F39AE"/>
    <w:rsid w:val="007F3B9E"/>
    <w:rsid w:val="007F3D07"/>
    <w:rsid w:val="007F3EA9"/>
    <w:rsid w:val="007F3F45"/>
    <w:rsid w:val="007F3FD8"/>
    <w:rsid w:val="007F4042"/>
    <w:rsid w:val="007F4066"/>
    <w:rsid w:val="007F4085"/>
    <w:rsid w:val="007F4208"/>
    <w:rsid w:val="007F4424"/>
    <w:rsid w:val="007F444B"/>
    <w:rsid w:val="007F44CB"/>
    <w:rsid w:val="007F49C9"/>
    <w:rsid w:val="007F49F1"/>
    <w:rsid w:val="007F4D6F"/>
    <w:rsid w:val="007F4E4B"/>
    <w:rsid w:val="007F5128"/>
    <w:rsid w:val="007F5233"/>
    <w:rsid w:val="007F55F6"/>
    <w:rsid w:val="007F592B"/>
    <w:rsid w:val="007F5A17"/>
    <w:rsid w:val="007F5A57"/>
    <w:rsid w:val="007F5B77"/>
    <w:rsid w:val="007F5D56"/>
    <w:rsid w:val="007F5F73"/>
    <w:rsid w:val="007F606A"/>
    <w:rsid w:val="007F60EE"/>
    <w:rsid w:val="007F627D"/>
    <w:rsid w:val="007F63DA"/>
    <w:rsid w:val="007F649B"/>
    <w:rsid w:val="007F67D2"/>
    <w:rsid w:val="007F6866"/>
    <w:rsid w:val="007F68E5"/>
    <w:rsid w:val="007F6941"/>
    <w:rsid w:val="007F697B"/>
    <w:rsid w:val="007F6AFE"/>
    <w:rsid w:val="007F6D50"/>
    <w:rsid w:val="007F6EBF"/>
    <w:rsid w:val="007F732C"/>
    <w:rsid w:val="007F7378"/>
    <w:rsid w:val="007F7405"/>
    <w:rsid w:val="007F74A6"/>
    <w:rsid w:val="007F7764"/>
    <w:rsid w:val="007F7785"/>
    <w:rsid w:val="007F78A3"/>
    <w:rsid w:val="007F7958"/>
    <w:rsid w:val="007F7A47"/>
    <w:rsid w:val="007F7B54"/>
    <w:rsid w:val="007F7C74"/>
    <w:rsid w:val="007F7D13"/>
    <w:rsid w:val="007F7E55"/>
    <w:rsid w:val="0080016B"/>
    <w:rsid w:val="008004BC"/>
    <w:rsid w:val="00800582"/>
    <w:rsid w:val="00800765"/>
    <w:rsid w:val="0080078E"/>
    <w:rsid w:val="008008BE"/>
    <w:rsid w:val="00800B93"/>
    <w:rsid w:val="00800E4E"/>
    <w:rsid w:val="00800FCF"/>
    <w:rsid w:val="0080120C"/>
    <w:rsid w:val="0080126A"/>
    <w:rsid w:val="008013FD"/>
    <w:rsid w:val="008014C2"/>
    <w:rsid w:val="0080151B"/>
    <w:rsid w:val="00801701"/>
    <w:rsid w:val="0080175B"/>
    <w:rsid w:val="008018A2"/>
    <w:rsid w:val="00801B11"/>
    <w:rsid w:val="00801BFD"/>
    <w:rsid w:val="00801C10"/>
    <w:rsid w:val="00801C13"/>
    <w:rsid w:val="00801D01"/>
    <w:rsid w:val="00801E11"/>
    <w:rsid w:val="008021BC"/>
    <w:rsid w:val="0080247C"/>
    <w:rsid w:val="00802615"/>
    <w:rsid w:val="00802A2D"/>
    <w:rsid w:val="00802AE9"/>
    <w:rsid w:val="00802ED3"/>
    <w:rsid w:val="00802F32"/>
    <w:rsid w:val="0080300F"/>
    <w:rsid w:val="00803091"/>
    <w:rsid w:val="00803094"/>
    <w:rsid w:val="008031B4"/>
    <w:rsid w:val="008031C6"/>
    <w:rsid w:val="00803231"/>
    <w:rsid w:val="00803263"/>
    <w:rsid w:val="008033B9"/>
    <w:rsid w:val="008033E2"/>
    <w:rsid w:val="00803410"/>
    <w:rsid w:val="0080345E"/>
    <w:rsid w:val="008035BB"/>
    <w:rsid w:val="0080368B"/>
    <w:rsid w:val="008038FC"/>
    <w:rsid w:val="0080397E"/>
    <w:rsid w:val="008039DB"/>
    <w:rsid w:val="00803ADE"/>
    <w:rsid w:val="00803AF8"/>
    <w:rsid w:val="00803B01"/>
    <w:rsid w:val="00803BA8"/>
    <w:rsid w:val="00803C44"/>
    <w:rsid w:val="00803CD9"/>
    <w:rsid w:val="00803DB0"/>
    <w:rsid w:val="0080402F"/>
    <w:rsid w:val="00804079"/>
    <w:rsid w:val="0080410A"/>
    <w:rsid w:val="00804643"/>
    <w:rsid w:val="008048CF"/>
    <w:rsid w:val="0080499E"/>
    <w:rsid w:val="00804A0F"/>
    <w:rsid w:val="00804B79"/>
    <w:rsid w:val="00804DA2"/>
    <w:rsid w:val="00804F72"/>
    <w:rsid w:val="00805233"/>
    <w:rsid w:val="00805246"/>
    <w:rsid w:val="008053D6"/>
    <w:rsid w:val="008054F4"/>
    <w:rsid w:val="00805510"/>
    <w:rsid w:val="00805526"/>
    <w:rsid w:val="008055E5"/>
    <w:rsid w:val="008055FF"/>
    <w:rsid w:val="00805BCC"/>
    <w:rsid w:val="00805CAE"/>
    <w:rsid w:val="00805E81"/>
    <w:rsid w:val="00805FE4"/>
    <w:rsid w:val="008061D1"/>
    <w:rsid w:val="008061E2"/>
    <w:rsid w:val="008064B6"/>
    <w:rsid w:val="008064C0"/>
    <w:rsid w:val="008064E0"/>
    <w:rsid w:val="00806552"/>
    <w:rsid w:val="00806610"/>
    <w:rsid w:val="00806616"/>
    <w:rsid w:val="008066E3"/>
    <w:rsid w:val="00806941"/>
    <w:rsid w:val="0080698F"/>
    <w:rsid w:val="00806A17"/>
    <w:rsid w:val="00806A41"/>
    <w:rsid w:val="00806D02"/>
    <w:rsid w:val="00806D5D"/>
    <w:rsid w:val="00806E0D"/>
    <w:rsid w:val="00806E6E"/>
    <w:rsid w:val="008071C1"/>
    <w:rsid w:val="008071C5"/>
    <w:rsid w:val="00807496"/>
    <w:rsid w:val="008074C9"/>
    <w:rsid w:val="008075E5"/>
    <w:rsid w:val="00807795"/>
    <w:rsid w:val="0080790C"/>
    <w:rsid w:val="0080792B"/>
    <w:rsid w:val="0080796F"/>
    <w:rsid w:val="00807970"/>
    <w:rsid w:val="008079F2"/>
    <w:rsid w:val="00807A27"/>
    <w:rsid w:val="00807A40"/>
    <w:rsid w:val="00807A4E"/>
    <w:rsid w:val="00807A6C"/>
    <w:rsid w:val="00807C2A"/>
    <w:rsid w:val="00807CDB"/>
    <w:rsid w:val="008100D7"/>
    <w:rsid w:val="0081025D"/>
    <w:rsid w:val="008102C5"/>
    <w:rsid w:val="008105BB"/>
    <w:rsid w:val="0081094C"/>
    <w:rsid w:val="00810A63"/>
    <w:rsid w:val="00810BEC"/>
    <w:rsid w:val="00810C39"/>
    <w:rsid w:val="00810E3F"/>
    <w:rsid w:val="00810E5E"/>
    <w:rsid w:val="00810E9E"/>
    <w:rsid w:val="00810FEA"/>
    <w:rsid w:val="008111BA"/>
    <w:rsid w:val="008111F0"/>
    <w:rsid w:val="00811224"/>
    <w:rsid w:val="0081125F"/>
    <w:rsid w:val="00811712"/>
    <w:rsid w:val="0081187F"/>
    <w:rsid w:val="008118CF"/>
    <w:rsid w:val="00811907"/>
    <w:rsid w:val="008119A8"/>
    <w:rsid w:val="008119E8"/>
    <w:rsid w:val="00811B85"/>
    <w:rsid w:val="00811BF8"/>
    <w:rsid w:val="00811CDD"/>
    <w:rsid w:val="00811D05"/>
    <w:rsid w:val="00811D24"/>
    <w:rsid w:val="00811F5B"/>
    <w:rsid w:val="008120B1"/>
    <w:rsid w:val="008122B4"/>
    <w:rsid w:val="008123E7"/>
    <w:rsid w:val="0081274F"/>
    <w:rsid w:val="008129D4"/>
    <w:rsid w:val="00812A6D"/>
    <w:rsid w:val="00812B4B"/>
    <w:rsid w:val="00812BEC"/>
    <w:rsid w:val="00812E78"/>
    <w:rsid w:val="00813103"/>
    <w:rsid w:val="0081311C"/>
    <w:rsid w:val="00813166"/>
    <w:rsid w:val="008131E6"/>
    <w:rsid w:val="00813329"/>
    <w:rsid w:val="008134C1"/>
    <w:rsid w:val="00813698"/>
    <w:rsid w:val="00813B1B"/>
    <w:rsid w:val="00813B51"/>
    <w:rsid w:val="00813D28"/>
    <w:rsid w:val="00813E9F"/>
    <w:rsid w:val="00813F12"/>
    <w:rsid w:val="00814101"/>
    <w:rsid w:val="008142E7"/>
    <w:rsid w:val="00814589"/>
    <w:rsid w:val="00814A7D"/>
    <w:rsid w:val="00814AD8"/>
    <w:rsid w:val="00814B9B"/>
    <w:rsid w:val="00814E32"/>
    <w:rsid w:val="0081519A"/>
    <w:rsid w:val="0081519F"/>
    <w:rsid w:val="008151B3"/>
    <w:rsid w:val="0081534B"/>
    <w:rsid w:val="00815490"/>
    <w:rsid w:val="008154EF"/>
    <w:rsid w:val="00815527"/>
    <w:rsid w:val="0081556D"/>
    <w:rsid w:val="008155EF"/>
    <w:rsid w:val="0081563B"/>
    <w:rsid w:val="00815B2B"/>
    <w:rsid w:val="00815CC8"/>
    <w:rsid w:val="00815DEF"/>
    <w:rsid w:val="00815E31"/>
    <w:rsid w:val="00815E54"/>
    <w:rsid w:val="0081609B"/>
    <w:rsid w:val="008161A8"/>
    <w:rsid w:val="008161EA"/>
    <w:rsid w:val="0081625A"/>
    <w:rsid w:val="008162E9"/>
    <w:rsid w:val="00816313"/>
    <w:rsid w:val="008163EE"/>
    <w:rsid w:val="008165A7"/>
    <w:rsid w:val="00816801"/>
    <w:rsid w:val="00816963"/>
    <w:rsid w:val="00816A5F"/>
    <w:rsid w:val="00816B68"/>
    <w:rsid w:val="00816BDF"/>
    <w:rsid w:val="00816C60"/>
    <w:rsid w:val="00816CCE"/>
    <w:rsid w:val="008171B9"/>
    <w:rsid w:val="0081721C"/>
    <w:rsid w:val="008174E8"/>
    <w:rsid w:val="008175EC"/>
    <w:rsid w:val="00817638"/>
    <w:rsid w:val="00817806"/>
    <w:rsid w:val="00817816"/>
    <w:rsid w:val="0081787E"/>
    <w:rsid w:val="00817905"/>
    <w:rsid w:val="00817A53"/>
    <w:rsid w:val="00817C52"/>
    <w:rsid w:val="00817E1F"/>
    <w:rsid w:val="00817F8C"/>
    <w:rsid w:val="0082027E"/>
    <w:rsid w:val="008205F2"/>
    <w:rsid w:val="00820628"/>
    <w:rsid w:val="0082066E"/>
    <w:rsid w:val="00820749"/>
    <w:rsid w:val="00820A38"/>
    <w:rsid w:val="00820AF8"/>
    <w:rsid w:val="00820BA3"/>
    <w:rsid w:val="00820C0A"/>
    <w:rsid w:val="00820C56"/>
    <w:rsid w:val="00820DAC"/>
    <w:rsid w:val="00820DF6"/>
    <w:rsid w:val="00820FF1"/>
    <w:rsid w:val="00821006"/>
    <w:rsid w:val="008211EE"/>
    <w:rsid w:val="00821548"/>
    <w:rsid w:val="008215C6"/>
    <w:rsid w:val="008215E0"/>
    <w:rsid w:val="00821782"/>
    <w:rsid w:val="008217DE"/>
    <w:rsid w:val="008217FA"/>
    <w:rsid w:val="00821925"/>
    <w:rsid w:val="00821ABF"/>
    <w:rsid w:val="00821B6C"/>
    <w:rsid w:val="00821DEF"/>
    <w:rsid w:val="00821EC2"/>
    <w:rsid w:val="00821F22"/>
    <w:rsid w:val="00821F49"/>
    <w:rsid w:val="00821FA4"/>
    <w:rsid w:val="00821FCB"/>
    <w:rsid w:val="00822002"/>
    <w:rsid w:val="00822577"/>
    <w:rsid w:val="008226C7"/>
    <w:rsid w:val="0082291D"/>
    <w:rsid w:val="008229AA"/>
    <w:rsid w:val="00822A55"/>
    <w:rsid w:val="00822B6C"/>
    <w:rsid w:val="00822EAA"/>
    <w:rsid w:val="00822F1A"/>
    <w:rsid w:val="00822F26"/>
    <w:rsid w:val="00823126"/>
    <w:rsid w:val="00823275"/>
    <w:rsid w:val="008232A5"/>
    <w:rsid w:val="00823310"/>
    <w:rsid w:val="008233DC"/>
    <w:rsid w:val="00823415"/>
    <w:rsid w:val="008234E5"/>
    <w:rsid w:val="00823744"/>
    <w:rsid w:val="00823818"/>
    <w:rsid w:val="0082382E"/>
    <w:rsid w:val="008238E0"/>
    <w:rsid w:val="00823C60"/>
    <w:rsid w:val="00823CB4"/>
    <w:rsid w:val="00823D3F"/>
    <w:rsid w:val="00823E36"/>
    <w:rsid w:val="00823F6D"/>
    <w:rsid w:val="00824246"/>
    <w:rsid w:val="0082424A"/>
    <w:rsid w:val="00824278"/>
    <w:rsid w:val="00824333"/>
    <w:rsid w:val="00824388"/>
    <w:rsid w:val="008246F4"/>
    <w:rsid w:val="0082490A"/>
    <w:rsid w:val="0082491B"/>
    <w:rsid w:val="00824B6A"/>
    <w:rsid w:val="00824DEE"/>
    <w:rsid w:val="00824F48"/>
    <w:rsid w:val="0082516C"/>
    <w:rsid w:val="00825207"/>
    <w:rsid w:val="00825384"/>
    <w:rsid w:val="008253E8"/>
    <w:rsid w:val="00825472"/>
    <w:rsid w:val="00825554"/>
    <w:rsid w:val="00825607"/>
    <w:rsid w:val="0082571D"/>
    <w:rsid w:val="0082574F"/>
    <w:rsid w:val="008259B6"/>
    <w:rsid w:val="00825B9A"/>
    <w:rsid w:val="00825BBD"/>
    <w:rsid w:val="00825C08"/>
    <w:rsid w:val="00825C2C"/>
    <w:rsid w:val="00825C63"/>
    <w:rsid w:val="00825D20"/>
    <w:rsid w:val="00825E27"/>
    <w:rsid w:val="00826035"/>
    <w:rsid w:val="008260D8"/>
    <w:rsid w:val="008263E7"/>
    <w:rsid w:val="0082658A"/>
    <w:rsid w:val="0082666F"/>
    <w:rsid w:val="0082675E"/>
    <w:rsid w:val="0082676B"/>
    <w:rsid w:val="008267D5"/>
    <w:rsid w:val="00826A10"/>
    <w:rsid w:val="00826D0C"/>
    <w:rsid w:val="00826ED5"/>
    <w:rsid w:val="00826F77"/>
    <w:rsid w:val="00827204"/>
    <w:rsid w:val="0082725D"/>
    <w:rsid w:val="008272C8"/>
    <w:rsid w:val="008273E3"/>
    <w:rsid w:val="008273FC"/>
    <w:rsid w:val="0082743B"/>
    <w:rsid w:val="00827781"/>
    <w:rsid w:val="008277FA"/>
    <w:rsid w:val="00827911"/>
    <w:rsid w:val="00827AE7"/>
    <w:rsid w:val="00827B44"/>
    <w:rsid w:val="00827C33"/>
    <w:rsid w:val="00830392"/>
    <w:rsid w:val="0083044D"/>
    <w:rsid w:val="00830453"/>
    <w:rsid w:val="00830597"/>
    <w:rsid w:val="008306DE"/>
    <w:rsid w:val="00830717"/>
    <w:rsid w:val="008308D6"/>
    <w:rsid w:val="00830A81"/>
    <w:rsid w:val="00830D81"/>
    <w:rsid w:val="00830DD9"/>
    <w:rsid w:val="00830E3E"/>
    <w:rsid w:val="00830FC4"/>
    <w:rsid w:val="00830FF0"/>
    <w:rsid w:val="00831083"/>
    <w:rsid w:val="008315F5"/>
    <w:rsid w:val="00831623"/>
    <w:rsid w:val="00831880"/>
    <w:rsid w:val="00831945"/>
    <w:rsid w:val="00831990"/>
    <w:rsid w:val="00831AB1"/>
    <w:rsid w:val="00831B30"/>
    <w:rsid w:val="00831E2B"/>
    <w:rsid w:val="00831E32"/>
    <w:rsid w:val="0083202E"/>
    <w:rsid w:val="00832062"/>
    <w:rsid w:val="00832404"/>
    <w:rsid w:val="0083240C"/>
    <w:rsid w:val="008324ED"/>
    <w:rsid w:val="008326D1"/>
    <w:rsid w:val="008328DC"/>
    <w:rsid w:val="00832994"/>
    <w:rsid w:val="008329E3"/>
    <w:rsid w:val="00832A58"/>
    <w:rsid w:val="00832EED"/>
    <w:rsid w:val="00832F98"/>
    <w:rsid w:val="00832FA6"/>
    <w:rsid w:val="00833478"/>
    <w:rsid w:val="0083353D"/>
    <w:rsid w:val="00833658"/>
    <w:rsid w:val="00833659"/>
    <w:rsid w:val="00833761"/>
    <w:rsid w:val="008337DF"/>
    <w:rsid w:val="008338B6"/>
    <w:rsid w:val="00833A4E"/>
    <w:rsid w:val="00833D5C"/>
    <w:rsid w:val="00833DFA"/>
    <w:rsid w:val="00833E6D"/>
    <w:rsid w:val="00834051"/>
    <w:rsid w:val="008340BC"/>
    <w:rsid w:val="008341BB"/>
    <w:rsid w:val="008343D6"/>
    <w:rsid w:val="008343D8"/>
    <w:rsid w:val="00834797"/>
    <w:rsid w:val="008347A9"/>
    <w:rsid w:val="008347BB"/>
    <w:rsid w:val="008348C2"/>
    <w:rsid w:val="00834926"/>
    <w:rsid w:val="00834A14"/>
    <w:rsid w:val="00834A25"/>
    <w:rsid w:val="00834A2C"/>
    <w:rsid w:val="00834A3D"/>
    <w:rsid w:val="00834AA4"/>
    <w:rsid w:val="00834B78"/>
    <w:rsid w:val="00834CC0"/>
    <w:rsid w:val="00834CF9"/>
    <w:rsid w:val="00834D98"/>
    <w:rsid w:val="00834EF5"/>
    <w:rsid w:val="00835100"/>
    <w:rsid w:val="00835152"/>
    <w:rsid w:val="008351C7"/>
    <w:rsid w:val="00835200"/>
    <w:rsid w:val="008354E0"/>
    <w:rsid w:val="008356A7"/>
    <w:rsid w:val="00835790"/>
    <w:rsid w:val="00835960"/>
    <w:rsid w:val="00835CC5"/>
    <w:rsid w:val="00835EA2"/>
    <w:rsid w:val="0083601C"/>
    <w:rsid w:val="00836173"/>
    <w:rsid w:val="008361CA"/>
    <w:rsid w:val="008361F3"/>
    <w:rsid w:val="008362A1"/>
    <w:rsid w:val="008364E3"/>
    <w:rsid w:val="008364EC"/>
    <w:rsid w:val="008367FE"/>
    <w:rsid w:val="00836818"/>
    <w:rsid w:val="0083687F"/>
    <w:rsid w:val="00836A66"/>
    <w:rsid w:val="00836B2B"/>
    <w:rsid w:val="00836BB4"/>
    <w:rsid w:val="00836C6C"/>
    <w:rsid w:val="00836D2E"/>
    <w:rsid w:val="00836DAF"/>
    <w:rsid w:val="00836EDD"/>
    <w:rsid w:val="00836FA3"/>
    <w:rsid w:val="00836FBC"/>
    <w:rsid w:val="0083753F"/>
    <w:rsid w:val="0083789D"/>
    <w:rsid w:val="00837A1E"/>
    <w:rsid w:val="00837D0A"/>
    <w:rsid w:val="00837D21"/>
    <w:rsid w:val="008400B0"/>
    <w:rsid w:val="008401A4"/>
    <w:rsid w:val="00840385"/>
    <w:rsid w:val="00840822"/>
    <w:rsid w:val="00840984"/>
    <w:rsid w:val="00840AB1"/>
    <w:rsid w:val="00840C6B"/>
    <w:rsid w:val="00840D08"/>
    <w:rsid w:val="00840D41"/>
    <w:rsid w:val="00840D8B"/>
    <w:rsid w:val="00840E09"/>
    <w:rsid w:val="00840E3A"/>
    <w:rsid w:val="00840F19"/>
    <w:rsid w:val="00841029"/>
    <w:rsid w:val="008410E2"/>
    <w:rsid w:val="00841237"/>
    <w:rsid w:val="0084127B"/>
    <w:rsid w:val="00841281"/>
    <w:rsid w:val="00841291"/>
    <w:rsid w:val="008413F1"/>
    <w:rsid w:val="0084140A"/>
    <w:rsid w:val="00841564"/>
    <w:rsid w:val="0084185E"/>
    <w:rsid w:val="008418FA"/>
    <w:rsid w:val="00841912"/>
    <w:rsid w:val="00841989"/>
    <w:rsid w:val="00841A78"/>
    <w:rsid w:val="00841E7B"/>
    <w:rsid w:val="00841EAB"/>
    <w:rsid w:val="00842002"/>
    <w:rsid w:val="0084206B"/>
    <w:rsid w:val="00842255"/>
    <w:rsid w:val="008423CD"/>
    <w:rsid w:val="00842802"/>
    <w:rsid w:val="008428E1"/>
    <w:rsid w:val="00842989"/>
    <w:rsid w:val="00842A23"/>
    <w:rsid w:val="00842C99"/>
    <w:rsid w:val="00842CAA"/>
    <w:rsid w:val="00842DE3"/>
    <w:rsid w:val="00842EDF"/>
    <w:rsid w:val="00842F23"/>
    <w:rsid w:val="0084301E"/>
    <w:rsid w:val="0084308C"/>
    <w:rsid w:val="008430B1"/>
    <w:rsid w:val="008430CC"/>
    <w:rsid w:val="008431CE"/>
    <w:rsid w:val="00843389"/>
    <w:rsid w:val="008433C5"/>
    <w:rsid w:val="00843795"/>
    <w:rsid w:val="008437A2"/>
    <w:rsid w:val="008438AC"/>
    <w:rsid w:val="008438D8"/>
    <w:rsid w:val="008438F0"/>
    <w:rsid w:val="00843923"/>
    <w:rsid w:val="0084398A"/>
    <w:rsid w:val="00843B36"/>
    <w:rsid w:val="00843B4D"/>
    <w:rsid w:val="00843BDF"/>
    <w:rsid w:val="00843D15"/>
    <w:rsid w:val="00843E2F"/>
    <w:rsid w:val="00843F43"/>
    <w:rsid w:val="008441A0"/>
    <w:rsid w:val="00844376"/>
    <w:rsid w:val="008443A4"/>
    <w:rsid w:val="00844525"/>
    <w:rsid w:val="00844556"/>
    <w:rsid w:val="00844733"/>
    <w:rsid w:val="00844829"/>
    <w:rsid w:val="008448F7"/>
    <w:rsid w:val="00844B27"/>
    <w:rsid w:val="00844E77"/>
    <w:rsid w:val="00844FE5"/>
    <w:rsid w:val="008452B9"/>
    <w:rsid w:val="00845572"/>
    <w:rsid w:val="008455FB"/>
    <w:rsid w:val="00845677"/>
    <w:rsid w:val="008459C0"/>
    <w:rsid w:val="008459E8"/>
    <w:rsid w:val="00845B0E"/>
    <w:rsid w:val="00845C7A"/>
    <w:rsid w:val="00845CA2"/>
    <w:rsid w:val="00845CF1"/>
    <w:rsid w:val="00845D22"/>
    <w:rsid w:val="00845D4B"/>
    <w:rsid w:val="00845D64"/>
    <w:rsid w:val="00845FDA"/>
    <w:rsid w:val="00845FF1"/>
    <w:rsid w:val="0084615B"/>
    <w:rsid w:val="008463FE"/>
    <w:rsid w:val="0084645A"/>
    <w:rsid w:val="00846784"/>
    <w:rsid w:val="008467B9"/>
    <w:rsid w:val="008467F3"/>
    <w:rsid w:val="008469B0"/>
    <w:rsid w:val="00846B95"/>
    <w:rsid w:val="00846D7B"/>
    <w:rsid w:val="00846E4A"/>
    <w:rsid w:val="0084701D"/>
    <w:rsid w:val="0084708E"/>
    <w:rsid w:val="0084749D"/>
    <w:rsid w:val="0084758E"/>
    <w:rsid w:val="008476AF"/>
    <w:rsid w:val="008479B9"/>
    <w:rsid w:val="00847A00"/>
    <w:rsid w:val="00847A93"/>
    <w:rsid w:val="00847AEF"/>
    <w:rsid w:val="00847B17"/>
    <w:rsid w:val="00847BDD"/>
    <w:rsid w:val="00847D4D"/>
    <w:rsid w:val="00847DCB"/>
    <w:rsid w:val="0085011F"/>
    <w:rsid w:val="0085022B"/>
    <w:rsid w:val="008503C3"/>
    <w:rsid w:val="0085076F"/>
    <w:rsid w:val="00850798"/>
    <w:rsid w:val="00850AEE"/>
    <w:rsid w:val="00850CDD"/>
    <w:rsid w:val="00850D95"/>
    <w:rsid w:val="00850E1D"/>
    <w:rsid w:val="00850EF3"/>
    <w:rsid w:val="008511A6"/>
    <w:rsid w:val="00851359"/>
    <w:rsid w:val="0085147A"/>
    <w:rsid w:val="008515AE"/>
    <w:rsid w:val="008516CB"/>
    <w:rsid w:val="00851729"/>
    <w:rsid w:val="0085184C"/>
    <w:rsid w:val="0085187D"/>
    <w:rsid w:val="00851CC1"/>
    <w:rsid w:val="00851CED"/>
    <w:rsid w:val="00851E0A"/>
    <w:rsid w:val="00851F09"/>
    <w:rsid w:val="00851F27"/>
    <w:rsid w:val="00851F39"/>
    <w:rsid w:val="00851FD9"/>
    <w:rsid w:val="0085218B"/>
    <w:rsid w:val="0085232D"/>
    <w:rsid w:val="00852357"/>
    <w:rsid w:val="008524D8"/>
    <w:rsid w:val="00852523"/>
    <w:rsid w:val="0085259A"/>
    <w:rsid w:val="0085272A"/>
    <w:rsid w:val="0085283A"/>
    <w:rsid w:val="008528D2"/>
    <w:rsid w:val="0085291F"/>
    <w:rsid w:val="00852B96"/>
    <w:rsid w:val="00852BB3"/>
    <w:rsid w:val="00852BC8"/>
    <w:rsid w:val="00852E43"/>
    <w:rsid w:val="00852E4B"/>
    <w:rsid w:val="00852E6A"/>
    <w:rsid w:val="00853099"/>
    <w:rsid w:val="008531E9"/>
    <w:rsid w:val="00853339"/>
    <w:rsid w:val="0085367B"/>
    <w:rsid w:val="0085372E"/>
    <w:rsid w:val="00853795"/>
    <w:rsid w:val="00853C26"/>
    <w:rsid w:val="00853D70"/>
    <w:rsid w:val="00853F55"/>
    <w:rsid w:val="00853F8A"/>
    <w:rsid w:val="0085447C"/>
    <w:rsid w:val="0085449E"/>
    <w:rsid w:val="0085465C"/>
    <w:rsid w:val="00854785"/>
    <w:rsid w:val="0085494F"/>
    <w:rsid w:val="00854A91"/>
    <w:rsid w:val="00854DB8"/>
    <w:rsid w:val="008552B0"/>
    <w:rsid w:val="008552BF"/>
    <w:rsid w:val="00855465"/>
    <w:rsid w:val="008557F1"/>
    <w:rsid w:val="00855DF1"/>
    <w:rsid w:val="00856190"/>
    <w:rsid w:val="0085628B"/>
    <w:rsid w:val="00856315"/>
    <w:rsid w:val="0085653C"/>
    <w:rsid w:val="0085656A"/>
    <w:rsid w:val="00856596"/>
    <w:rsid w:val="0085667D"/>
    <w:rsid w:val="008566E5"/>
    <w:rsid w:val="0085670D"/>
    <w:rsid w:val="008568B4"/>
    <w:rsid w:val="008568CF"/>
    <w:rsid w:val="00856B3D"/>
    <w:rsid w:val="00856F0B"/>
    <w:rsid w:val="00856F15"/>
    <w:rsid w:val="00857011"/>
    <w:rsid w:val="00857223"/>
    <w:rsid w:val="008575FB"/>
    <w:rsid w:val="00857755"/>
    <w:rsid w:val="00857801"/>
    <w:rsid w:val="00857948"/>
    <w:rsid w:val="00857949"/>
    <w:rsid w:val="0085799A"/>
    <w:rsid w:val="00857BEB"/>
    <w:rsid w:val="00857DAA"/>
    <w:rsid w:val="00857F3C"/>
    <w:rsid w:val="0086009C"/>
    <w:rsid w:val="008600DA"/>
    <w:rsid w:val="0086018D"/>
    <w:rsid w:val="0086025B"/>
    <w:rsid w:val="00860272"/>
    <w:rsid w:val="00860399"/>
    <w:rsid w:val="008603D3"/>
    <w:rsid w:val="0086042B"/>
    <w:rsid w:val="00860884"/>
    <w:rsid w:val="008609AC"/>
    <w:rsid w:val="00860B04"/>
    <w:rsid w:val="00860F00"/>
    <w:rsid w:val="008610BE"/>
    <w:rsid w:val="008610CF"/>
    <w:rsid w:val="00861160"/>
    <w:rsid w:val="00861188"/>
    <w:rsid w:val="008611E1"/>
    <w:rsid w:val="00861254"/>
    <w:rsid w:val="008612C1"/>
    <w:rsid w:val="00861322"/>
    <w:rsid w:val="00861460"/>
    <w:rsid w:val="00861673"/>
    <w:rsid w:val="00861755"/>
    <w:rsid w:val="0086186B"/>
    <w:rsid w:val="008618B3"/>
    <w:rsid w:val="008619D4"/>
    <w:rsid w:val="00861A12"/>
    <w:rsid w:val="00861AD4"/>
    <w:rsid w:val="00861C89"/>
    <w:rsid w:val="00861CD8"/>
    <w:rsid w:val="00861EA9"/>
    <w:rsid w:val="00861FC7"/>
    <w:rsid w:val="008623D9"/>
    <w:rsid w:val="00862419"/>
    <w:rsid w:val="0086263F"/>
    <w:rsid w:val="008627F7"/>
    <w:rsid w:val="0086289D"/>
    <w:rsid w:val="008629DF"/>
    <w:rsid w:val="00862A93"/>
    <w:rsid w:val="00862B0C"/>
    <w:rsid w:val="00862B29"/>
    <w:rsid w:val="00862C00"/>
    <w:rsid w:val="00862C50"/>
    <w:rsid w:val="00863111"/>
    <w:rsid w:val="00863296"/>
    <w:rsid w:val="008632A5"/>
    <w:rsid w:val="00863328"/>
    <w:rsid w:val="008633CC"/>
    <w:rsid w:val="0086347A"/>
    <w:rsid w:val="008636D0"/>
    <w:rsid w:val="0086370D"/>
    <w:rsid w:val="00863831"/>
    <w:rsid w:val="00863A09"/>
    <w:rsid w:val="00863A25"/>
    <w:rsid w:val="00863A55"/>
    <w:rsid w:val="00863EC1"/>
    <w:rsid w:val="00863EFF"/>
    <w:rsid w:val="00863F36"/>
    <w:rsid w:val="00864040"/>
    <w:rsid w:val="0086404E"/>
    <w:rsid w:val="00864159"/>
    <w:rsid w:val="00864476"/>
    <w:rsid w:val="00864B10"/>
    <w:rsid w:val="00864DBF"/>
    <w:rsid w:val="00864ED5"/>
    <w:rsid w:val="00864EFE"/>
    <w:rsid w:val="008650BD"/>
    <w:rsid w:val="0086539E"/>
    <w:rsid w:val="00865681"/>
    <w:rsid w:val="008657EE"/>
    <w:rsid w:val="0086596E"/>
    <w:rsid w:val="00865AC3"/>
    <w:rsid w:val="00865B8D"/>
    <w:rsid w:val="00865CBB"/>
    <w:rsid w:val="00865DCC"/>
    <w:rsid w:val="00865DF0"/>
    <w:rsid w:val="00865FD8"/>
    <w:rsid w:val="008660F9"/>
    <w:rsid w:val="00866269"/>
    <w:rsid w:val="008662C7"/>
    <w:rsid w:val="008664E2"/>
    <w:rsid w:val="008666BE"/>
    <w:rsid w:val="00866A84"/>
    <w:rsid w:val="00866B1F"/>
    <w:rsid w:val="00866B2E"/>
    <w:rsid w:val="00866B57"/>
    <w:rsid w:val="00866BA3"/>
    <w:rsid w:val="00866BC6"/>
    <w:rsid w:val="00866C2A"/>
    <w:rsid w:val="00866C62"/>
    <w:rsid w:val="00866D78"/>
    <w:rsid w:val="00866E6A"/>
    <w:rsid w:val="00866EC5"/>
    <w:rsid w:val="008671A4"/>
    <w:rsid w:val="008671D0"/>
    <w:rsid w:val="0086721A"/>
    <w:rsid w:val="008672D5"/>
    <w:rsid w:val="0086745C"/>
    <w:rsid w:val="008674A5"/>
    <w:rsid w:val="008677B7"/>
    <w:rsid w:val="00867889"/>
    <w:rsid w:val="008679A8"/>
    <w:rsid w:val="00867BEE"/>
    <w:rsid w:val="00867C22"/>
    <w:rsid w:val="008700DD"/>
    <w:rsid w:val="00870339"/>
    <w:rsid w:val="008703C8"/>
    <w:rsid w:val="00870515"/>
    <w:rsid w:val="0087085C"/>
    <w:rsid w:val="008708DA"/>
    <w:rsid w:val="00870946"/>
    <w:rsid w:val="00870B08"/>
    <w:rsid w:val="00870B58"/>
    <w:rsid w:val="00870C0F"/>
    <w:rsid w:val="00870D74"/>
    <w:rsid w:val="00870F58"/>
    <w:rsid w:val="00870FA2"/>
    <w:rsid w:val="00870FBC"/>
    <w:rsid w:val="008711DF"/>
    <w:rsid w:val="0087126B"/>
    <w:rsid w:val="008713D1"/>
    <w:rsid w:val="008713E3"/>
    <w:rsid w:val="00871410"/>
    <w:rsid w:val="0087149F"/>
    <w:rsid w:val="008714C4"/>
    <w:rsid w:val="0087153E"/>
    <w:rsid w:val="00871878"/>
    <w:rsid w:val="00871D54"/>
    <w:rsid w:val="00871DB2"/>
    <w:rsid w:val="00871EE6"/>
    <w:rsid w:val="008720A4"/>
    <w:rsid w:val="0087218C"/>
    <w:rsid w:val="00872377"/>
    <w:rsid w:val="00872395"/>
    <w:rsid w:val="00872399"/>
    <w:rsid w:val="008723F6"/>
    <w:rsid w:val="008725E2"/>
    <w:rsid w:val="00872759"/>
    <w:rsid w:val="0087285C"/>
    <w:rsid w:val="008728CF"/>
    <w:rsid w:val="00872BEB"/>
    <w:rsid w:val="00872CFB"/>
    <w:rsid w:val="00872D1F"/>
    <w:rsid w:val="00872DDB"/>
    <w:rsid w:val="00873004"/>
    <w:rsid w:val="0087302C"/>
    <w:rsid w:val="008730B1"/>
    <w:rsid w:val="008731B7"/>
    <w:rsid w:val="0087329C"/>
    <w:rsid w:val="0087345F"/>
    <w:rsid w:val="00873511"/>
    <w:rsid w:val="008735E9"/>
    <w:rsid w:val="008735F9"/>
    <w:rsid w:val="00873665"/>
    <w:rsid w:val="00873776"/>
    <w:rsid w:val="00873781"/>
    <w:rsid w:val="008737A6"/>
    <w:rsid w:val="008739B5"/>
    <w:rsid w:val="00873B10"/>
    <w:rsid w:val="00873B6F"/>
    <w:rsid w:val="00873B70"/>
    <w:rsid w:val="00873CDE"/>
    <w:rsid w:val="00873EBC"/>
    <w:rsid w:val="0087430D"/>
    <w:rsid w:val="00874314"/>
    <w:rsid w:val="00874407"/>
    <w:rsid w:val="0087447A"/>
    <w:rsid w:val="00874577"/>
    <w:rsid w:val="008746D5"/>
    <w:rsid w:val="00874700"/>
    <w:rsid w:val="008747AA"/>
    <w:rsid w:val="00874CAA"/>
    <w:rsid w:val="00874D27"/>
    <w:rsid w:val="00874DA7"/>
    <w:rsid w:val="00874F4D"/>
    <w:rsid w:val="008750A7"/>
    <w:rsid w:val="00875456"/>
    <w:rsid w:val="0087552B"/>
    <w:rsid w:val="00875643"/>
    <w:rsid w:val="008757A0"/>
    <w:rsid w:val="00875809"/>
    <w:rsid w:val="0087584A"/>
    <w:rsid w:val="00875B46"/>
    <w:rsid w:val="00875DCF"/>
    <w:rsid w:val="00875E74"/>
    <w:rsid w:val="00875EE1"/>
    <w:rsid w:val="00875F52"/>
    <w:rsid w:val="0087603B"/>
    <w:rsid w:val="00876094"/>
    <w:rsid w:val="008760EC"/>
    <w:rsid w:val="00876207"/>
    <w:rsid w:val="0087655F"/>
    <w:rsid w:val="00876659"/>
    <w:rsid w:val="00876903"/>
    <w:rsid w:val="00876A26"/>
    <w:rsid w:val="00876A6B"/>
    <w:rsid w:val="00876AAC"/>
    <w:rsid w:val="00876B4A"/>
    <w:rsid w:val="00876D32"/>
    <w:rsid w:val="00876E85"/>
    <w:rsid w:val="00876FC4"/>
    <w:rsid w:val="0087700E"/>
    <w:rsid w:val="008772D9"/>
    <w:rsid w:val="00877369"/>
    <w:rsid w:val="0087736A"/>
    <w:rsid w:val="008773E3"/>
    <w:rsid w:val="00877527"/>
    <w:rsid w:val="00877B9F"/>
    <w:rsid w:val="00877C82"/>
    <w:rsid w:val="00877C9E"/>
    <w:rsid w:val="00877F2C"/>
    <w:rsid w:val="00880073"/>
    <w:rsid w:val="00880127"/>
    <w:rsid w:val="00880209"/>
    <w:rsid w:val="00880212"/>
    <w:rsid w:val="008802FC"/>
    <w:rsid w:val="00880312"/>
    <w:rsid w:val="0088042B"/>
    <w:rsid w:val="008804BD"/>
    <w:rsid w:val="00880500"/>
    <w:rsid w:val="0088062D"/>
    <w:rsid w:val="00880688"/>
    <w:rsid w:val="00880733"/>
    <w:rsid w:val="00880845"/>
    <w:rsid w:val="00880BFC"/>
    <w:rsid w:val="00880D15"/>
    <w:rsid w:val="00880DFD"/>
    <w:rsid w:val="00880ED4"/>
    <w:rsid w:val="00880F19"/>
    <w:rsid w:val="00880F4F"/>
    <w:rsid w:val="008812A3"/>
    <w:rsid w:val="00881302"/>
    <w:rsid w:val="00881335"/>
    <w:rsid w:val="008813E0"/>
    <w:rsid w:val="00881443"/>
    <w:rsid w:val="008816F2"/>
    <w:rsid w:val="008817F4"/>
    <w:rsid w:val="008818AE"/>
    <w:rsid w:val="00881AAF"/>
    <w:rsid w:val="00881B07"/>
    <w:rsid w:val="00881DA4"/>
    <w:rsid w:val="00881F01"/>
    <w:rsid w:val="00881F53"/>
    <w:rsid w:val="00881FD3"/>
    <w:rsid w:val="00882003"/>
    <w:rsid w:val="008820B8"/>
    <w:rsid w:val="0088258F"/>
    <w:rsid w:val="00882BA1"/>
    <w:rsid w:val="00882BF9"/>
    <w:rsid w:val="00882C04"/>
    <w:rsid w:val="00882C1C"/>
    <w:rsid w:val="00882CBA"/>
    <w:rsid w:val="00882CD4"/>
    <w:rsid w:val="00882DF1"/>
    <w:rsid w:val="00882EB0"/>
    <w:rsid w:val="008832D4"/>
    <w:rsid w:val="008833B4"/>
    <w:rsid w:val="008833B8"/>
    <w:rsid w:val="008833CA"/>
    <w:rsid w:val="0088349B"/>
    <w:rsid w:val="00883515"/>
    <w:rsid w:val="0088355C"/>
    <w:rsid w:val="0088378D"/>
    <w:rsid w:val="008837AF"/>
    <w:rsid w:val="008837FF"/>
    <w:rsid w:val="0088384F"/>
    <w:rsid w:val="008838C9"/>
    <w:rsid w:val="00883986"/>
    <w:rsid w:val="008839A5"/>
    <w:rsid w:val="008839B1"/>
    <w:rsid w:val="008839C1"/>
    <w:rsid w:val="008839E7"/>
    <w:rsid w:val="00883B2D"/>
    <w:rsid w:val="00883BDE"/>
    <w:rsid w:val="00883F18"/>
    <w:rsid w:val="008840A3"/>
    <w:rsid w:val="0088439D"/>
    <w:rsid w:val="00884463"/>
    <w:rsid w:val="008844A6"/>
    <w:rsid w:val="0088456C"/>
    <w:rsid w:val="008846CC"/>
    <w:rsid w:val="00884741"/>
    <w:rsid w:val="008847A5"/>
    <w:rsid w:val="00884802"/>
    <w:rsid w:val="008849AF"/>
    <w:rsid w:val="00884A69"/>
    <w:rsid w:val="00884BEE"/>
    <w:rsid w:val="00884CCA"/>
    <w:rsid w:val="00884DDF"/>
    <w:rsid w:val="00884EB8"/>
    <w:rsid w:val="00884F02"/>
    <w:rsid w:val="008850A2"/>
    <w:rsid w:val="008850D5"/>
    <w:rsid w:val="00885322"/>
    <w:rsid w:val="00885488"/>
    <w:rsid w:val="008854E5"/>
    <w:rsid w:val="00885823"/>
    <w:rsid w:val="00885A02"/>
    <w:rsid w:val="00885A14"/>
    <w:rsid w:val="00885BBD"/>
    <w:rsid w:val="00885BEA"/>
    <w:rsid w:val="00885C59"/>
    <w:rsid w:val="00885E79"/>
    <w:rsid w:val="00885EB0"/>
    <w:rsid w:val="00886064"/>
    <w:rsid w:val="00886257"/>
    <w:rsid w:val="008862EC"/>
    <w:rsid w:val="00886370"/>
    <w:rsid w:val="0088639E"/>
    <w:rsid w:val="00886572"/>
    <w:rsid w:val="008866A1"/>
    <w:rsid w:val="008866F5"/>
    <w:rsid w:val="008867F8"/>
    <w:rsid w:val="00886910"/>
    <w:rsid w:val="00886B33"/>
    <w:rsid w:val="00886CD0"/>
    <w:rsid w:val="00886E5D"/>
    <w:rsid w:val="00886FD1"/>
    <w:rsid w:val="00887009"/>
    <w:rsid w:val="00887179"/>
    <w:rsid w:val="008872DE"/>
    <w:rsid w:val="00887309"/>
    <w:rsid w:val="008875A7"/>
    <w:rsid w:val="008877AE"/>
    <w:rsid w:val="008878F3"/>
    <w:rsid w:val="00887A0C"/>
    <w:rsid w:val="00887C69"/>
    <w:rsid w:val="00887D40"/>
    <w:rsid w:val="0089020A"/>
    <w:rsid w:val="00890469"/>
    <w:rsid w:val="008904CF"/>
    <w:rsid w:val="00890650"/>
    <w:rsid w:val="00890682"/>
    <w:rsid w:val="0089073D"/>
    <w:rsid w:val="00890746"/>
    <w:rsid w:val="0089076E"/>
    <w:rsid w:val="0089080A"/>
    <w:rsid w:val="0089082B"/>
    <w:rsid w:val="008908CA"/>
    <w:rsid w:val="00890917"/>
    <w:rsid w:val="00890A23"/>
    <w:rsid w:val="00890D7C"/>
    <w:rsid w:val="00890DF2"/>
    <w:rsid w:val="00890EB9"/>
    <w:rsid w:val="00890FB1"/>
    <w:rsid w:val="008912FC"/>
    <w:rsid w:val="008914CD"/>
    <w:rsid w:val="00891638"/>
    <w:rsid w:val="008917CF"/>
    <w:rsid w:val="00891865"/>
    <w:rsid w:val="00891C25"/>
    <w:rsid w:val="00891C65"/>
    <w:rsid w:val="00891D11"/>
    <w:rsid w:val="00892034"/>
    <w:rsid w:val="00892192"/>
    <w:rsid w:val="008922A7"/>
    <w:rsid w:val="008922B3"/>
    <w:rsid w:val="008922F1"/>
    <w:rsid w:val="0089258D"/>
    <w:rsid w:val="00892653"/>
    <w:rsid w:val="008927F9"/>
    <w:rsid w:val="00892898"/>
    <w:rsid w:val="00892B39"/>
    <w:rsid w:val="00892C45"/>
    <w:rsid w:val="00892CEC"/>
    <w:rsid w:val="00892E25"/>
    <w:rsid w:val="00892F25"/>
    <w:rsid w:val="00893016"/>
    <w:rsid w:val="0089306C"/>
    <w:rsid w:val="008930CC"/>
    <w:rsid w:val="008932F5"/>
    <w:rsid w:val="00893374"/>
    <w:rsid w:val="0089341E"/>
    <w:rsid w:val="00893543"/>
    <w:rsid w:val="00893818"/>
    <w:rsid w:val="00893823"/>
    <w:rsid w:val="0089388E"/>
    <w:rsid w:val="008938D1"/>
    <w:rsid w:val="00893A0D"/>
    <w:rsid w:val="00893A56"/>
    <w:rsid w:val="00893AA9"/>
    <w:rsid w:val="00893B92"/>
    <w:rsid w:val="00893C18"/>
    <w:rsid w:val="00893E66"/>
    <w:rsid w:val="00893E67"/>
    <w:rsid w:val="00894098"/>
    <w:rsid w:val="0089436C"/>
    <w:rsid w:val="008943B3"/>
    <w:rsid w:val="00894465"/>
    <w:rsid w:val="008944B0"/>
    <w:rsid w:val="00894607"/>
    <w:rsid w:val="00894615"/>
    <w:rsid w:val="00894676"/>
    <w:rsid w:val="0089479C"/>
    <w:rsid w:val="0089490B"/>
    <w:rsid w:val="00895075"/>
    <w:rsid w:val="00895183"/>
    <w:rsid w:val="0089521E"/>
    <w:rsid w:val="008952F0"/>
    <w:rsid w:val="00895331"/>
    <w:rsid w:val="0089533D"/>
    <w:rsid w:val="00895488"/>
    <w:rsid w:val="0089558E"/>
    <w:rsid w:val="008955D0"/>
    <w:rsid w:val="00895621"/>
    <w:rsid w:val="00895803"/>
    <w:rsid w:val="008958E4"/>
    <w:rsid w:val="00895A4C"/>
    <w:rsid w:val="00895BD9"/>
    <w:rsid w:val="00895E61"/>
    <w:rsid w:val="00895E86"/>
    <w:rsid w:val="00895EAC"/>
    <w:rsid w:val="00895ED9"/>
    <w:rsid w:val="00895F1C"/>
    <w:rsid w:val="008960AB"/>
    <w:rsid w:val="008962D2"/>
    <w:rsid w:val="008962E7"/>
    <w:rsid w:val="0089635E"/>
    <w:rsid w:val="0089658E"/>
    <w:rsid w:val="00896B5E"/>
    <w:rsid w:val="00896D05"/>
    <w:rsid w:val="00896DD6"/>
    <w:rsid w:val="00896DE6"/>
    <w:rsid w:val="00897010"/>
    <w:rsid w:val="0089749F"/>
    <w:rsid w:val="00897538"/>
    <w:rsid w:val="00897708"/>
    <w:rsid w:val="00897778"/>
    <w:rsid w:val="00897AB5"/>
    <w:rsid w:val="00897CF6"/>
    <w:rsid w:val="00897D3B"/>
    <w:rsid w:val="00897DC6"/>
    <w:rsid w:val="00897E23"/>
    <w:rsid w:val="00897E2C"/>
    <w:rsid w:val="00897E7C"/>
    <w:rsid w:val="008A0077"/>
    <w:rsid w:val="008A0415"/>
    <w:rsid w:val="008A04A7"/>
    <w:rsid w:val="008A05D2"/>
    <w:rsid w:val="008A07E5"/>
    <w:rsid w:val="008A09B4"/>
    <w:rsid w:val="008A0B88"/>
    <w:rsid w:val="008A0BE0"/>
    <w:rsid w:val="008A0C1A"/>
    <w:rsid w:val="008A0E30"/>
    <w:rsid w:val="008A0E4B"/>
    <w:rsid w:val="008A0E77"/>
    <w:rsid w:val="008A0F53"/>
    <w:rsid w:val="008A0F59"/>
    <w:rsid w:val="008A1200"/>
    <w:rsid w:val="008A129E"/>
    <w:rsid w:val="008A1519"/>
    <w:rsid w:val="008A163F"/>
    <w:rsid w:val="008A1743"/>
    <w:rsid w:val="008A1A03"/>
    <w:rsid w:val="008A1E22"/>
    <w:rsid w:val="008A1ED8"/>
    <w:rsid w:val="008A2015"/>
    <w:rsid w:val="008A2036"/>
    <w:rsid w:val="008A20EC"/>
    <w:rsid w:val="008A2109"/>
    <w:rsid w:val="008A22FD"/>
    <w:rsid w:val="008A2316"/>
    <w:rsid w:val="008A25A2"/>
    <w:rsid w:val="008A26AF"/>
    <w:rsid w:val="008A26E3"/>
    <w:rsid w:val="008A27CA"/>
    <w:rsid w:val="008A286F"/>
    <w:rsid w:val="008A2A30"/>
    <w:rsid w:val="008A2D1D"/>
    <w:rsid w:val="008A2D8A"/>
    <w:rsid w:val="008A3647"/>
    <w:rsid w:val="008A38E8"/>
    <w:rsid w:val="008A3972"/>
    <w:rsid w:val="008A39F1"/>
    <w:rsid w:val="008A3A06"/>
    <w:rsid w:val="008A3DBA"/>
    <w:rsid w:val="008A3E3B"/>
    <w:rsid w:val="008A3EDD"/>
    <w:rsid w:val="008A3EDE"/>
    <w:rsid w:val="008A3F31"/>
    <w:rsid w:val="008A40DF"/>
    <w:rsid w:val="008A410E"/>
    <w:rsid w:val="008A4157"/>
    <w:rsid w:val="008A4186"/>
    <w:rsid w:val="008A42F7"/>
    <w:rsid w:val="008A4515"/>
    <w:rsid w:val="008A454B"/>
    <w:rsid w:val="008A45A3"/>
    <w:rsid w:val="008A468F"/>
    <w:rsid w:val="008A4BFA"/>
    <w:rsid w:val="008A4C3A"/>
    <w:rsid w:val="008A4E48"/>
    <w:rsid w:val="008A5266"/>
    <w:rsid w:val="008A52B6"/>
    <w:rsid w:val="008A52D4"/>
    <w:rsid w:val="008A541A"/>
    <w:rsid w:val="008A5509"/>
    <w:rsid w:val="008A556D"/>
    <w:rsid w:val="008A559C"/>
    <w:rsid w:val="008A573D"/>
    <w:rsid w:val="008A57D5"/>
    <w:rsid w:val="008A57DC"/>
    <w:rsid w:val="008A59A7"/>
    <w:rsid w:val="008A5A55"/>
    <w:rsid w:val="008A5A9F"/>
    <w:rsid w:val="008A5AF9"/>
    <w:rsid w:val="008A5BED"/>
    <w:rsid w:val="008A5C5B"/>
    <w:rsid w:val="008A5D5B"/>
    <w:rsid w:val="008A5F6B"/>
    <w:rsid w:val="008A5F7C"/>
    <w:rsid w:val="008A61CE"/>
    <w:rsid w:val="008A621B"/>
    <w:rsid w:val="008A62A5"/>
    <w:rsid w:val="008A631C"/>
    <w:rsid w:val="008A63BC"/>
    <w:rsid w:val="008A6402"/>
    <w:rsid w:val="008A66A7"/>
    <w:rsid w:val="008A6760"/>
    <w:rsid w:val="008A6832"/>
    <w:rsid w:val="008A69A1"/>
    <w:rsid w:val="008A6CC7"/>
    <w:rsid w:val="008A6D8D"/>
    <w:rsid w:val="008A6FC4"/>
    <w:rsid w:val="008A70C5"/>
    <w:rsid w:val="008A72EE"/>
    <w:rsid w:val="008A7408"/>
    <w:rsid w:val="008A74BB"/>
    <w:rsid w:val="008A75D3"/>
    <w:rsid w:val="008A75E9"/>
    <w:rsid w:val="008A766F"/>
    <w:rsid w:val="008A78F4"/>
    <w:rsid w:val="008A7943"/>
    <w:rsid w:val="008A7A53"/>
    <w:rsid w:val="008A7BC7"/>
    <w:rsid w:val="008A7D80"/>
    <w:rsid w:val="008B001D"/>
    <w:rsid w:val="008B02F6"/>
    <w:rsid w:val="008B04B2"/>
    <w:rsid w:val="008B04B5"/>
    <w:rsid w:val="008B05D2"/>
    <w:rsid w:val="008B08E8"/>
    <w:rsid w:val="008B09C6"/>
    <w:rsid w:val="008B0A88"/>
    <w:rsid w:val="008B0AD3"/>
    <w:rsid w:val="008B0C3C"/>
    <w:rsid w:val="008B0C68"/>
    <w:rsid w:val="008B0CDF"/>
    <w:rsid w:val="008B0D13"/>
    <w:rsid w:val="008B0E6B"/>
    <w:rsid w:val="008B0EFB"/>
    <w:rsid w:val="008B10E2"/>
    <w:rsid w:val="008B112D"/>
    <w:rsid w:val="008B1147"/>
    <w:rsid w:val="008B122A"/>
    <w:rsid w:val="008B1373"/>
    <w:rsid w:val="008B137F"/>
    <w:rsid w:val="008B1406"/>
    <w:rsid w:val="008B142A"/>
    <w:rsid w:val="008B14E4"/>
    <w:rsid w:val="008B15F5"/>
    <w:rsid w:val="008B16BF"/>
    <w:rsid w:val="008B16D6"/>
    <w:rsid w:val="008B1711"/>
    <w:rsid w:val="008B17AC"/>
    <w:rsid w:val="008B1842"/>
    <w:rsid w:val="008B18D4"/>
    <w:rsid w:val="008B19E3"/>
    <w:rsid w:val="008B1A49"/>
    <w:rsid w:val="008B1B26"/>
    <w:rsid w:val="008B1C36"/>
    <w:rsid w:val="008B1DE2"/>
    <w:rsid w:val="008B1DF0"/>
    <w:rsid w:val="008B1E77"/>
    <w:rsid w:val="008B206D"/>
    <w:rsid w:val="008B2083"/>
    <w:rsid w:val="008B25B3"/>
    <w:rsid w:val="008B2733"/>
    <w:rsid w:val="008B2B08"/>
    <w:rsid w:val="008B2B79"/>
    <w:rsid w:val="008B2E4D"/>
    <w:rsid w:val="008B2FED"/>
    <w:rsid w:val="008B3126"/>
    <w:rsid w:val="008B3328"/>
    <w:rsid w:val="008B34BC"/>
    <w:rsid w:val="008B365E"/>
    <w:rsid w:val="008B36CE"/>
    <w:rsid w:val="008B3721"/>
    <w:rsid w:val="008B3962"/>
    <w:rsid w:val="008B3986"/>
    <w:rsid w:val="008B398D"/>
    <w:rsid w:val="008B39F1"/>
    <w:rsid w:val="008B3A1B"/>
    <w:rsid w:val="008B3A3A"/>
    <w:rsid w:val="008B3B24"/>
    <w:rsid w:val="008B3B73"/>
    <w:rsid w:val="008B3D24"/>
    <w:rsid w:val="008B40D9"/>
    <w:rsid w:val="008B4186"/>
    <w:rsid w:val="008B4483"/>
    <w:rsid w:val="008B44EC"/>
    <w:rsid w:val="008B4854"/>
    <w:rsid w:val="008B48B2"/>
    <w:rsid w:val="008B4938"/>
    <w:rsid w:val="008B49B2"/>
    <w:rsid w:val="008B4ABB"/>
    <w:rsid w:val="008B4B57"/>
    <w:rsid w:val="008B4E1B"/>
    <w:rsid w:val="008B4E3D"/>
    <w:rsid w:val="008B518A"/>
    <w:rsid w:val="008B522C"/>
    <w:rsid w:val="008B53D1"/>
    <w:rsid w:val="008B5511"/>
    <w:rsid w:val="008B58C6"/>
    <w:rsid w:val="008B5BDA"/>
    <w:rsid w:val="008B5C71"/>
    <w:rsid w:val="008B5CCC"/>
    <w:rsid w:val="008B5D42"/>
    <w:rsid w:val="008B5E0F"/>
    <w:rsid w:val="008B5F8E"/>
    <w:rsid w:val="008B6219"/>
    <w:rsid w:val="008B62C8"/>
    <w:rsid w:val="008B647D"/>
    <w:rsid w:val="008B64A7"/>
    <w:rsid w:val="008B65A5"/>
    <w:rsid w:val="008B6920"/>
    <w:rsid w:val="008B69A0"/>
    <w:rsid w:val="008B6B42"/>
    <w:rsid w:val="008B6B92"/>
    <w:rsid w:val="008B6C66"/>
    <w:rsid w:val="008B6CE5"/>
    <w:rsid w:val="008B6D3F"/>
    <w:rsid w:val="008B6DD5"/>
    <w:rsid w:val="008B6E6F"/>
    <w:rsid w:val="008B7046"/>
    <w:rsid w:val="008B7052"/>
    <w:rsid w:val="008B709B"/>
    <w:rsid w:val="008B70DE"/>
    <w:rsid w:val="008B7150"/>
    <w:rsid w:val="008B7221"/>
    <w:rsid w:val="008B7251"/>
    <w:rsid w:val="008B72DF"/>
    <w:rsid w:val="008B734B"/>
    <w:rsid w:val="008B73D0"/>
    <w:rsid w:val="008B745A"/>
    <w:rsid w:val="008B74A6"/>
    <w:rsid w:val="008B7692"/>
    <w:rsid w:val="008B7991"/>
    <w:rsid w:val="008B79A9"/>
    <w:rsid w:val="008B7AAF"/>
    <w:rsid w:val="008B7BCD"/>
    <w:rsid w:val="008B7F2F"/>
    <w:rsid w:val="008B7F5E"/>
    <w:rsid w:val="008B7FEC"/>
    <w:rsid w:val="008B7FFD"/>
    <w:rsid w:val="008C01F4"/>
    <w:rsid w:val="008C03B0"/>
    <w:rsid w:val="008C03B5"/>
    <w:rsid w:val="008C0563"/>
    <w:rsid w:val="008C09A3"/>
    <w:rsid w:val="008C0A0E"/>
    <w:rsid w:val="008C0ABA"/>
    <w:rsid w:val="008C0ADE"/>
    <w:rsid w:val="008C0F0C"/>
    <w:rsid w:val="008C139C"/>
    <w:rsid w:val="008C1421"/>
    <w:rsid w:val="008C150D"/>
    <w:rsid w:val="008C1628"/>
    <w:rsid w:val="008C1862"/>
    <w:rsid w:val="008C186F"/>
    <w:rsid w:val="008C18B0"/>
    <w:rsid w:val="008C19FA"/>
    <w:rsid w:val="008C1A8E"/>
    <w:rsid w:val="008C1B56"/>
    <w:rsid w:val="008C1BDB"/>
    <w:rsid w:val="008C1C13"/>
    <w:rsid w:val="008C1D5E"/>
    <w:rsid w:val="008C1F5B"/>
    <w:rsid w:val="008C20A6"/>
    <w:rsid w:val="008C216F"/>
    <w:rsid w:val="008C2174"/>
    <w:rsid w:val="008C21DA"/>
    <w:rsid w:val="008C22A4"/>
    <w:rsid w:val="008C25A9"/>
    <w:rsid w:val="008C25D1"/>
    <w:rsid w:val="008C265E"/>
    <w:rsid w:val="008C27D1"/>
    <w:rsid w:val="008C2837"/>
    <w:rsid w:val="008C295E"/>
    <w:rsid w:val="008C2ABC"/>
    <w:rsid w:val="008C2B8D"/>
    <w:rsid w:val="008C2BFB"/>
    <w:rsid w:val="008C2C5B"/>
    <w:rsid w:val="008C339A"/>
    <w:rsid w:val="008C36BD"/>
    <w:rsid w:val="008C36F7"/>
    <w:rsid w:val="008C3737"/>
    <w:rsid w:val="008C3790"/>
    <w:rsid w:val="008C37A4"/>
    <w:rsid w:val="008C3D8E"/>
    <w:rsid w:val="008C3F88"/>
    <w:rsid w:val="008C41F7"/>
    <w:rsid w:val="008C4262"/>
    <w:rsid w:val="008C430E"/>
    <w:rsid w:val="008C4521"/>
    <w:rsid w:val="008C4537"/>
    <w:rsid w:val="008C46D9"/>
    <w:rsid w:val="008C48DB"/>
    <w:rsid w:val="008C4949"/>
    <w:rsid w:val="008C4A04"/>
    <w:rsid w:val="008C4B3B"/>
    <w:rsid w:val="008C4B41"/>
    <w:rsid w:val="008C4B5F"/>
    <w:rsid w:val="008C4CAC"/>
    <w:rsid w:val="008C4FFB"/>
    <w:rsid w:val="008C50D8"/>
    <w:rsid w:val="008C51BA"/>
    <w:rsid w:val="008C53B9"/>
    <w:rsid w:val="008C547C"/>
    <w:rsid w:val="008C5619"/>
    <w:rsid w:val="008C5886"/>
    <w:rsid w:val="008C5A4E"/>
    <w:rsid w:val="008C5BC0"/>
    <w:rsid w:val="008C5CD8"/>
    <w:rsid w:val="008C5D32"/>
    <w:rsid w:val="008C5DD5"/>
    <w:rsid w:val="008C5E15"/>
    <w:rsid w:val="008C5EE5"/>
    <w:rsid w:val="008C6012"/>
    <w:rsid w:val="008C6118"/>
    <w:rsid w:val="008C613A"/>
    <w:rsid w:val="008C6267"/>
    <w:rsid w:val="008C62D2"/>
    <w:rsid w:val="008C6351"/>
    <w:rsid w:val="008C6541"/>
    <w:rsid w:val="008C65E4"/>
    <w:rsid w:val="008C66FC"/>
    <w:rsid w:val="008C6703"/>
    <w:rsid w:val="008C6782"/>
    <w:rsid w:val="008C67FE"/>
    <w:rsid w:val="008C6862"/>
    <w:rsid w:val="008C687B"/>
    <w:rsid w:val="008C6888"/>
    <w:rsid w:val="008C68AF"/>
    <w:rsid w:val="008C6B3D"/>
    <w:rsid w:val="008C6B56"/>
    <w:rsid w:val="008C6D54"/>
    <w:rsid w:val="008C6E01"/>
    <w:rsid w:val="008C6E03"/>
    <w:rsid w:val="008C6E17"/>
    <w:rsid w:val="008C714F"/>
    <w:rsid w:val="008C716D"/>
    <w:rsid w:val="008C736A"/>
    <w:rsid w:val="008C77A6"/>
    <w:rsid w:val="008C77F9"/>
    <w:rsid w:val="008C785B"/>
    <w:rsid w:val="008C78E5"/>
    <w:rsid w:val="008C7B3D"/>
    <w:rsid w:val="008C7D22"/>
    <w:rsid w:val="008C7E86"/>
    <w:rsid w:val="008D00DB"/>
    <w:rsid w:val="008D0205"/>
    <w:rsid w:val="008D0250"/>
    <w:rsid w:val="008D03AF"/>
    <w:rsid w:val="008D03E5"/>
    <w:rsid w:val="008D0500"/>
    <w:rsid w:val="008D0697"/>
    <w:rsid w:val="008D098F"/>
    <w:rsid w:val="008D0A4A"/>
    <w:rsid w:val="008D0A83"/>
    <w:rsid w:val="008D0C6A"/>
    <w:rsid w:val="008D0D12"/>
    <w:rsid w:val="008D0DF5"/>
    <w:rsid w:val="008D0E1F"/>
    <w:rsid w:val="008D0F20"/>
    <w:rsid w:val="008D0FB9"/>
    <w:rsid w:val="008D103C"/>
    <w:rsid w:val="008D10EC"/>
    <w:rsid w:val="008D1206"/>
    <w:rsid w:val="008D121A"/>
    <w:rsid w:val="008D122A"/>
    <w:rsid w:val="008D12C9"/>
    <w:rsid w:val="008D1463"/>
    <w:rsid w:val="008D16F6"/>
    <w:rsid w:val="008D17A5"/>
    <w:rsid w:val="008D17B1"/>
    <w:rsid w:val="008D181A"/>
    <w:rsid w:val="008D1838"/>
    <w:rsid w:val="008D1A22"/>
    <w:rsid w:val="008D1BA2"/>
    <w:rsid w:val="008D1D67"/>
    <w:rsid w:val="008D1F20"/>
    <w:rsid w:val="008D1FDC"/>
    <w:rsid w:val="008D2332"/>
    <w:rsid w:val="008D237B"/>
    <w:rsid w:val="008D238E"/>
    <w:rsid w:val="008D23A9"/>
    <w:rsid w:val="008D24C1"/>
    <w:rsid w:val="008D26CA"/>
    <w:rsid w:val="008D296E"/>
    <w:rsid w:val="008D2B48"/>
    <w:rsid w:val="008D2B6B"/>
    <w:rsid w:val="008D2B71"/>
    <w:rsid w:val="008D2CC9"/>
    <w:rsid w:val="008D2E77"/>
    <w:rsid w:val="008D2F0B"/>
    <w:rsid w:val="008D2FE6"/>
    <w:rsid w:val="008D3066"/>
    <w:rsid w:val="008D3156"/>
    <w:rsid w:val="008D31AA"/>
    <w:rsid w:val="008D33C6"/>
    <w:rsid w:val="008D3441"/>
    <w:rsid w:val="008D34C6"/>
    <w:rsid w:val="008D3511"/>
    <w:rsid w:val="008D35D6"/>
    <w:rsid w:val="008D36A9"/>
    <w:rsid w:val="008D3715"/>
    <w:rsid w:val="008D3799"/>
    <w:rsid w:val="008D37B4"/>
    <w:rsid w:val="008D37DA"/>
    <w:rsid w:val="008D386C"/>
    <w:rsid w:val="008D3A42"/>
    <w:rsid w:val="008D3B8D"/>
    <w:rsid w:val="008D3C09"/>
    <w:rsid w:val="008D3C4B"/>
    <w:rsid w:val="008D3CB8"/>
    <w:rsid w:val="008D3FF4"/>
    <w:rsid w:val="008D4055"/>
    <w:rsid w:val="008D4112"/>
    <w:rsid w:val="008D4143"/>
    <w:rsid w:val="008D41DF"/>
    <w:rsid w:val="008D4403"/>
    <w:rsid w:val="008D440B"/>
    <w:rsid w:val="008D4619"/>
    <w:rsid w:val="008D48B7"/>
    <w:rsid w:val="008D4969"/>
    <w:rsid w:val="008D499C"/>
    <w:rsid w:val="008D49BE"/>
    <w:rsid w:val="008D4DC6"/>
    <w:rsid w:val="008D4F9E"/>
    <w:rsid w:val="008D5003"/>
    <w:rsid w:val="008D531B"/>
    <w:rsid w:val="008D5399"/>
    <w:rsid w:val="008D5574"/>
    <w:rsid w:val="008D586C"/>
    <w:rsid w:val="008D5A39"/>
    <w:rsid w:val="008D5AD4"/>
    <w:rsid w:val="008D5B03"/>
    <w:rsid w:val="008D5C22"/>
    <w:rsid w:val="008D5EF7"/>
    <w:rsid w:val="008D6541"/>
    <w:rsid w:val="008D6590"/>
    <w:rsid w:val="008D67F2"/>
    <w:rsid w:val="008D6926"/>
    <w:rsid w:val="008D6A76"/>
    <w:rsid w:val="008D6AB4"/>
    <w:rsid w:val="008D6B3C"/>
    <w:rsid w:val="008D6B67"/>
    <w:rsid w:val="008D6C8C"/>
    <w:rsid w:val="008D6D39"/>
    <w:rsid w:val="008D6E0C"/>
    <w:rsid w:val="008D6E35"/>
    <w:rsid w:val="008D6E65"/>
    <w:rsid w:val="008D6F0A"/>
    <w:rsid w:val="008D7050"/>
    <w:rsid w:val="008D708E"/>
    <w:rsid w:val="008D7121"/>
    <w:rsid w:val="008D7814"/>
    <w:rsid w:val="008D79B3"/>
    <w:rsid w:val="008D7B8C"/>
    <w:rsid w:val="008D7BFF"/>
    <w:rsid w:val="008D7C18"/>
    <w:rsid w:val="008D7C48"/>
    <w:rsid w:val="008D7C5D"/>
    <w:rsid w:val="008D7CC3"/>
    <w:rsid w:val="008D7E3D"/>
    <w:rsid w:val="008E0244"/>
    <w:rsid w:val="008E07B4"/>
    <w:rsid w:val="008E09A0"/>
    <w:rsid w:val="008E09E9"/>
    <w:rsid w:val="008E0E73"/>
    <w:rsid w:val="008E1144"/>
    <w:rsid w:val="008E119F"/>
    <w:rsid w:val="008E13F9"/>
    <w:rsid w:val="008E14CE"/>
    <w:rsid w:val="008E1525"/>
    <w:rsid w:val="008E1621"/>
    <w:rsid w:val="008E166C"/>
    <w:rsid w:val="008E1693"/>
    <w:rsid w:val="008E16DE"/>
    <w:rsid w:val="008E17E5"/>
    <w:rsid w:val="008E1981"/>
    <w:rsid w:val="008E1AC3"/>
    <w:rsid w:val="008E1B6B"/>
    <w:rsid w:val="008E1C78"/>
    <w:rsid w:val="008E1FB4"/>
    <w:rsid w:val="008E2026"/>
    <w:rsid w:val="008E20BF"/>
    <w:rsid w:val="008E2228"/>
    <w:rsid w:val="008E222A"/>
    <w:rsid w:val="008E2327"/>
    <w:rsid w:val="008E2359"/>
    <w:rsid w:val="008E248A"/>
    <w:rsid w:val="008E256A"/>
    <w:rsid w:val="008E263D"/>
    <w:rsid w:val="008E26EA"/>
    <w:rsid w:val="008E278F"/>
    <w:rsid w:val="008E2842"/>
    <w:rsid w:val="008E29F4"/>
    <w:rsid w:val="008E2B20"/>
    <w:rsid w:val="008E2C84"/>
    <w:rsid w:val="008E2C9B"/>
    <w:rsid w:val="008E2C9E"/>
    <w:rsid w:val="008E2D7C"/>
    <w:rsid w:val="008E2D81"/>
    <w:rsid w:val="008E2D83"/>
    <w:rsid w:val="008E2E43"/>
    <w:rsid w:val="008E312A"/>
    <w:rsid w:val="008E3186"/>
    <w:rsid w:val="008E32BD"/>
    <w:rsid w:val="008E3436"/>
    <w:rsid w:val="008E3744"/>
    <w:rsid w:val="008E3761"/>
    <w:rsid w:val="008E382D"/>
    <w:rsid w:val="008E3952"/>
    <w:rsid w:val="008E3974"/>
    <w:rsid w:val="008E3A1F"/>
    <w:rsid w:val="008E3C07"/>
    <w:rsid w:val="008E3C88"/>
    <w:rsid w:val="008E3C8C"/>
    <w:rsid w:val="008E418E"/>
    <w:rsid w:val="008E434C"/>
    <w:rsid w:val="008E48AD"/>
    <w:rsid w:val="008E4C34"/>
    <w:rsid w:val="008E4C50"/>
    <w:rsid w:val="008E4F11"/>
    <w:rsid w:val="008E4F2B"/>
    <w:rsid w:val="008E4FD8"/>
    <w:rsid w:val="008E503F"/>
    <w:rsid w:val="008E510F"/>
    <w:rsid w:val="008E5371"/>
    <w:rsid w:val="008E5427"/>
    <w:rsid w:val="008E560B"/>
    <w:rsid w:val="008E5872"/>
    <w:rsid w:val="008E5AB8"/>
    <w:rsid w:val="008E5BA0"/>
    <w:rsid w:val="008E5CAB"/>
    <w:rsid w:val="008E5CFC"/>
    <w:rsid w:val="008E5DDB"/>
    <w:rsid w:val="008E6039"/>
    <w:rsid w:val="008E6132"/>
    <w:rsid w:val="008E6224"/>
    <w:rsid w:val="008E6585"/>
    <w:rsid w:val="008E6587"/>
    <w:rsid w:val="008E65BB"/>
    <w:rsid w:val="008E67BA"/>
    <w:rsid w:val="008E68DC"/>
    <w:rsid w:val="008E6AE6"/>
    <w:rsid w:val="008E6D7A"/>
    <w:rsid w:val="008E6D8A"/>
    <w:rsid w:val="008E6ED2"/>
    <w:rsid w:val="008E6FA2"/>
    <w:rsid w:val="008E6FB4"/>
    <w:rsid w:val="008E7235"/>
    <w:rsid w:val="008E72C7"/>
    <w:rsid w:val="008E72E5"/>
    <w:rsid w:val="008E73B9"/>
    <w:rsid w:val="008E7461"/>
    <w:rsid w:val="008E75BC"/>
    <w:rsid w:val="008E765C"/>
    <w:rsid w:val="008E7738"/>
    <w:rsid w:val="008E7AF2"/>
    <w:rsid w:val="008E7C5A"/>
    <w:rsid w:val="008E7DFA"/>
    <w:rsid w:val="008E7E36"/>
    <w:rsid w:val="008E7EBD"/>
    <w:rsid w:val="008F0006"/>
    <w:rsid w:val="008F002A"/>
    <w:rsid w:val="008F0055"/>
    <w:rsid w:val="008F0073"/>
    <w:rsid w:val="008F0139"/>
    <w:rsid w:val="008F0383"/>
    <w:rsid w:val="008F03C6"/>
    <w:rsid w:val="008F06BE"/>
    <w:rsid w:val="008F0987"/>
    <w:rsid w:val="008F0A78"/>
    <w:rsid w:val="008F0D14"/>
    <w:rsid w:val="008F0D7A"/>
    <w:rsid w:val="008F0E46"/>
    <w:rsid w:val="008F0F86"/>
    <w:rsid w:val="008F11C4"/>
    <w:rsid w:val="008F1293"/>
    <w:rsid w:val="008F1332"/>
    <w:rsid w:val="008F13F7"/>
    <w:rsid w:val="008F147D"/>
    <w:rsid w:val="008F149E"/>
    <w:rsid w:val="008F14E3"/>
    <w:rsid w:val="008F1548"/>
    <w:rsid w:val="008F15FC"/>
    <w:rsid w:val="008F161F"/>
    <w:rsid w:val="008F1750"/>
    <w:rsid w:val="008F1776"/>
    <w:rsid w:val="008F1B91"/>
    <w:rsid w:val="008F1C1A"/>
    <w:rsid w:val="008F1C92"/>
    <w:rsid w:val="008F1F5A"/>
    <w:rsid w:val="008F207C"/>
    <w:rsid w:val="008F2416"/>
    <w:rsid w:val="008F259B"/>
    <w:rsid w:val="008F284E"/>
    <w:rsid w:val="008F2AA4"/>
    <w:rsid w:val="008F2AC8"/>
    <w:rsid w:val="008F2E60"/>
    <w:rsid w:val="008F2FF6"/>
    <w:rsid w:val="008F314C"/>
    <w:rsid w:val="008F32FE"/>
    <w:rsid w:val="008F3305"/>
    <w:rsid w:val="008F35AE"/>
    <w:rsid w:val="008F3737"/>
    <w:rsid w:val="008F37EF"/>
    <w:rsid w:val="008F386D"/>
    <w:rsid w:val="008F3880"/>
    <w:rsid w:val="008F388D"/>
    <w:rsid w:val="008F38AB"/>
    <w:rsid w:val="008F3B3C"/>
    <w:rsid w:val="008F3BC4"/>
    <w:rsid w:val="008F3D27"/>
    <w:rsid w:val="008F3DD4"/>
    <w:rsid w:val="008F3EAB"/>
    <w:rsid w:val="008F4136"/>
    <w:rsid w:val="008F42DB"/>
    <w:rsid w:val="008F4390"/>
    <w:rsid w:val="008F4437"/>
    <w:rsid w:val="008F471E"/>
    <w:rsid w:val="008F4777"/>
    <w:rsid w:val="008F480D"/>
    <w:rsid w:val="008F4A09"/>
    <w:rsid w:val="008F4B3E"/>
    <w:rsid w:val="008F4B8C"/>
    <w:rsid w:val="008F4C12"/>
    <w:rsid w:val="008F4E05"/>
    <w:rsid w:val="008F50DA"/>
    <w:rsid w:val="008F525D"/>
    <w:rsid w:val="008F53F8"/>
    <w:rsid w:val="008F54AD"/>
    <w:rsid w:val="008F54F6"/>
    <w:rsid w:val="008F54F7"/>
    <w:rsid w:val="008F557C"/>
    <w:rsid w:val="008F59A1"/>
    <w:rsid w:val="008F5A47"/>
    <w:rsid w:val="008F5B8C"/>
    <w:rsid w:val="008F5C1E"/>
    <w:rsid w:val="008F5D86"/>
    <w:rsid w:val="008F5DDF"/>
    <w:rsid w:val="008F5E0F"/>
    <w:rsid w:val="008F5ED1"/>
    <w:rsid w:val="008F5F20"/>
    <w:rsid w:val="008F5F7B"/>
    <w:rsid w:val="008F5FF6"/>
    <w:rsid w:val="008F606C"/>
    <w:rsid w:val="008F60E0"/>
    <w:rsid w:val="008F6127"/>
    <w:rsid w:val="008F612C"/>
    <w:rsid w:val="008F6371"/>
    <w:rsid w:val="008F6385"/>
    <w:rsid w:val="008F66B3"/>
    <w:rsid w:val="008F6784"/>
    <w:rsid w:val="008F67D8"/>
    <w:rsid w:val="008F68A7"/>
    <w:rsid w:val="008F68EC"/>
    <w:rsid w:val="008F6A9E"/>
    <w:rsid w:val="008F6C21"/>
    <w:rsid w:val="008F6C42"/>
    <w:rsid w:val="008F6DAF"/>
    <w:rsid w:val="008F6DB6"/>
    <w:rsid w:val="008F6F9B"/>
    <w:rsid w:val="008F72AD"/>
    <w:rsid w:val="008F7434"/>
    <w:rsid w:val="008F748C"/>
    <w:rsid w:val="008F75A8"/>
    <w:rsid w:val="008F75E8"/>
    <w:rsid w:val="008F76F6"/>
    <w:rsid w:val="008F771D"/>
    <w:rsid w:val="008F77F5"/>
    <w:rsid w:val="008F7904"/>
    <w:rsid w:val="008F7932"/>
    <w:rsid w:val="008F7B81"/>
    <w:rsid w:val="008F7CF9"/>
    <w:rsid w:val="008F7FDB"/>
    <w:rsid w:val="0090001F"/>
    <w:rsid w:val="00900276"/>
    <w:rsid w:val="00900318"/>
    <w:rsid w:val="00900419"/>
    <w:rsid w:val="009005AB"/>
    <w:rsid w:val="009008A9"/>
    <w:rsid w:val="0090092D"/>
    <w:rsid w:val="00900C1F"/>
    <w:rsid w:val="00900CC5"/>
    <w:rsid w:val="00900EAC"/>
    <w:rsid w:val="00900FA3"/>
    <w:rsid w:val="00900FCC"/>
    <w:rsid w:val="0090103B"/>
    <w:rsid w:val="009010A2"/>
    <w:rsid w:val="009010CF"/>
    <w:rsid w:val="00901129"/>
    <w:rsid w:val="009011FB"/>
    <w:rsid w:val="00901356"/>
    <w:rsid w:val="009013AA"/>
    <w:rsid w:val="00901485"/>
    <w:rsid w:val="009014BF"/>
    <w:rsid w:val="0090161D"/>
    <w:rsid w:val="009016D8"/>
    <w:rsid w:val="0090175F"/>
    <w:rsid w:val="00901922"/>
    <w:rsid w:val="0090199C"/>
    <w:rsid w:val="00901B15"/>
    <w:rsid w:val="00901DC3"/>
    <w:rsid w:val="00901E22"/>
    <w:rsid w:val="00901E66"/>
    <w:rsid w:val="00901E70"/>
    <w:rsid w:val="0090220E"/>
    <w:rsid w:val="0090228C"/>
    <w:rsid w:val="00902352"/>
    <w:rsid w:val="0090237D"/>
    <w:rsid w:val="009024F3"/>
    <w:rsid w:val="00902599"/>
    <w:rsid w:val="00902808"/>
    <w:rsid w:val="009028CC"/>
    <w:rsid w:val="00902F05"/>
    <w:rsid w:val="00902FAE"/>
    <w:rsid w:val="009031A6"/>
    <w:rsid w:val="009031D1"/>
    <w:rsid w:val="009035BD"/>
    <w:rsid w:val="009036A9"/>
    <w:rsid w:val="009036D4"/>
    <w:rsid w:val="009036E4"/>
    <w:rsid w:val="00903810"/>
    <w:rsid w:val="009038B5"/>
    <w:rsid w:val="00903A2A"/>
    <w:rsid w:val="00903CAF"/>
    <w:rsid w:val="00903D16"/>
    <w:rsid w:val="00903E0E"/>
    <w:rsid w:val="00903EFC"/>
    <w:rsid w:val="00904018"/>
    <w:rsid w:val="0090403E"/>
    <w:rsid w:val="009040A7"/>
    <w:rsid w:val="009041A9"/>
    <w:rsid w:val="009041AC"/>
    <w:rsid w:val="0090427F"/>
    <w:rsid w:val="00904424"/>
    <w:rsid w:val="0090444A"/>
    <w:rsid w:val="009044DB"/>
    <w:rsid w:val="00904607"/>
    <w:rsid w:val="009047E9"/>
    <w:rsid w:val="00904982"/>
    <w:rsid w:val="00904C21"/>
    <w:rsid w:val="00904CCE"/>
    <w:rsid w:val="00904D0C"/>
    <w:rsid w:val="00904E5B"/>
    <w:rsid w:val="00904ED4"/>
    <w:rsid w:val="00904EFE"/>
    <w:rsid w:val="00904F33"/>
    <w:rsid w:val="00904FD3"/>
    <w:rsid w:val="00905309"/>
    <w:rsid w:val="0090537B"/>
    <w:rsid w:val="009053CB"/>
    <w:rsid w:val="009053ED"/>
    <w:rsid w:val="00905419"/>
    <w:rsid w:val="009054B9"/>
    <w:rsid w:val="009055AA"/>
    <w:rsid w:val="00905614"/>
    <w:rsid w:val="00905648"/>
    <w:rsid w:val="0090575F"/>
    <w:rsid w:val="009059E5"/>
    <w:rsid w:val="009059F3"/>
    <w:rsid w:val="00905A17"/>
    <w:rsid w:val="00905A1A"/>
    <w:rsid w:val="00905C2E"/>
    <w:rsid w:val="00905C41"/>
    <w:rsid w:val="00905D43"/>
    <w:rsid w:val="00905E5A"/>
    <w:rsid w:val="00905EC1"/>
    <w:rsid w:val="00905F24"/>
    <w:rsid w:val="0090624D"/>
    <w:rsid w:val="009062E8"/>
    <w:rsid w:val="00906462"/>
    <w:rsid w:val="009064C2"/>
    <w:rsid w:val="00906527"/>
    <w:rsid w:val="00906893"/>
    <w:rsid w:val="00906AA5"/>
    <w:rsid w:val="00906AF0"/>
    <w:rsid w:val="00906BC2"/>
    <w:rsid w:val="00906D50"/>
    <w:rsid w:val="00906D6B"/>
    <w:rsid w:val="00906FB5"/>
    <w:rsid w:val="00907089"/>
    <w:rsid w:val="009070DE"/>
    <w:rsid w:val="009072BE"/>
    <w:rsid w:val="009073A9"/>
    <w:rsid w:val="0090749A"/>
    <w:rsid w:val="009074A8"/>
    <w:rsid w:val="00907528"/>
    <w:rsid w:val="00907695"/>
    <w:rsid w:val="00907A20"/>
    <w:rsid w:val="00907B54"/>
    <w:rsid w:val="00907BB5"/>
    <w:rsid w:val="00907D55"/>
    <w:rsid w:val="00907E40"/>
    <w:rsid w:val="00907EDC"/>
    <w:rsid w:val="0091000F"/>
    <w:rsid w:val="0091010F"/>
    <w:rsid w:val="00910165"/>
    <w:rsid w:val="009102B1"/>
    <w:rsid w:val="0091033C"/>
    <w:rsid w:val="009103CA"/>
    <w:rsid w:val="009106F1"/>
    <w:rsid w:val="00910CB1"/>
    <w:rsid w:val="00910D57"/>
    <w:rsid w:val="00910DFD"/>
    <w:rsid w:val="00910E3A"/>
    <w:rsid w:val="00911038"/>
    <w:rsid w:val="0091123A"/>
    <w:rsid w:val="00911322"/>
    <w:rsid w:val="00911452"/>
    <w:rsid w:val="009114FA"/>
    <w:rsid w:val="009115E1"/>
    <w:rsid w:val="009116D5"/>
    <w:rsid w:val="009117CB"/>
    <w:rsid w:val="009118B4"/>
    <w:rsid w:val="00911986"/>
    <w:rsid w:val="00911989"/>
    <w:rsid w:val="00911BB6"/>
    <w:rsid w:val="00911CA4"/>
    <w:rsid w:val="00911E1F"/>
    <w:rsid w:val="00911EA8"/>
    <w:rsid w:val="009120FE"/>
    <w:rsid w:val="00912171"/>
    <w:rsid w:val="00912256"/>
    <w:rsid w:val="0091225B"/>
    <w:rsid w:val="00912299"/>
    <w:rsid w:val="00912329"/>
    <w:rsid w:val="0091244D"/>
    <w:rsid w:val="00912563"/>
    <w:rsid w:val="00912638"/>
    <w:rsid w:val="009126D1"/>
    <w:rsid w:val="00912BA9"/>
    <w:rsid w:val="00912C7B"/>
    <w:rsid w:val="00912D14"/>
    <w:rsid w:val="00912DE7"/>
    <w:rsid w:val="00912E58"/>
    <w:rsid w:val="00912E73"/>
    <w:rsid w:val="0091303A"/>
    <w:rsid w:val="0091322D"/>
    <w:rsid w:val="00913314"/>
    <w:rsid w:val="0091336C"/>
    <w:rsid w:val="0091349D"/>
    <w:rsid w:val="009134ED"/>
    <w:rsid w:val="009135FB"/>
    <w:rsid w:val="00913654"/>
    <w:rsid w:val="00913788"/>
    <w:rsid w:val="0091389D"/>
    <w:rsid w:val="00913997"/>
    <w:rsid w:val="00913BC2"/>
    <w:rsid w:val="00913CA7"/>
    <w:rsid w:val="00913F2C"/>
    <w:rsid w:val="00914005"/>
    <w:rsid w:val="009141DA"/>
    <w:rsid w:val="009142EC"/>
    <w:rsid w:val="0091483E"/>
    <w:rsid w:val="009148E9"/>
    <w:rsid w:val="009148EB"/>
    <w:rsid w:val="009149B5"/>
    <w:rsid w:val="00914A8A"/>
    <w:rsid w:val="00914A99"/>
    <w:rsid w:val="00914D5D"/>
    <w:rsid w:val="00914E12"/>
    <w:rsid w:val="0091505E"/>
    <w:rsid w:val="00915135"/>
    <w:rsid w:val="009153FF"/>
    <w:rsid w:val="00915411"/>
    <w:rsid w:val="009154F6"/>
    <w:rsid w:val="00915692"/>
    <w:rsid w:val="0091575B"/>
    <w:rsid w:val="00915844"/>
    <w:rsid w:val="00915961"/>
    <w:rsid w:val="009159C4"/>
    <w:rsid w:val="00915B40"/>
    <w:rsid w:val="00915FF6"/>
    <w:rsid w:val="00916009"/>
    <w:rsid w:val="00916560"/>
    <w:rsid w:val="00916827"/>
    <w:rsid w:val="00916836"/>
    <w:rsid w:val="0091687E"/>
    <w:rsid w:val="00916946"/>
    <w:rsid w:val="00916A3F"/>
    <w:rsid w:val="00916C4F"/>
    <w:rsid w:val="00916FFD"/>
    <w:rsid w:val="009171BB"/>
    <w:rsid w:val="009171BD"/>
    <w:rsid w:val="00917301"/>
    <w:rsid w:val="00917666"/>
    <w:rsid w:val="0091766E"/>
    <w:rsid w:val="00917769"/>
    <w:rsid w:val="00917869"/>
    <w:rsid w:val="0091794E"/>
    <w:rsid w:val="00917A4B"/>
    <w:rsid w:val="00917BBF"/>
    <w:rsid w:val="00917BD3"/>
    <w:rsid w:val="00917CF1"/>
    <w:rsid w:val="00917D3B"/>
    <w:rsid w:val="00917D50"/>
    <w:rsid w:val="00917DCA"/>
    <w:rsid w:val="00917EB1"/>
    <w:rsid w:val="009200F7"/>
    <w:rsid w:val="0092032D"/>
    <w:rsid w:val="00920456"/>
    <w:rsid w:val="009204C7"/>
    <w:rsid w:val="0092054D"/>
    <w:rsid w:val="00920957"/>
    <w:rsid w:val="00920A00"/>
    <w:rsid w:val="00920C20"/>
    <w:rsid w:val="00920F86"/>
    <w:rsid w:val="00920FB6"/>
    <w:rsid w:val="009210B2"/>
    <w:rsid w:val="009210FE"/>
    <w:rsid w:val="0092116C"/>
    <w:rsid w:val="0092123A"/>
    <w:rsid w:val="009214BC"/>
    <w:rsid w:val="0092153A"/>
    <w:rsid w:val="0092155E"/>
    <w:rsid w:val="00921664"/>
    <w:rsid w:val="00921ABD"/>
    <w:rsid w:val="00921CE6"/>
    <w:rsid w:val="00921D8D"/>
    <w:rsid w:val="00921F3C"/>
    <w:rsid w:val="00921FA0"/>
    <w:rsid w:val="00921FC8"/>
    <w:rsid w:val="00922163"/>
    <w:rsid w:val="009221A0"/>
    <w:rsid w:val="009221A9"/>
    <w:rsid w:val="009222D1"/>
    <w:rsid w:val="009222E3"/>
    <w:rsid w:val="009224FC"/>
    <w:rsid w:val="009225E5"/>
    <w:rsid w:val="00922705"/>
    <w:rsid w:val="009228E1"/>
    <w:rsid w:val="009229E9"/>
    <w:rsid w:val="00922BD1"/>
    <w:rsid w:val="00922CC5"/>
    <w:rsid w:val="00922D86"/>
    <w:rsid w:val="00922DDC"/>
    <w:rsid w:val="00922DE5"/>
    <w:rsid w:val="00922FF6"/>
    <w:rsid w:val="00923016"/>
    <w:rsid w:val="009230AB"/>
    <w:rsid w:val="00923485"/>
    <w:rsid w:val="00923543"/>
    <w:rsid w:val="009235EE"/>
    <w:rsid w:val="009237BA"/>
    <w:rsid w:val="00923897"/>
    <w:rsid w:val="009238CD"/>
    <w:rsid w:val="00923AFC"/>
    <w:rsid w:val="00923B18"/>
    <w:rsid w:val="00923C25"/>
    <w:rsid w:val="00923D50"/>
    <w:rsid w:val="00923DA3"/>
    <w:rsid w:val="00923E32"/>
    <w:rsid w:val="00923EAE"/>
    <w:rsid w:val="00923EC1"/>
    <w:rsid w:val="00923F4E"/>
    <w:rsid w:val="00923FC6"/>
    <w:rsid w:val="00923FE1"/>
    <w:rsid w:val="00923FF0"/>
    <w:rsid w:val="009241C5"/>
    <w:rsid w:val="009241F8"/>
    <w:rsid w:val="009242ED"/>
    <w:rsid w:val="009243A3"/>
    <w:rsid w:val="009247DD"/>
    <w:rsid w:val="00924C15"/>
    <w:rsid w:val="0092500A"/>
    <w:rsid w:val="009252A6"/>
    <w:rsid w:val="009252B8"/>
    <w:rsid w:val="00925487"/>
    <w:rsid w:val="009254A2"/>
    <w:rsid w:val="009254FE"/>
    <w:rsid w:val="0092589F"/>
    <w:rsid w:val="00925A68"/>
    <w:rsid w:val="00925C74"/>
    <w:rsid w:val="00925DC3"/>
    <w:rsid w:val="0092601A"/>
    <w:rsid w:val="00926202"/>
    <w:rsid w:val="00926353"/>
    <w:rsid w:val="009263C9"/>
    <w:rsid w:val="0092693A"/>
    <w:rsid w:val="00926B67"/>
    <w:rsid w:val="00926CA6"/>
    <w:rsid w:val="00926CBC"/>
    <w:rsid w:val="00926D9E"/>
    <w:rsid w:val="00926E2C"/>
    <w:rsid w:val="00926EFF"/>
    <w:rsid w:val="00927033"/>
    <w:rsid w:val="00927050"/>
    <w:rsid w:val="00927116"/>
    <w:rsid w:val="009271A8"/>
    <w:rsid w:val="00927338"/>
    <w:rsid w:val="00927399"/>
    <w:rsid w:val="00927488"/>
    <w:rsid w:val="009274A6"/>
    <w:rsid w:val="009275FF"/>
    <w:rsid w:val="0092783D"/>
    <w:rsid w:val="009278E3"/>
    <w:rsid w:val="00927A89"/>
    <w:rsid w:val="00927F13"/>
    <w:rsid w:val="00927F3A"/>
    <w:rsid w:val="00927FBF"/>
    <w:rsid w:val="00930211"/>
    <w:rsid w:val="0093024F"/>
    <w:rsid w:val="009305A0"/>
    <w:rsid w:val="009305AC"/>
    <w:rsid w:val="009308C4"/>
    <w:rsid w:val="009308FF"/>
    <w:rsid w:val="00930ACC"/>
    <w:rsid w:val="00930AF9"/>
    <w:rsid w:val="00930B38"/>
    <w:rsid w:val="00930C80"/>
    <w:rsid w:val="00930D06"/>
    <w:rsid w:val="00930E4D"/>
    <w:rsid w:val="00930E63"/>
    <w:rsid w:val="009310F9"/>
    <w:rsid w:val="009312FD"/>
    <w:rsid w:val="00931538"/>
    <w:rsid w:val="0093162E"/>
    <w:rsid w:val="009316A9"/>
    <w:rsid w:val="00931817"/>
    <w:rsid w:val="00931AC3"/>
    <w:rsid w:val="00931ACF"/>
    <w:rsid w:val="00931C5D"/>
    <w:rsid w:val="00931CDD"/>
    <w:rsid w:val="00931DB0"/>
    <w:rsid w:val="00931DDE"/>
    <w:rsid w:val="00931EE7"/>
    <w:rsid w:val="00932083"/>
    <w:rsid w:val="009324BF"/>
    <w:rsid w:val="00932538"/>
    <w:rsid w:val="009325F1"/>
    <w:rsid w:val="009326BE"/>
    <w:rsid w:val="009326F1"/>
    <w:rsid w:val="009328B4"/>
    <w:rsid w:val="00932968"/>
    <w:rsid w:val="00932A1B"/>
    <w:rsid w:val="00932BE1"/>
    <w:rsid w:val="00932E07"/>
    <w:rsid w:val="00932E1F"/>
    <w:rsid w:val="00932E9D"/>
    <w:rsid w:val="00933199"/>
    <w:rsid w:val="00933512"/>
    <w:rsid w:val="0093354E"/>
    <w:rsid w:val="0093375C"/>
    <w:rsid w:val="0093380F"/>
    <w:rsid w:val="009339DC"/>
    <w:rsid w:val="00933AB9"/>
    <w:rsid w:val="00933D47"/>
    <w:rsid w:val="00934271"/>
    <w:rsid w:val="0093428C"/>
    <w:rsid w:val="0093431E"/>
    <w:rsid w:val="00934361"/>
    <w:rsid w:val="009343E3"/>
    <w:rsid w:val="0093467D"/>
    <w:rsid w:val="009346A2"/>
    <w:rsid w:val="00934844"/>
    <w:rsid w:val="00934856"/>
    <w:rsid w:val="00934A9C"/>
    <w:rsid w:val="00934B7A"/>
    <w:rsid w:val="00934D0C"/>
    <w:rsid w:val="00934F9B"/>
    <w:rsid w:val="0093529E"/>
    <w:rsid w:val="0093533F"/>
    <w:rsid w:val="009353E3"/>
    <w:rsid w:val="00935547"/>
    <w:rsid w:val="009356F5"/>
    <w:rsid w:val="0093595E"/>
    <w:rsid w:val="00935ACC"/>
    <w:rsid w:val="00935B7C"/>
    <w:rsid w:val="00935C61"/>
    <w:rsid w:val="00935D14"/>
    <w:rsid w:val="0093603C"/>
    <w:rsid w:val="009361C7"/>
    <w:rsid w:val="0093620D"/>
    <w:rsid w:val="00936384"/>
    <w:rsid w:val="009364CD"/>
    <w:rsid w:val="00936583"/>
    <w:rsid w:val="0093677E"/>
    <w:rsid w:val="009367BC"/>
    <w:rsid w:val="00936929"/>
    <w:rsid w:val="0093698B"/>
    <w:rsid w:val="00936A1B"/>
    <w:rsid w:val="00936B36"/>
    <w:rsid w:val="00937052"/>
    <w:rsid w:val="00937083"/>
    <w:rsid w:val="009371EF"/>
    <w:rsid w:val="00937268"/>
    <w:rsid w:val="009374EF"/>
    <w:rsid w:val="0093756D"/>
    <w:rsid w:val="00937692"/>
    <w:rsid w:val="009376F6"/>
    <w:rsid w:val="009377F0"/>
    <w:rsid w:val="009378CA"/>
    <w:rsid w:val="00937A86"/>
    <w:rsid w:val="00937C72"/>
    <w:rsid w:val="00937CB4"/>
    <w:rsid w:val="00937CC3"/>
    <w:rsid w:val="00937FC6"/>
    <w:rsid w:val="0094006A"/>
    <w:rsid w:val="009400C0"/>
    <w:rsid w:val="00940163"/>
    <w:rsid w:val="00940210"/>
    <w:rsid w:val="009403BC"/>
    <w:rsid w:val="009404B8"/>
    <w:rsid w:val="009405A4"/>
    <w:rsid w:val="009405F5"/>
    <w:rsid w:val="00940694"/>
    <w:rsid w:val="00940AA2"/>
    <w:rsid w:val="00940E16"/>
    <w:rsid w:val="00940F92"/>
    <w:rsid w:val="0094115C"/>
    <w:rsid w:val="00941236"/>
    <w:rsid w:val="0094142E"/>
    <w:rsid w:val="0094144D"/>
    <w:rsid w:val="00941793"/>
    <w:rsid w:val="00941813"/>
    <w:rsid w:val="00941889"/>
    <w:rsid w:val="009418BC"/>
    <w:rsid w:val="00941ACD"/>
    <w:rsid w:val="00941B46"/>
    <w:rsid w:val="00941B4E"/>
    <w:rsid w:val="00941C28"/>
    <w:rsid w:val="00941CD1"/>
    <w:rsid w:val="00941CE1"/>
    <w:rsid w:val="00941D5B"/>
    <w:rsid w:val="00941E56"/>
    <w:rsid w:val="00941E93"/>
    <w:rsid w:val="00941FAE"/>
    <w:rsid w:val="009420BB"/>
    <w:rsid w:val="00942170"/>
    <w:rsid w:val="00942187"/>
    <w:rsid w:val="009421D2"/>
    <w:rsid w:val="009421E4"/>
    <w:rsid w:val="009425D4"/>
    <w:rsid w:val="009428D0"/>
    <w:rsid w:val="009429F3"/>
    <w:rsid w:val="00942B69"/>
    <w:rsid w:val="00942C39"/>
    <w:rsid w:val="00942C3B"/>
    <w:rsid w:val="00942CD8"/>
    <w:rsid w:val="00942E49"/>
    <w:rsid w:val="00942ED8"/>
    <w:rsid w:val="00942FD3"/>
    <w:rsid w:val="009430BA"/>
    <w:rsid w:val="00943113"/>
    <w:rsid w:val="009432BB"/>
    <w:rsid w:val="009432F1"/>
    <w:rsid w:val="009434AA"/>
    <w:rsid w:val="009434FD"/>
    <w:rsid w:val="009435EE"/>
    <w:rsid w:val="00943830"/>
    <w:rsid w:val="009438F1"/>
    <w:rsid w:val="00943A26"/>
    <w:rsid w:val="00943B93"/>
    <w:rsid w:val="00943CFD"/>
    <w:rsid w:val="00943D4F"/>
    <w:rsid w:val="00943E04"/>
    <w:rsid w:val="00943FB5"/>
    <w:rsid w:val="00944168"/>
    <w:rsid w:val="00944474"/>
    <w:rsid w:val="009449DB"/>
    <w:rsid w:val="009449E7"/>
    <w:rsid w:val="00944CF2"/>
    <w:rsid w:val="00944F5A"/>
    <w:rsid w:val="00944F65"/>
    <w:rsid w:val="00944F76"/>
    <w:rsid w:val="00944FF0"/>
    <w:rsid w:val="009450EE"/>
    <w:rsid w:val="0094510B"/>
    <w:rsid w:val="0094518A"/>
    <w:rsid w:val="0094533F"/>
    <w:rsid w:val="00945372"/>
    <w:rsid w:val="0094537C"/>
    <w:rsid w:val="0094551E"/>
    <w:rsid w:val="0094555B"/>
    <w:rsid w:val="0094580D"/>
    <w:rsid w:val="00945A4D"/>
    <w:rsid w:val="00945B8A"/>
    <w:rsid w:val="00945CB1"/>
    <w:rsid w:val="00945D38"/>
    <w:rsid w:val="00945D70"/>
    <w:rsid w:val="00945DC9"/>
    <w:rsid w:val="00945E07"/>
    <w:rsid w:val="00945EEB"/>
    <w:rsid w:val="009460F0"/>
    <w:rsid w:val="00946103"/>
    <w:rsid w:val="00946108"/>
    <w:rsid w:val="009462FA"/>
    <w:rsid w:val="00946503"/>
    <w:rsid w:val="00946704"/>
    <w:rsid w:val="00946793"/>
    <w:rsid w:val="009467E3"/>
    <w:rsid w:val="00946962"/>
    <w:rsid w:val="00946DC8"/>
    <w:rsid w:val="00946E54"/>
    <w:rsid w:val="0094707D"/>
    <w:rsid w:val="009470CB"/>
    <w:rsid w:val="00947230"/>
    <w:rsid w:val="009474AA"/>
    <w:rsid w:val="00947742"/>
    <w:rsid w:val="00947919"/>
    <w:rsid w:val="009479BD"/>
    <w:rsid w:val="00947B1A"/>
    <w:rsid w:val="00947B51"/>
    <w:rsid w:val="00947B90"/>
    <w:rsid w:val="00947DF8"/>
    <w:rsid w:val="00947EEC"/>
    <w:rsid w:val="0095004D"/>
    <w:rsid w:val="0095005F"/>
    <w:rsid w:val="00950118"/>
    <w:rsid w:val="00950125"/>
    <w:rsid w:val="009501D2"/>
    <w:rsid w:val="009503F4"/>
    <w:rsid w:val="009505B4"/>
    <w:rsid w:val="009507BD"/>
    <w:rsid w:val="009508FC"/>
    <w:rsid w:val="00950923"/>
    <w:rsid w:val="00950A07"/>
    <w:rsid w:val="00950B3B"/>
    <w:rsid w:val="00950E6E"/>
    <w:rsid w:val="00950F8E"/>
    <w:rsid w:val="0095107E"/>
    <w:rsid w:val="0095113C"/>
    <w:rsid w:val="0095133D"/>
    <w:rsid w:val="00951617"/>
    <w:rsid w:val="0095163C"/>
    <w:rsid w:val="009516D4"/>
    <w:rsid w:val="00951804"/>
    <w:rsid w:val="00951867"/>
    <w:rsid w:val="00951C5C"/>
    <w:rsid w:val="00952012"/>
    <w:rsid w:val="00952079"/>
    <w:rsid w:val="009520EE"/>
    <w:rsid w:val="00952440"/>
    <w:rsid w:val="0095244F"/>
    <w:rsid w:val="0095247E"/>
    <w:rsid w:val="009528DB"/>
    <w:rsid w:val="00952A42"/>
    <w:rsid w:val="00952BBD"/>
    <w:rsid w:val="00952D3F"/>
    <w:rsid w:val="00952DAA"/>
    <w:rsid w:val="00952FA4"/>
    <w:rsid w:val="009530A8"/>
    <w:rsid w:val="009532D7"/>
    <w:rsid w:val="009533F7"/>
    <w:rsid w:val="0095366B"/>
    <w:rsid w:val="009537EB"/>
    <w:rsid w:val="0095387C"/>
    <w:rsid w:val="00953890"/>
    <w:rsid w:val="009539B4"/>
    <w:rsid w:val="009539C6"/>
    <w:rsid w:val="00953BA5"/>
    <w:rsid w:val="00953C2F"/>
    <w:rsid w:val="00953C3B"/>
    <w:rsid w:val="0095403F"/>
    <w:rsid w:val="00954199"/>
    <w:rsid w:val="009541A4"/>
    <w:rsid w:val="009541FC"/>
    <w:rsid w:val="00954368"/>
    <w:rsid w:val="009543C4"/>
    <w:rsid w:val="00954431"/>
    <w:rsid w:val="009544F8"/>
    <w:rsid w:val="0095483C"/>
    <w:rsid w:val="00954C9F"/>
    <w:rsid w:val="00954CF0"/>
    <w:rsid w:val="00954F2A"/>
    <w:rsid w:val="00954FA9"/>
    <w:rsid w:val="00954FC8"/>
    <w:rsid w:val="009552FC"/>
    <w:rsid w:val="0095530C"/>
    <w:rsid w:val="009559B6"/>
    <w:rsid w:val="009559DA"/>
    <w:rsid w:val="00955B18"/>
    <w:rsid w:val="00955C21"/>
    <w:rsid w:val="00955C8D"/>
    <w:rsid w:val="00955CA7"/>
    <w:rsid w:val="00955D0D"/>
    <w:rsid w:val="00955FC8"/>
    <w:rsid w:val="00955FDF"/>
    <w:rsid w:val="0095618E"/>
    <w:rsid w:val="00956402"/>
    <w:rsid w:val="00956608"/>
    <w:rsid w:val="009566DE"/>
    <w:rsid w:val="0095693B"/>
    <w:rsid w:val="00956C6C"/>
    <w:rsid w:val="00956C93"/>
    <w:rsid w:val="00956CDF"/>
    <w:rsid w:val="00956CEF"/>
    <w:rsid w:val="00956E29"/>
    <w:rsid w:val="00956E9E"/>
    <w:rsid w:val="00956F59"/>
    <w:rsid w:val="00957118"/>
    <w:rsid w:val="00957260"/>
    <w:rsid w:val="009572A0"/>
    <w:rsid w:val="009573A0"/>
    <w:rsid w:val="009574C1"/>
    <w:rsid w:val="00957663"/>
    <w:rsid w:val="00957679"/>
    <w:rsid w:val="00957848"/>
    <w:rsid w:val="009578B7"/>
    <w:rsid w:val="00957928"/>
    <w:rsid w:val="00957943"/>
    <w:rsid w:val="009579CC"/>
    <w:rsid w:val="00957A9A"/>
    <w:rsid w:val="00957ACA"/>
    <w:rsid w:val="00957BAC"/>
    <w:rsid w:val="00957D42"/>
    <w:rsid w:val="00957D73"/>
    <w:rsid w:val="00957E8D"/>
    <w:rsid w:val="00957F05"/>
    <w:rsid w:val="0096030F"/>
    <w:rsid w:val="0096039F"/>
    <w:rsid w:val="00960727"/>
    <w:rsid w:val="00960ADB"/>
    <w:rsid w:val="00960D05"/>
    <w:rsid w:val="00960E0D"/>
    <w:rsid w:val="00960F73"/>
    <w:rsid w:val="009612B4"/>
    <w:rsid w:val="00961355"/>
    <w:rsid w:val="00961522"/>
    <w:rsid w:val="009619AC"/>
    <w:rsid w:val="009619C5"/>
    <w:rsid w:val="00961B56"/>
    <w:rsid w:val="00961BFC"/>
    <w:rsid w:val="00961C8E"/>
    <w:rsid w:val="00961CC1"/>
    <w:rsid w:val="00961D5C"/>
    <w:rsid w:val="00961FCD"/>
    <w:rsid w:val="0096204D"/>
    <w:rsid w:val="009620AB"/>
    <w:rsid w:val="009622F7"/>
    <w:rsid w:val="009623B7"/>
    <w:rsid w:val="009623F0"/>
    <w:rsid w:val="00962401"/>
    <w:rsid w:val="009624A5"/>
    <w:rsid w:val="00962579"/>
    <w:rsid w:val="00962580"/>
    <w:rsid w:val="009626F7"/>
    <w:rsid w:val="00962804"/>
    <w:rsid w:val="0096299D"/>
    <w:rsid w:val="00962A50"/>
    <w:rsid w:val="00962C05"/>
    <w:rsid w:val="00962C1D"/>
    <w:rsid w:val="00962CC5"/>
    <w:rsid w:val="00962F4E"/>
    <w:rsid w:val="00962FF1"/>
    <w:rsid w:val="009631DC"/>
    <w:rsid w:val="00963327"/>
    <w:rsid w:val="00963529"/>
    <w:rsid w:val="00963765"/>
    <w:rsid w:val="009638D9"/>
    <w:rsid w:val="009639DE"/>
    <w:rsid w:val="00963A1B"/>
    <w:rsid w:val="00963B21"/>
    <w:rsid w:val="00963BF8"/>
    <w:rsid w:val="00963CCF"/>
    <w:rsid w:val="00963F7B"/>
    <w:rsid w:val="00964068"/>
    <w:rsid w:val="0096412C"/>
    <w:rsid w:val="00964213"/>
    <w:rsid w:val="009642A7"/>
    <w:rsid w:val="00964300"/>
    <w:rsid w:val="00964422"/>
    <w:rsid w:val="009644DB"/>
    <w:rsid w:val="00964536"/>
    <w:rsid w:val="00964576"/>
    <w:rsid w:val="009646A0"/>
    <w:rsid w:val="0096496F"/>
    <w:rsid w:val="00964B61"/>
    <w:rsid w:val="00964D50"/>
    <w:rsid w:val="00964EDA"/>
    <w:rsid w:val="00964F7F"/>
    <w:rsid w:val="00964FE0"/>
    <w:rsid w:val="0096501D"/>
    <w:rsid w:val="00965091"/>
    <w:rsid w:val="00965150"/>
    <w:rsid w:val="00965168"/>
    <w:rsid w:val="00965298"/>
    <w:rsid w:val="009652BF"/>
    <w:rsid w:val="009652DB"/>
    <w:rsid w:val="009652F6"/>
    <w:rsid w:val="009654AB"/>
    <w:rsid w:val="009655E9"/>
    <w:rsid w:val="009655FC"/>
    <w:rsid w:val="00965702"/>
    <w:rsid w:val="009659DF"/>
    <w:rsid w:val="00965B23"/>
    <w:rsid w:val="00965B35"/>
    <w:rsid w:val="00965E68"/>
    <w:rsid w:val="00965F20"/>
    <w:rsid w:val="0096632D"/>
    <w:rsid w:val="009666AA"/>
    <w:rsid w:val="00966811"/>
    <w:rsid w:val="00966877"/>
    <w:rsid w:val="00966ABA"/>
    <w:rsid w:val="00966D91"/>
    <w:rsid w:val="00966E91"/>
    <w:rsid w:val="00966FFF"/>
    <w:rsid w:val="009673F9"/>
    <w:rsid w:val="00967488"/>
    <w:rsid w:val="009674C2"/>
    <w:rsid w:val="009675A3"/>
    <w:rsid w:val="009675A8"/>
    <w:rsid w:val="00967739"/>
    <w:rsid w:val="009677F4"/>
    <w:rsid w:val="00967867"/>
    <w:rsid w:val="0096788A"/>
    <w:rsid w:val="00967932"/>
    <w:rsid w:val="00967DE1"/>
    <w:rsid w:val="00970017"/>
    <w:rsid w:val="0097003D"/>
    <w:rsid w:val="0097007C"/>
    <w:rsid w:val="00970121"/>
    <w:rsid w:val="0097051E"/>
    <w:rsid w:val="009706FF"/>
    <w:rsid w:val="00970999"/>
    <w:rsid w:val="00970A5B"/>
    <w:rsid w:val="00970B37"/>
    <w:rsid w:val="00970CAE"/>
    <w:rsid w:val="00970DE3"/>
    <w:rsid w:val="00970ED4"/>
    <w:rsid w:val="00970F74"/>
    <w:rsid w:val="009710F3"/>
    <w:rsid w:val="009716A9"/>
    <w:rsid w:val="009716C5"/>
    <w:rsid w:val="00971789"/>
    <w:rsid w:val="009717F6"/>
    <w:rsid w:val="00971A03"/>
    <w:rsid w:val="00971B3A"/>
    <w:rsid w:val="00971BB4"/>
    <w:rsid w:val="00971BC2"/>
    <w:rsid w:val="00971CB8"/>
    <w:rsid w:val="00971DF0"/>
    <w:rsid w:val="00971DFF"/>
    <w:rsid w:val="00971EE4"/>
    <w:rsid w:val="00971EF0"/>
    <w:rsid w:val="00971F86"/>
    <w:rsid w:val="00972000"/>
    <w:rsid w:val="009722A9"/>
    <w:rsid w:val="009723F9"/>
    <w:rsid w:val="00972447"/>
    <w:rsid w:val="009724F5"/>
    <w:rsid w:val="0097264B"/>
    <w:rsid w:val="0097268B"/>
    <w:rsid w:val="00972759"/>
    <w:rsid w:val="00972798"/>
    <w:rsid w:val="0097283C"/>
    <w:rsid w:val="009728F1"/>
    <w:rsid w:val="00972C47"/>
    <w:rsid w:val="00972D0D"/>
    <w:rsid w:val="00972D81"/>
    <w:rsid w:val="00972E9E"/>
    <w:rsid w:val="00972EB3"/>
    <w:rsid w:val="00972EBC"/>
    <w:rsid w:val="00972F3E"/>
    <w:rsid w:val="00972FFF"/>
    <w:rsid w:val="009731AC"/>
    <w:rsid w:val="009731D8"/>
    <w:rsid w:val="009731FB"/>
    <w:rsid w:val="0097325E"/>
    <w:rsid w:val="00973301"/>
    <w:rsid w:val="00973388"/>
    <w:rsid w:val="00973483"/>
    <w:rsid w:val="009734C9"/>
    <w:rsid w:val="00973840"/>
    <w:rsid w:val="00973F6A"/>
    <w:rsid w:val="0097407D"/>
    <w:rsid w:val="00974216"/>
    <w:rsid w:val="00974382"/>
    <w:rsid w:val="00974578"/>
    <w:rsid w:val="0097460D"/>
    <w:rsid w:val="009747C8"/>
    <w:rsid w:val="009748D8"/>
    <w:rsid w:val="009748EE"/>
    <w:rsid w:val="00974982"/>
    <w:rsid w:val="009749AB"/>
    <w:rsid w:val="00974B42"/>
    <w:rsid w:val="00974B61"/>
    <w:rsid w:val="00974CE2"/>
    <w:rsid w:val="00974FBD"/>
    <w:rsid w:val="00975133"/>
    <w:rsid w:val="00975231"/>
    <w:rsid w:val="009753A1"/>
    <w:rsid w:val="009753F8"/>
    <w:rsid w:val="00975656"/>
    <w:rsid w:val="009756F7"/>
    <w:rsid w:val="00975710"/>
    <w:rsid w:val="00975717"/>
    <w:rsid w:val="00975759"/>
    <w:rsid w:val="00975A4D"/>
    <w:rsid w:val="00975AAB"/>
    <w:rsid w:val="00975BA0"/>
    <w:rsid w:val="00975E40"/>
    <w:rsid w:val="00976058"/>
    <w:rsid w:val="0097605B"/>
    <w:rsid w:val="009762AC"/>
    <w:rsid w:val="009762D2"/>
    <w:rsid w:val="0097637D"/>
    <w:rsid w:val="00976635"/>
    <w:rsid w:val="009768EA"/>
    <w:rsid w:val="0097690F"/>
    <w:rsid w:val="00976AA4"/>
    <w:rsid w:val="00976AE7"/>
    <w:rsid w:val="00976C03"/>
    <w:rsid w:val="00976DC1"/>
    <w:rsid w:val="00976E0D"/>
    <w:rsid w:val="00976E9C"/>
    <w:rsid w:val="00976EA5"/>
    <w:rsid w:val="009772C7"/>
    <w:rsid w:val="009779BD"/>
    <w:rsid w:val="00977A37"/>
    <w:rsid w:val="00977AD5"/>
    <w:rsid w:val="00977AE7"/>
    <w:rsid w:val="00977D15"/>
    <w:rsid w:val="00977DCD"/>
    <w:rsid w:val="00977E92"/>
    <w:rsid w:val="00977FC2"/>
    <w:rsid w:val="0098013F"/>
    <w:rsid w:val="00980141"/>
    <w:rsid w:val="00980250"/>
    <w:rsid w:val="009802FB"/>
    <w:rsid w:val="009804F2"/>
    <w:rsid w:val="0098066A"/>
    <w:rsid w:val="00980693"/>
    <w:rsid w:val="009807A2"/>
    <w:rsid w:val="0098090B"/>
    <w:rsid w:val="00980A9F"/>
    <w:rsid w:val="00980B52"/>
    <w:rsid w:val="00980BAF"/>
    <w:rsid w:val="00980D3E"/>
    <w:rsid w:val="00980D5B"/>
    <w:rsid w:val="0098126E"/>
    <w:rsid w:val="0098127F"/>
    <w:rsid w:val="009812AF"/>
    <w:rsid w:val="009812C9"/>
    <w:rsid w:val="009813AB"/>
    <w:rsid w:val="009813FD"/>
    <w:rsid w:val="00981420"/>
    <w:rsid w:val="00981493"/>
    <w:rsid w:val="00981522"/>
    <w:rsid w:val="00981586"/>
    <w:rsid w:val="009815D5"/>
    <w:rsid w:val="0098174C"/>
    <w:rsid w:val="00981920"/>
    <w:rsid w:val="00981A69"/>
    <w:rsid w:val="00981B33"/>
    <w:rsid w:val="00981D0A"/>
    <w:rsid w:val="00981EA3"/>
    <w:rsid w:val="00981ED5"/>
    <w:rsid w:val="0098200E"/>
    <w:rsid w:val="009820D8"/>
    <w:rsid w:val="0098224F"/>
    <w:rsid w:val="0098251E"/>
    <w:rsid w:val="00982572"/>
    <w:rsid w:val="00982945"/>
    <w:rsid w:val="00982B1C"/>
    <w:rsid w:val="00982E2D"/>
    <w:rsid w:val="00982EBA"/>
    <w:rsid w:val="00982F25"/>
    <w:rsid w:val="0098313C"/>
    <w:rsid w:val="0098343C"/>
    <w:rsid w:val="00983443"/>
    <w:rsid w:val="0098351B"/>
    <w:rsid w:val="009838F8"/>
    <w:rsid w:val="00983BE4"/>
    <w:rsid w:val="00983C46"/>
    <w:rsid w:val="00983C98"/>
    <w:rsid w:val="00983E4E"/>
    <w:rsid w:val="00984025"/>
    <w:rsid w:val="00984120"/>
    <w:rsid w:val="0098421E"/>
    <w:rsid w:val="00984457"/>
    <w:rsid w:val="009845A2"/>
    <w:rsid w:val="009845E4"/>
    <w:rsid w:val="00984725"/>
    <w:rsid w:val="009847E0"/>
    <w:rsid w:val="009848ED"/>
    <w:rsid w:val="0098498B"/>
    <w:rsid w:val="00984A4A"/>
    <w:rsid w:val="00984A7C"/>
    <w:rsid w:val="00984AB8"/>
    <w:rsid w:val="00984D19"/>
    <w:rsid w:val="00984FD8"/>
    <w:rsid w:val="009851A3"/>
    <w:rsid w:val="009852C5"/>
    <w:rsid w:val="0098537A"/>
    <w:rsid w:val="00985383"/>
    <w:rsid w:val="00985465"/>
    <w:rsid w:val="009854EF"/>
    <w:rsid w:val="009858A0"/>
    <w:rsid w:val="009859A4"/>
    <w:rsid w:val="00985ACA"/>
    <w:rsid w:val="00985BA7"/>
    <w:rsid w:val="00985C76"/>
    <w:rsid w:val="00985DDA"/>
    <w:rsid w:val="0098649F"/>
    <w:rsid w:val="009864BC"/>
    <w:rsid w:val="0098670A"/>
    <w:rsid w:val="009867FF"/>
    <w:rsid w:val="00986B4A"/>
    <w:rsid w:val="00986D2C"/>
    <w:rsid w:val="00986D6E"/>
    <w:rsid w:val="00986DBA"/>
    <w:rsid w:val="00986E22"/>
    <w:rsid w:val="00986F99"/>
    <w:rsid w:val="009871DD"/>
    <w:rsid w:val="00987420"/>
    <w:rsid w:val="0098755A"/>
    <w:rsid w:val="009878C4"/>
    <w:rsid w:val="00987C0A"/>
    <w:rsid w:val="00987C34"/>
    <w:rsid w:val="00987C3A"/>
    <w:rsid w:val="00987C9E"/>
    <w:rsid w:val="00987E28"/>
    <w:rsid w:val="00987E6C"/>
    <w:rsid w:val="00987F04"/>
    <w:rsid w:val="00987FCD"/>
    <w:rsid w:val="00990035"/>
    <w:rsid w:val="009901F1"/>
    <w:rsid w:val="00990326"/>
    <w:rsid w:val="009903E1"/>
    <w:rsid w:val="009903FD"/>
    <w:rsid w:val="009905D1"/>
    <w:rsid w:val="00990636"/>
    <w:rsid w:val="00990771"/>
    <w:rsid w:val="009907D7"/>
    <w:rsid w:val="00990843"/>
    <w:rsid w:val="009908E6"/>
    <w:rsid w:val="00990953"/>
    <w:rsid w:val="00990CF7"/>
    <w:rsid w:val="00990D1C"/>
    <w:rsid w:val="00990D93"/>
    <w:rsid w:val="00990E93"/>
    <w:rsid w:val="00990EC6"/>
    <w:rsid w:val="009911B7"/>
    <w:rsid w:val="00991374"/>
    <w:rsid w:val="009913F6"/>
    <w:rsid w:val="0099140D"/>
    <w:rsid w:val="009916A5"/>
    <w:rsid w:val="00991941"/>
    <w:rsid w:val="00991A56"/>
    <w:rsid w:val="00991A64"/>
    <w:rsid w:val="00991ACC"/>
    <w:rsid w:val="00991B2F"/>
    <w:rsid w:val="00991B9C"/>
    <w:rsid w:val="00991C3F"/>
    <w:rsid w:val="00991C74"/>
    <w:rsid w:val="00991D75"/>
    <w:rsid w:val="00991ECF"/>
    <w:rsid w:val="00991EDE"/>
    <w:rsid w:val="00991F84"/>
    <w:rsid w:val="00991FBE"/>
    <w:rsid w:val="009920C2"/>
    <w:rsid w:val="0099246E"/>
    <w:rsid w:val="009924B5"/>
    <w:rsid w:val="0099250B"/>
    <w:rsid w:val="00992661"/>
    <w:rsid w:val="0099273F"/>
    <w:rsid w:val="00992B4F"/>
    <w:rsid w:val="00992ED6"/>
    <w:rsid w:val="00992F35"/>
    <w:rsid w:val="009930DD"/>
    <w:rsid w:val="00993142"/>
    <w:rsid w:val="0099321F"/>
    <w:rsid w:val="009937EC"/>
    <w:rsid w:val="009937FC"/>
    <w:rsid w:val="00993A2F"/>
    <w:rsid w:val="00993B77"/>
    <w:rsid w:val="00993BA9"/>
    <w:rsid w:val="00993C40"/>
    <w:rsid w:val="00993DDC"/>
    <w:rsid w:val="00994069"/>
    <w:rsid w:val="009940FE"/>
    <w:rsid w:val="009942C6"/>
    <w:rsid w:val="00994425"/>
    <w:rsid w:val="009944C5"/>
    <w:rsid w:val="00994A7F"/>
    <w:rsid w:val="00994C2A"/>
    <w:rsid w:val="00994CEE"/>
    <w:rsid w:val="00994D0B"/>
    <w:rsid w:val="00994FB8"/>
    <w:rsid w:val="0099525D"/>
    <w:rsid w:val="009952C1"/>
    <w:rsid w:val="009954B8"/>
    <w:rsid w:val="009954CE"/>
    <w:rsid w:val="00995604"/>
    <w:rsid w:val="009956C7"/>
    <w:rsid w:val="00995826"/>
    <w:rsid w:val="009958EF"/>
    <w:rsid w:val="00995977"/>
    <w:rsid w:val="00995B22"/>
    <w:rsid w:val="00995F0D"/>
    <w:rsid w:val="009960BA"/>
    <w:rsid w:val="009961D1"/>
    <w:rsid w:val="0099641B"/>
    <w:rsid w:val="009965A8"/>
    <w:rsid w:val="00996634"/>
    <w:rsid w:val="00996685"/>
    <w:rsid w:val="00996747"/>
    <w:rsid w:val="009969EB"/>
    <w:rsid w:val="00996B44"/>
    <w:rsid w:val="00996FB4"/>
    <w:rsid w:val="00997000"/>
    <w:rsid w:val="0099725E"/>
    <w:rsid w:val="009972F2"/>
    <w:rsid w:val="009974F2"/>
    <w:rsid w:val="00997507"/>
    <w:rsid w:val="00997681"/>
    <w:rsid w:val="009976E3"/>
    <w:rsid w:val="009977F2"/>
    <w:rsid w:val="009978EF"/>
    <w:rsid w:val="00997BA1"/>
    <w:rsid w:val="00997C40"/>
    <w:rsid w:val="00997EE7"/>
    <w:rsid w:val="009A018D"/>
    <w:rsid w:val="009A025E"/>
    <w:rsid w:val="009A04F3"/>
    <w:rsid w:val="009A0567"/>
    <w:rsid w:val="009A0654"/>
    <w:rsid w:val="009A0D64"/>
    <w:rsid w:val="009A0DE4"/>
    <w:rsid w:val="009A10B6"/>
    <w:rsid w:val="009A11C4"/>
    <w:rsid w:val="009A12FC"/>
    <w:rsid w:val="009A1396"/>
    <w:rsid w:val="009A14D0"/>
    <w:rsid w:val="009A15C8"/>
    <w:rsid w:val="009A17C0"/>
    <w:rsid w:val="009A184A"/>
    <w:rsid w:val="009A1A96"/>
    <w:rsid w:val="009A1ABF"/>
    <w:rsid w:val="009A1AED"/>
    <w:rsid w:val="009A1D56"/>
    <w:rsid w:val="009A1EA9"/>
    <w:rsid w:val="009A2202"/>
    <w:rsid w:val="009A24C1"/>
    <w:rsid w:val="009A25A9"/>
    <w:rsid w:val="009A2852"/>
    <w:rsid w:val="009A28AE"/>
    <w:rsid w:val="009A28E3"/>
    <w:rsid w:val="009A29B0"/>
    <w:rsid w:val="009A2AE6"/>
    <w:rsid w:val="009A2DD4"/>
    <w:rsid w:val="009A2E11"/>
    <w:rsid w:val="009A3129"/>
    <w:rsid w:val="009A31E0"/>
    <w:rsid w:val="009A3320"/>
    <w:rsid w:val="009A3386"/>
    <w:rsid w:val="009A338E"/>
    <w:rsid w:val="009A33F8"/>
    <w:rsid w:val="009A3494"/>
    <w:rsid w:val="009A34CA"/>
    <w:rsid w:val="009A35DF"/>
    <w:rsid w:val="009A3640"/>
    <w:rsid w:val="009A372C"/>
    <w:rsid w:val="009A3A9C"/>
    <w:rsid w:val="009A3B72"/>
    <w:rsid w:val="009A3E71"/>
    <w:rsid w:val="009A40C0"/>
    <w:rsid w:val="009A40FD"/>
    <w:rsid w:val="009A44DD"/>
    <w:rsid w:val="009A49CF"/>
    <w:rsid w:val="009A4F18"/>
    <w:rsid w:val="009A4FC5"/>
    <w:rsid w:val="009A51A5"/>
    <w:rsid w:val="009A5280"/>
    <w:rsid w:val="009A528F"/>
    <w:rsid w:val="009A529A"/>
    <w:rsid w:val="009A559D"/>
    <w:rsid w:val="009A5956"/>
    <w:rsid w:val="009A5A07"/>
    <w:rsid w:val="009A5C37"/>
    <w:rsid w:val="009A5D32"/>
    <w:rsid w:val="009A60C3"/>
    <w:rsid w:val="009A62A9"/>
    <w:rsid w:val="009A6323"/>
    <w:rsid w:val="009A63C7"/>
    <w:rsid w:val="009A6444"/>
    <w:rsid w:val="009A6660"/>
    <w:rsid w:val="009A66B6"/>
    <w:rsid w:val="009A6718"/>
    <w:rsid w:val="009A672B"/>
    <w:rsid w:val="009A67AE"/>
    <w:rsid w:val="009A67F7"/>
    <w:rsid w:val="009A6A76"/>
    <w:rsid w:val="009A6C05"/>
    <w:rsid w:val="009A6C32"/>
    <w:rsid w:val="009A6C33"/>
    <w:rsid w:val="009A6C7B"/>
    <w:rsid w:val="009A6CD2"/>
    <w:rsid w:val="009A6D42"/>
    <w:rsid w:val="009A6F31"/>
    <w:rsid w:val="009A7238"/>
    <w:rsid w:val="009A7495"/>
    <w:rsid w:val="009A75B2"/>
    <w:rsid w:val="009A76DE"/>
    <w:rsid w:val="009A76FE"/>
    <w:rsid w:val="009A7734"/>
    <w:rsid w:val="009A783B"/>
    <w:rsid w:val="009A79BC"/>
    <w:rsid w:val="009A7A0D"/>
    <w:rsid w:val="009A7B20"/>
    <w:rsid w:val="009B009A"/>
    <w:rsid w:val="009B08EF"/>
    <w:rsid w:val="009B0BA3"/>
    <w:rsid w:val="009B0C3C"/>
    <w:rsid w:val="009B0F5E"/>
    <w:rsid w:val="009B1309"/>
    <w:rsid w:val="009B1355"/>
    <w:rsid w:val="009B1426"/>
    <w:rsid w:val="009B15B1"/>
    <w:rsid w:val="009B15DF"/>
    <w:rsid w:val="009B16C3"/>
    <w:rsid w:val="009B1881"/>
    <w:rsid w:val="009B1BA8"/>
    <w:rsid w:val="009B1C85"/>
    <w:rsid w:val="009B1E09"/>
    <w:rsid w:val="009B1ECA"/>
    <w:rsid w:val="009B1EE4"/>
    <w:rsid w:val="009B20AC"/>
    <w:rsid w:val="009B22E2"/>
    <w:rsid w:val="009B233B"/>
    <w:rsid w:val="009B259D"/>
    <w:rsid w:val="009B25CE"/>
    <w:rsid w:val="009B25E7"/>
    <w:rsid w:val="009B2657"/>
    <w:rsid w:val="009B269C"/>
    <w:rsid w:val="009B2777"/>
    <w:rsid w:val="009B28D1"/>
    <w:rsid w:val="009B2A61"/>
    <w:rsid w:val="009B2B2D"/>
    <w:rsid w:val="009B2C5F"/>
    <w:rsid w:val="009B2C9E"/>
    <w:rsid w:val="009B2D72"/>
    <w:rsid w:val="009B2F0B"/>
    <w:rsid w:val="009B3097"/>
    <w:rsid w:val="009B32DA"/>
    <w:rsid w:val="009B3334"/>
    <w:rsid w:val="009B3464"/>
    <w:rsid w:val="009B34C0"/>
    <w:rsid w:val="009B3535"/>
    <w:rsid w:val="009B3701"/>
    <w:rsid w:val="009B3848"/>
    <w:rsid w:val="009B386A"/>
    <w:rsid w:val="009B387D"/>
    <w:rsid w:val="009B3929"/>
    <w:rsid w:val="009B392B"/>
    <w:rsid w:val="009B3B5C"/>
    <w:rsid w:val="009B3BC4"/>
    <w:rsid w:val="009B3D32"/>
    <w:rsid w:val="009B3DBC"/>
    <w:rsid w:val="009B3EE5"/>
    <w:rsid w:val="009B413F"/>
    <w:rsid w:val="009B4362"/>
    <w:rsid w:val="009B4592"/>
    <w:rsid w:val="009B483E"/>
    <w:rsid w:val="009B48F3"/>
    <w:rsid w:val="009B48FF"/>
    <w:rsid w:val="009B49AA"/>
    <w:rsid w:val="009B4A52"/>
    <w:rsid w:val="009B4B50"/>
    <w:rsid w:val="009B4EC2"/>
    <w:rsid w:val="009B4FB9"/>
    <w:rsid w:val="009B4FBF"/>
    <w:rsid w:val="009B5047"/>
    <w:rsid w:val="009B504D"/>
    <w:rsid w:val="009B538E"/>
    <w:rsid w:val="009B578E"/>
    <w:rsid w:val="009B5A28"/>
    <w:rsid w:val="009B5A5E"/>
    <w:rsid w:val="009B5D61"/>
    <w:rsid w:val="009B5E90"/>
    <w:rsid w:val="009B5F81"/>
    <w:rsid w:val="009B5FF9"/>
    <w:rsid w:val="009B60B6"/>
    <w:rsid w:val="009B618C"/>
    <w:rsid w:val="009B6332"/>
    <w:rsid w:val="009B6536"/>
    <w:rsid w:val="009B65CA"/>
    <w:rsid w:val="009B6663"/>
    <w:rsid w:val="009B6854"/>
    <w:rsid w:val="009B6AEA"/>
    <w:rsid w:val="009B6C60"/>
    <w:rsid w:val="009B6C69"/>
    <w:rsid w:val="009B6CDD"/>
    <w:rsid w:val="009B6D1F"/>
    <w:rsid w:val="009B6DC8"/>
    <w:rsid w:val="009B6F6C"/>
    <w:rsid w:val="009B7025"/>
    <w:rsid w:val="009B7075"/>
    <w:rsid w:val="009B75C4"/>
    <w:rsid w:val="009B7695"/>
    <w:rsid w:val="009B7790"/>
    <w:rsid w:val="009B7805"/>
    <w:rsid w:val="009B78DF"/>
    <w:rsid w:val="009B793A"/>
    <w:rsid w:val="009B7971"/>
    <w:rsid w:val="009B7AE7"/>
    <w:rsid w:val="009B7B3D"/>
    <w:rsid w:val="009B7FA3"/>
    <w:rsid w:val="009B7FA6"/>
    <w:rsid w:val="009C0045"/>
    <w:rsid w:val="009C0196"/>
    <w:rsid w:val="009C027A"/>
    <w:rsid w:val="009C02A2"/>
    <w:rsid w:val="009C08AD"/>
    <w:rsid w:val="009C0B48"/>
    <w:rsid w:val="009C0C26"/>
    <w:rsid w:val="009C0C52"/>
    <w:rsid w:val="009C0FDE"/>
    <w:rsid w:val="009C102E"/>
    <w:rsid w:val="009C1030"/>
    <w:rsid w:val="009C14DF"/>
    <w:rsid w:val="009C1731"/>
    <w:rsid w:val="009C1B9F"/>
    <w:rsid w:val="009C1DBC"/>
    <w:rsid w:val="009C1F9E"/>
    <w:rsid w:val="009C2129"/>
    <w:rsid w:val="009C216A"/>
    <w:rsid w:val="009C2569"/>
    <w:rsid w:val="009C2619"/>
    <w:rsid w:val="009C2908"/>
    <w:rsid w:val="009C290E"/>
    <w:rsid w:val="009C2B49"/>
    <w:rsid w:val="009C2D96"/>
    <w:rsid w:val="009C2F42"/>
    <w:rsid w:val="009C2F46"/>
    <w:rsid w:val="009C3003"/>
    <w:rsid w:val="009C3279"/>
    <w:rsid w:val="009C32ED"/>
    <w:rsid w:val="009C3587"/>
    <w:rsid w:val="009C35B9"/>
    <w:rsid w:val="009C3A30"/>
    <w:rsid w:val="009C3BFC"/>
    <w:rsid w:val="009C3D80"/>
    <w:rsid w:val="009C3D9D"/>
    <w:rsid w:val="009C3F58"/>
    <w:rsid w:val="009C3FBA"/>
    <w:rsid w:val="009C40CA"/>
    <w:rsid w:val="009C40E6"/>
    <w:rsid w:val="009C4161"/>
    <w:rsid w:val="009C418E"/>
    <w:rsid w:val="009C44B3"/>
    <w:rsid w:val="009C4686"/>
    <w:rsid w:val="009C4703"/>
    <w:rsid w:val="009C4944"/>
    <w:rsid w:val="009C4A02"/>
    <w:rsid w:val="009C4A33"/>
    <w:rsid w:val="009C4B95"/>
    <w:rsid w:val="009C4D24"/>
    <w:rsid w:val="009C5138"/>
    <w:rsid w:val="009C51D7"/>
    <w:rsid w:val="009C5335"/>
    <w:rsid w:val="009C53E8"/>
    <w:rsid w:val="009C5417"/>
    <w:rsid w:val="009C5577"/>
    <w:rsid w:val="009C55F6"/>
    <w:rsid w:val="009C5625"/>
    <w:rsid w:val="009C5A09"/>
    <w:rsid w:val="009C5DF3"/>
    <w:rsid w:val="009C5E71"/>
    <w:rsid w:val="009C61A1"/>
    <w:rsid w:val="009C6280"/>
    <w:rsid w:val="009C64D3"/>
    <w:rsid w:val="009C65BE"/>
    <w:rsid w:val="009C65D4"/>
    <w:rsid w:val="009C68B4"/>
    <w:rsid w:val="009C6AE4"/>
    <w:rsid w:val="009C6CA8"/>
    <w:rsid w:val="009C6D0C"/>
    <w:rsid w:val="009C6D69"/>
    <w:rsid w:val="009C6DB6"/>
    <w:rsid w:val="009C6E85"/>
    <w:rsid w:val="009C6F0B"/>
    <w:rsid w:val="009C6F5E"/>
    <w:rsid w:val="009C6FA8"/>
    <w:rsid w:val="009C729B"/>
    <w:rsid w:val="009C72AE"/>
    <w:rsid w:val="009C7394"/>
    <w:rsid w:val="009C761E"/>
    <w:rsid w:val="009C7672"/>
    <w:rsid w:val="009C77A7"/>
    <w:rsid w:val="009C7A4D"/>
    <w:rsid w:val="009C7AE5"/>
    <w:rsid w:val="009C7AFE"/>
    <w:rsid w:val="009C7B74"/>
    <w:rsid w:val="009C7C4B"/>
    <w:rsid w:val="009C7CA4"/>
    <w:rsid w:val="009C7E46"/>
    <w:rsid w:val="009C7F2B"/>
    <w:rsid w:val="009C7F52"/>
    <w:rsid w:val="009D004C"/>
    <w:rsid w:val="009D05A4"/>
    <w:rsid w:val="009D0695"/>
    <w:rsid w:val="009D06FD"/>
    <w:rsid w:val="009D0A6D"/>
    <w:rsid w:val="009D0B44"/>
    <w:rsid w:val="009D0C0E"/>
    <w:rsid w:val="009D0CB2"/>
    <w:rsid w:val="009D0D67"/>
    <w:rsid w:val="009D0E2C"/>
    <w:rsid w:val="009D0F66"/>
    <w:rsid w:val="009D0F88"/>
    <w:rsid w:val="009D0F9E"/>
    <w:rsid w:val="009D1155"/>
    <w:rsid w:val="009D12D0"/>
    <w:rsid w:val="009D1307"/>
    <w:rsid w:val="009D1453"/>
    <w:rsid w:val="009D1493"/>
    <w:rsid w:val="009D150F"/>
    <w:rsid w:val="009D171D"/>
    <w:rsid w:val="009D1758"/>
    <w:rsid w:val="009D1956"/>
    <w:rsid w:val="009D195A"/>
    <w:rsid w:val="009D1982"/>
    <w:rsid w:val="009D1A28"/>
    <w:rsid w:val="009D1B9C"/>
    <w:rsid w:val="009D1E1F"/>
    <w:rsid w:val="009D22A7"/>
    <w:rsid w:val="009D2392"/>
    <w:rsid w:val="009D23E0"/>
    <w:rsid w:val="009D26A3"/>
    <w:rsid w:val="009D270D"/>
    <w:rsid w:val="009D2774"/>
    <w:rsid w:val="009D2807"/>
    <w:rsid w:val="009D284D"/>
    <w:rsid w:val="009D2A06"/>
    <w:rsid w:val="009D2B02"/>
    <w:rsid w:val="009D2CEF"/>
    <w:rsid w:val="009D2E7B"/>
    <w:rsid w:val="009D2E98"/>
    <w:rsid w:val="009D2F98"/>
    <w:rsid w:val="009D306C"/>
    <w:rsid w:val="009D30B0"/>
    <w:rsid w:val="009D3141"/>
    <w:rsid w:val="009D3270"/>
    <w:rsid w:val="009D34B2"/>
    <w:rsid w:val="009D3513"/>
    <w:rsid w:val="009D351D"/>
    <w:rsid w:val="009D35C5"/>
    <w:rsid w:val="009D3768"/>
    <w:rsid w:val="009D37A4"/>
    <w:rsid w:val="009D3A0C"/>
    <w:rsid w:val="009D3A97"/>
    <w:rsid w:val="009D3AA9"/>
    <w:rsid w:val="009D3AE2"/>
    <w:rsid w:val="009D3B78"/>
    <w:rsid w:val="009D3B9E"/>
    <w:rsid w:val="009D3E96"/>
    <w:rsid w:val="009D4008"/>
    <w:rsid w:val="009D40EC"/>
    <w:rsid w:val="009D422F"/>
    <w:rsid w:val="009D42E1"/>
    <w:rsid w:val="009D4389"/>
    <w:rsid w:val="009D43DD"/>
    <w:rsid w:val="009D4477"/>
    <w:rsid w:val="009D44C3"/>
    <w:rsid w:val="009D451E"/>
    <w:rsid w:val="009D4573"/>
    <w:rsid w:val="009D4880"/>
    <w:rsid w:val="009D4A14"/>
    <w:rsid w:val="009D4D13"/>
    <w:rsid w:val="009D50BC"/>
    <w:rsid w:val="009D51B3"/>
    <w:rsid w:val="009D5223"/>
    <w:rsid w:val="009D52F4"/>
    <w:rsid w:val="009D54CF"/>
    <w:rsid w:val="009D5537"/>
    <w:rsid w:val="009D5573"/>
    <w:rsid w:val="009D590D"/>
    <w:rsid w:val="009D5979"/>
    <w:rsid w:val="009D5A4D"/>
    <w:rsid w:val="009D5CB4"/>
    <w:rsid w:val="009D5D30"/>
    <w:rsid w:val="009D6120"/>
    <w:rsid w:val="009D614B"/>
    <w:rsid w:val="009D6162"/>
    <w:rsid w:val="009D6163"/>
    <w:rsid w:val="009D624A"/>
    <w:rsid w:val="009D6359"/>
    <w:rsid w:val="009D6490"/>
    <w:rsid w:val="009D65E9"/>
    <w:rsid w:val="009D6722"/>
    <w:rsid w:val="009D6795"/>
    <w:rsid w:val="009D67BC"/>
    <w:rsid w:val="009D67FE"/>
    <w:rsid w:val="009D6884"/>
    <w:rsid w:val="009D688A"/>
    <w:rsid w:val="009D6ACB"/>
    <w:rsid w:val="009D6C0E"/>
    <w:rsid w:val="009D6E8D"/>
    <w:rsid w:val="009D71F6"/>
    <w:rsid w:val="009D721A"/>
    <w:rsid w:val="009D7271"/>
    <w:rsid w:val="009D73EF"/>
    <w:rsid w:val="009D778A"/>
    <w:rsid w:val="009D787B"/>
    <w:rsid w:val="009D7C02"/>
    <w:rsid w:val="009D7C17"/>
    <w:rsid w:val="009D7DD5"/>
    <w:rsid w:val="009D7F00"/>
    <w:rsid w:val="009E02D8"/>
    <w:rsid w:val="009E0451"/>
    <w:rsid w:val="009E0542"/>
    <w:rsid w:val="009E0605"/>
    <w:rsid w:val="009E0682"/>
    <w:rsid w:val="009E0724"/>
    <w:rsid w:val="009E0898"/>
    <w:rsid w:val="009E091B"/>
    <w:rsid w:val="009E0945"/>
    <w:rsid w:val="009E0B60"/>
    <w:rsid w:val="009E0BC2"/>
    <w:rsid w:val="009E0DC1"/>
    <w:rsid w:val="009E0DCE"/>
    <w:rsid w:val="009E0E98"/>
    <w:rsid w:val="009E128E"/>
    <w:rsid w:val="009E12B4"/>
    <w:rsid w:val="009E1473"/>
    <w:rsid w:val="009E14B0"/>
    <w:rsid w:val="009E15E4"/>
    <w:rsid w:val="009E1635"/>
    <w:rsid w:val="009E16F0"/>
    <w:rsid w:val="009E19CB"/>
    <w:rsid w:val="009E1C1A"/>
    <w:rsid w:val="009E1CDB"/>
    <w:rsid w:val="009E1DB2"/>
    <w:rsid w:val="009E1DF1"/>
    <w:rsid w:val="009E2038"/>
    <w:rsid w:val="009E226B"/>
    <w:rsid w:val="009E22A2"/>
    <w:rsid w:val="009E2344"/>
    <w:rsid w:val="009E235A"/>
    <w:rsid w:val="009E23FF"/>
    <w:rsid w:val="009E25ED"/>
    <w:rsid w:val="009E2C29"/>
    <w:rsid w:val="009E2D5F"/>
    <w:rsid w:val="009E2ECB"/>
    <w:rsid w:val="009E2EE5"/>
    <w:rsid w:val="009E2FE5"/>
    <w:rsid w:val="009E30E9"/>
    <w:rsid w:val="009E310A"/>
    <w:rsid w:val="009E317D"/>
    <w:rsid w:val="009E3229"/>
    <w:rsid w:val="009E322A"/>
    <w:rsid w:val="009E3587"/>
    <w:rsid w:val="009E360E"/>
    <w:rsid w:val="009E3796"/>
    <w:rsid w:val="009E37FA"/>
    <w:rsid w:val="009E3C7B"/>
    <w:rsid w:val="009E3D53"/>
    <w:rsid w:val="009E3E62"/>
    <w:rsid w:val="009E41C3"/>
    <w:rsid w:val="009E4766"/>
    <w:rsid w:val="009E47C3"/>
    <w:rsid w:val="009E47CA"/>
    <w:rsid w:val="009E4B4F"/>
    <w:rsid w:val="009E4C30"/>
    <w:rsid w:val="009E4CB4"/>
    <w:rsid w:val="009E4CB8"/>
    <w:rsid w:val="009E4CED"/>
    <w:rsid w:val="009E5043"/>
    <w:rsid w:val="009E557E"/>
    <w:rsid w:val="009E577B"/>
    <w:rsid w:val="009E57A3"/>
    <w:rsid w:val="009E57BB"/>
    <w:rsid w:val="009E57CA"/>
    <w:rsid w:val="009E59AA"/>
    <w:rsid w:val="009E5C58"/>
    <w:rsid w:val="009E5F9A"/>
    <w:rsid w:val="009E5FD3"/>
    <w:rsid w:val="009E60FB"/>
    <w:rsid w:val="009E6392"/>
    <w:rsid w:val="009E63A5"/>
    <w:rsid w:val="009E656F"/>
    <w:rsid w:val="009E6649"/>
    <w:rsid w:val="009E6749"/>
    <w:rsid w:val="009E684F"/>
    <w:rsid w:val="009E68A4"/>
    <w:rsid w:val="009E697F"/>
    <w:rsid w:val="009E6B34"/>
    <w:rsid w:val="009E70BB"/>
    <w:rsid w:val="009E71B2"/>
    <w:rsid w:val="009E7248"/>
    <w:rsid w:val="009E7362"/>
    <w:rsid w:val="009E7556"/>
    <w:rsid w:val="009E771A"/>
    <w:rsid w:val="009E781A"/>
    <w:rsid w:val="009E7956"/>
    <w:rsid w:val="009E7E1D"/>
    <w:rsid w:val="009F010D"/>
    <w:rsid w:val="009F016F"/>
    <w:rsid w:val="009F0237"/>
    <w:rsid w:val="009F0280"/>
    <w:rsid w:val="009F0416"/>
    <w:rsid w:val="009F05DD"/>
    <w:rsid w:val="009F084F"/>
    <w:rsid w:val="009F0A79"/>
    <w:rsid w:val="009F0AF7"/>
    <w:rsid w:val="009F0D1C"/>
    <w:rsid w:val="009F0D88"/>
    <w:rsid w:val="009F0DFC"/>
    <w:rsid w:val="009F0EFC"/>
    <w:rsid w:val="009F0FDC"/>
    <w:rsid w:val="009F1118"/>
    <w:rsid w:val="009F1284"/>
    <w:rsid w:val="009F1418"/>
    <w:rsid w:val="009F14D7"/>
    <w:rsid w:val="009F14F8"/>
    <w:rsid w:val="009F1A9C"/>
    <w:rsid w:val="009F1B65"/>
    <w:rsid w:val="009F1BFA"/>
    <w:rsid w:val="009F1CB1"/>
    <w:rsid w:val="009F1DD0"/>
    <w:rsid w:val="009F1DD8"/>
    <w:rsid w:val="009F1EE8"/>
    <w:rsid w:val="009F236E"/>
    <w:rsid w:val="009F258A"/>
    <w:rsid w:val="009F261C"/>
    <w:rsid w:val="009F269C"/>
    <w:rsid w:val="009F2BA5"/>
    <w:rsid w:val="009F2BE4"/>
    <w:rsid w:val="009F2DA1"/>
    <w:rsid w:val="009F2FBF"/>
    <w:rsid w:val="009F3053"/>
    <w:rsid w:val="009F3140"/>
    <w:rsid w:val="009F3143"/>
    <w:rsid w:val="009F3181"/>
    <w:rsid w:val="009F338C"/>
    <w:rsid w:val="009F33A0"/>
    <w:rsid w:val="009F3448"/>
    <w:rsid w:val="009F3658"/>
    <w:rsid w:val="009F396A"/>
    <w:rsid w:val="009F3A29"/>
    <w:rsid w:val="009F3B0F"/>
    <w:rsid w:val="009F3C45"/>
    <w:rsid w:val="009F3C7A"/>
    <w:rsid w:val="009F3CF4"/>
    <w:rsid w:val="009F3D89"/>
    <w:rsid w:val="009F3DB7"/>
    <w:rsid w:val="009F3E15"/>
    <w:rsid w:val="009F3E92"/>
    <w:rsid w:val="009F4005"/>
    <w:rsid w:val="009F40B9"/>
    <w:rsid w:val="009F42CB"/>
    <w:rsid w:val="009F48F8"/>
    <w:rsid w:val="009F4A05"/>
    <w:rsid w:val="009F4B3F"/>
    <w:rsid w:val="009F4D3E"/>
    <w:rsid w:val="009F4D5A"/>
    <w:rsid w:val="009F4F02"/>
    <w:rsid w:val="009F4F4E"/>
    <w:rsid w:val="009F4F77"/>
    <w:rsid w:val="009F4FCB"/>
    <w:rsid w:val="009F4FCF"/>
    <w:rsid w:val="009F4FDA"/>
    <w:rsid w:val="009F5162"/>
    <w:rsid w:val="009F51B9"/>
    <w:rsid w:val="009F52C5"/>
    <w:rsid w:val="009F5309"/>
    <w:rsid w:val="009F532F"/>
    <w:rsid w:val="009F53AA"/>
    <w:rsid w:val="009F53BD"/>
    <w:rsid w:val="009F53C6"/>
    <w:rsid w:val="009F545F"/>
    <w:rsid w:val="009F548C"/>
    <w:rsid w:val="009F54C6"/>
    <w:rsid w:val="009F55AC"/>
    <w:rsid w:val="009F5641"/>
    <w:rsid w:val="009F5A81"/>
    <w:rsid w:val="009F5BCC"/>
    <w:rsid w:val="009F5C5E"/>
    <w:rsid w:val="009F5E63"/>
    <w:rsid w:val="009F5E91"/>
    <w:rsid w:val="009F5F8A"/>
    <w:rsid w:val="009F603B"/>
    <w:rsid w:val="009F6041"/>
    <w:rsid w:val="009F618F"/>
    <w:rsid w:val="009F629F"/>
    <w:rsid w:val="009F63EC"/>
    <w:rsid w:val="009F656B"/>
    <w:rsid w:val="009F6658"/>
    <w:rsid w:val="009F66FF"/>
    <w:rsid w:val="009F6727"/>
    <w:rsid w:val="009F67FC"/>
    <w:rsid w:val="009F681F"/>
    <w:rsid w:val="009F68BA"/>
    <w:rsid w:val="009F6A12"/>
    <w:rsid w:val="009F6BFF"/>
    <w:rsid w:val="009F6D18"/>
    <w:rsid w:val="009F6D3A"/>
    <w:rsid w:val="009F6DAA"/>
    <w:rsid w:val="009F6E56"/>
    <w:rsid w:val="009F6E63"/>
    <w:rsid w:val="009F6EB6"/>
    <w:rsid w:val="009F71ED"/>
    <w:rsid w:val="009F7238"/>
    <w:rsid w:val="009F7346"/>
    <w:rsid w:val="009F7372"/>
    <w:rsid w:val="009F73A7"/>
    <w:rsid w:val="009F7EDC"/>
    <w:rsid w:val="00A001F0"/>
    <w:rsid w:val="00A002A3"/>
    <w:rsid w:val="00A0034A"/>
    <w:rsid w:val="00A003F9"/>
    <w:rsid w:val="00A0047A"/>
    <w:rsid w:val="00A004D4"/>
    <w:rsid w:val="00A00913"/>
    <w:rsid w:val="00A00B76"/>
    <w:rsid w:val="00A00B7C"/>
    <w:rsid w:val="00A00E6B"/>
    <w:rsid w:val="00A00F79"/>
    <w:rsid w:val="00A00FB3"/>
    <w:rsid w:val="00A011E4"/>
    <w:rsid w:val="00A0124B"/>
    <w:rsid w:val="00A01465"/>
    <w:rsid w:val="00A01494"/>
    <w:rsid w:val="00A0173E"/>
    <w:rsid w:val="00A017F2"/>
    <w:rsid w:val="00A019BA"/>
    <w:rsid w:val="00A0202A"/>
    <w:rsid w:val="00A02041"/>
    <w:rsid w:val="00A02078"/>
    <w:rsid w:val="00A023DD"/>
    <w:rsid w:val="00A0250F"/>
    <w:rsid w:val="00A0266F"/>
    <w:rsid w:val="00A026F4"/>
    <w:rsid w:val="00A02764"/>
    <w:rsid w:val="00A028D9"/>
    <w:rsid w:val="00A02B85"/>
    <w:rsid w:val="00A02BC1"/>
    <w:rsid w:val="00A02C92"/>
    <w:rsid w:val="00A02C9A"/>
    <w:rsid w:val="00A02EC6"/>
    <w:rsid w:val="00A02F4A"/>
    <w:rsid w:val="00A02FA7"/>
    <w:rsid w:val="00A03047"/>
    <w:rsid w:val="00A031FC"/>
    <w:rsid w:val="00A033FA"/>
    <w:rsid w:val="00A034EC"/>
    <w:rsid w:val="00A03574"/>
    <w:rsid w:val="00A0381D"/>
    <w:rsid w:val="00A038E2"/>
    <w:rsid w:val="00A03A4A"/>
    <w:rsid w:val="00A03A8F"/>
    <w:rsid w:val="00A03DBE"/>
    <w:rsid w:val="00A04044"/>
    <w:rsid w:val="00A042B6"/>
    <w:rsid w:val="00A0453B"/>
    <w:rsid w:val="00A0484D"/>
    <w:rsid w:val="00A0494F"/>
    <w:rsid w:val="00A049DD"/>
    <w:rsid w:val="00A04A3C"/>
    <w:rsid w:val="00A04B5E"/>
    <w:rsid w:val="00A04C5E"/>
    <w:rsid w:val="00A04E1D"/>
    <w:rsid w:val="00A04FB7"/>
    <w:rsid w:val="00A050AF"/>
    <w:rsid w:val="00A05135"/>
    <w:rsid w:val="00A0527F"/>
    <w:rsid w:val="00A05283"/>
    <w:rsid w:val="00A05401"/>
    <w:rsid w:val="00A0557F"/>
    <w:rsid w:val="00A0565F"/>
    <w:rsid w:val="00A0566E"/>
    <w:rsid w:val="00A056E0"/>
    <w:rsid w:val="00A05820"/>
    <w:rsid w:val="00A058CF"/>
    <w:rsid w:val="00A0596A"/>
    <w:rsid w:val="00A05A85"/>
    <w:rsid w:val="00A05B85"/>
    <w:rsid w:val="00A05C19"/>
    <w:rsid w:val="00A06092"/>
    <w:rsid w:val="00A06128"/>
    <w:rsid w:val="00A06417"/>
    <w:rsid w:val="00A0666D"/>
    <w:rsid w:val="00A0668B"/>
    <w:rsid w:val="00A066B1"/>
    <w:rsid w:val="00A06777"/>
    <w:rsid w:val="00A067A8"/>
    <w:rsid w:val="00A06934"/>
    <w:rsid w:val="00A06B35"/>
    <w:rsid w:val="00A06B69"/>
    <w:rsid w:val="00A06BCD"/>
    <w:rsid w:val="00A06D04"/>
    <w:rsid w:val="00A06DB8"/>
    <w:rsid w:val="00A06FDD"/>
    <w:rsid w:val="00A0706B"/>
    <w:rsid w:val="00A0733F"/>
    <w:rsid w:val="00A075D1"/>
    <w:rsid w:val="00A075DC"/>
    <w:rsid w:val="00A07785"/>
    <w:rsid w:val="00A077D9"/>
    <w:rsid w:val="00A078F3"/>
    <w:rsid w:val="00A07954"/>
    <w:rsid w:val="00A07980"/>
    <w:rsid w:val="00A07A59"/>
    <w:rsid w:val="00A07A5E"/>
    <w:rsid w:val="00A07EF8"/>
    <w:rsid w:val="00A10019"/>
    <w:rsid w:val="00A100C2"/>
    <w:rsid w:val="00A10188"/>
    <w:rsid w:val="00A101BC"/>
    <w:rsid w:val="00A101BE"/>
    <w:rsid w:val="00A102EE"/>
    <w:rsid w:val="00A10416"/>
    <w:rsid w:val="00A105F3"/>
    <w:rsid w:val="00A10676"/>
    <w:rsid w:val="00A106B5"/>
    <w:rsid w:val="00A1072C"/>
    <w:rsid w:val="00A1075B"/>
    <w:rsid w:val="00A107BE"/>
    <w:rsid w:val="00A10992"/>
    <w:rsid w:val="00A10BEF"/>
    <w:rsid w:val="00A10EE8"/>
    <w:rsid w:val="00A1131D"/>
    <w:rsid w:val="00A114A4"/>
    <w:rsid w:val="00A11857"/>
    <w:rsid w:val="00A11E4E"/>
    <w:rsid w:val="00A11E9B"/>
    <w:rsid w:val="00A120AA"/>
    <w:rsid w:val="00A1233D"/>
    <w:rsid w:val="00A123AA"/>
    <w:rsid w:val="00A12435"/>
    <w:rsid w:val="00A12458"/>
    <w:rsid w:val="00A12493"/>
    <w:rsid w:val="00A12697"/>
    <w:rsid w:val="00A1294A"/>
    <w:rsid w:val="00A12991"/>
    <w:rsid w:val="00A12C33"/>
    <w:rsid w:val="00A12E28"/>
    <w:rsid w:val="00A12FD4"/>
    <w:rsid w:val="00A13123"/>
    <w:rsid w:val="00A131CB"/>
    <w:rsid w:val="00A13319"/>
    <w:rsid w:val="00A13468"/>
    <w:rsid w:val="00A134BA"/>
    <w:rsid w:val="00A134C4"/>
    <w:rsid w:val="00A1360F"/>
    <w:rsid w:val="00A13630"/>
    <w:rsid w:val="00A1368D"/>
    <w:rsid w:val="00A1386F"/>
    <w:rsid w:val="00A1390B"/>
    <w:rsid w:val="00A13A1C"/>
    <w:rsid w:val="00A13B0E"/>
    <w:rsid w:val="00A13BBB"/>
    <w:rsid w:val="00A13D6E"/>
    <w:rsid w:val="00A13E14"/>
    <w:rsid w:val="00A13EE2"/>
    <w:rsid w:val="00A14012"/>
    <w:rsid w:val="00A142BB"/>
    <w:rsid w:val="00A1435A"/>
    <w:rsid w:val="00A14381"/>
    <w:rsid w:val="00A14482"/>
    <w:rsid w:val="00A1458E"/>
    <w:rsid w:val="00A14674"/>
    <w:rsid w:val="00A147BE"/>
    <w:rsid w:val="00A147F4"/>
    <w:rsid w:val="00A14986"/>
    <w:rsid w:val="00A149C0"/>
    <w:rsid w:val="00A149EE"/>
    <w:rsid w:val="00A14B7F"/>
    <w:rsid w:val="00A14C8E"/>
    <w:rsid w:val="00A14D07"/>
    <w:rsid w:val="00A14DF2"/>
    <w:rsid w:val="00A14F24"/>
    <w:rsid w:val="00A14FCE"/>
    <w:rsid w:val="00A14FF3"/>
    <w:rsid w:val="00A15095"/>
    <w:rsid w:val="00A152AC"/>
    <w:rsid w:val="00A154E6"/>
    <w:rsid w:val="00A155FE"/>
    <w:rsid w:val="00A156E6"/>
    <w:rsid w:val="00A15C51"/>
    <w:rsid w:val="00A15F8D"/>
    <w:rsid w:val="00A16234"/>
    <w:rsid w:val="00A162FD"/>
    <w:rsid w:val="00A16399"/>
    <w:rsid w:val="00A16469"/>
    <w:rsid w:val="00A1651A"/>
    <w:rsid w:val="00A16608"/>
    <w:rsid w:val="00A16629"/>
    <w:rsid w:val="00A16702"/>
    <w:rsid w:val="00A1692B"/>
    <w:rsid w:val="00A1692D"/>
    <w:rsid w:val="00A16B15"/>
    <w:rsid w:val="00A16B77"/>
    <w:rsid w:val="00A16B88"/>
    <w:rsid w:val="00A16D6B"/>
    <w:rsid w:val="00A16DAE"/>
    <w:rsid w:val="00A16ED0"/>
    <w:rsid w:val="00A170A5"/>
    <w:rsid w:val="00A17190"/>
    <w:rsid w:val="00A171C6"/>
    <w:rsid w:val="00A1727D"/>
    <w:rsid w:val="00A1739B"/>
    <w:rsid w:val="00A17679"/>
    <w:rsid w:val="00A176A8"/>
    <w:rsid w:val="00A17DC7"/>
    <w:rsid w:val="00A17E13"/>
    <w:rsid w:val="00A2023C"/>
    <w:rsid w:val="00A20759"/>
    <w:rsid w:val="00A20770"/>
    <w:rsid w:val="00A20AC9"/>
    <w:rsid w:val="00A20ACD"/>
    <w:rsid w:val="00A20C7A"/>
    <w:rsid w:val="00A20D7F"/>
    <w:rsid w:val="00A21070"/>
    <w:rsid w:val="00A212B6"/>
    <w:rsid w:val="00A212F5"/>
    <w:rsid w:val="00A214BD"/>
    <w:rsid w:val="00A21518"/>
    <w:rsid w:val="00A21682"/>
    <w:rsid w:val="00A216CB"/>
    <w:rsid w:val="00A21782"/>
    <w:rsid w:val="00A217B6"/>
    <w:rsid w:val="00A2190D"/>
    <w:rsid w:val="00A21BE8"/>
    <w:rsid w:val="00A220B9"/>
    <w:rsid w:val="00A2219F"/>
    <w:rsid w:val="00A22254"/>
    <w:rsid w:val="00A22360"/>
    <w:rsid w:val="00A22437"/>
    <w:rsid w:val="00A225F7"/>
    <w:rsid w:val="00A2260C"/>
    <w:rsid w:val="00A229ED"/>
    <w:rsid w:val="00A22E6D"/>
    <w:rsid w:val="00A22F9E"/>
    <w:rsid w:val="00A232C5"/>
    <w:rsid w:val="00A23736"/>
    <w:rsid w:val="00A23780"/>
    <w:rsid w:val="00A238A9"/>
    <w:rsid w:val="00A238C0"/>
    <w:rsid w:val="00A238F2"/>
    <w:rsid w:val="00A23901"/>
    <w:rsid w:val="00A239AA"/>
    <w:rsid w:val="00A240F6"/>
    <w:rsid w:val="00A2414D"/>
    <w:rsid w:val="00A24172"/>
    <w:rsid w:val="00A2435C"/>
    <w:rsid w:val="00A243B7"/>
    <w:rsid w:val="00A24453"/>
    <w:rsid w:val="00A244B6"/>
    <w:rsid w:val="00A244F6"/>
    <w:rsid w:val="00A24622"/>
    <w:rsid w:val="00A247DC"/>
    <w:rsid w:val="00A24903"/>
    <w:rsid w:val="00A24ACA"/>
    <w:rsid w:val="00A24E2B"/>
    <w:rsid w:val="00A25059"/>
    <w:rsid w:val="00A25094"/>
    <w:rsid w:val="00A2536B"/>
    <w:rsid w:val="00A2576D"/>
    <w:rsid w:val="00A25921"/>
    <w:rsid w:val="00A2593F"/>
    <w:rsid w:val="00A25A94"/>
    <w:rsid w:val="00A25B1F"/>
    <w:rsid w:val="00A25B20"/>
    <w:rsid w:val="00A25EF1"/>
    <w:rsid w:val="00A26022"/>
    <w:rsid w:val="00A26374"/>
    <w:rsid w:val="00A2684A"/>
    <w:rsid w:val="00A269BE"/>
    <w:rsid w:val="00A269F1"/>
    <w:rsid w:val="00A26A14"/>
    <w:rsid w:val="00A26AD9"/>
    <w:rsid w:val="00A26B45"/>
    <w:rsid w:val="00A26DC6"/>
    <w:rsid w:val="00A26E58"/>
    <w:rsid w:val="00A2700C"/>
    <w:rsid w:val="00A270AE"/>
    <w:rsid w:val="00A27262"/>
    <w:rsid w:val="00A273CB"/>
    <w:rsid w:val="00A27434"/>
    <w:rsid w:val="00A2755A"/>
    <w:rsid w:val="00A277F8"/>
    <w:rsid w:val="00A27879"/>
    <w:rsid w:val="00A2787E"/>
    <w:rsid w:val="00A27981"/>
    <w:rsid w:val="00A27A35"/>
    <w:rsid w:val="00A27B7C"/>
    <w:rsid w:val="00A27BB3"/>
    <w:rsid w:val="00A27D70"/>
    <w:rsid w:val="00A27F74"/>
    <w:rsid w:val="00A300B8"/>
    <w:rsid w:val="00A301B5"/>
    <w:rsid w:val="00A303F9"/>
    <w:rsid w:val="00A30428"/>
    <w:rsid w:val="00A305A7"/>
    <w:rsid w:val="00A308BD"/>
    <w:rsid w:val="00A30A26"/>
    <w:rsid w:val="00A30C1C"/>
    <w:rsid w:val="00A30EA0"/>
    <w:rsid w:val="00A31118"/>
    <w:rsid w:val="00A31323"/>
    <w:rsid w:val="00A314B9"/>
    <w:rsid w:val="00A31780"/>
    <w:rsid w:val="00A31792"/>
    <w:rsid w:val="00A317E5"/>
    <w:rsid w:val="00A318CD"/>
    <w:rsid w:val="00A319EC"/>
    <w:rsid w:val="00A31A1C"/>
    <w:rsid w:val="00A31B33"/>
    <w:rsid w:val="00A31B8E"/>
    <w:rsid w:val="00A31C8D"/>
    <w:rsid w:val="00A31CA7"/>
    <w:rsid w:val="00A31D62"/>
    <w:rsid w:val="00A31E7B"/>
    <w:rsid w:val="00A31FAB"/>
    <w:rsid w:val="00A3209B"/>
    <w:rsid w:val="00A3214E"/>
    <w:rsid w:val="00A32248"/>
    <w:rsid w:val="00A32383"/>
    <w:rsid w:val="00A3260D"/>
    <w:rsid w:val="00A3286E"/>
    <w:rsid w:val="00A32882"/>
    <w:rsid w:val="00A32B6F"/>
    <w:rsid w:val="00A32CA4"/>
    <w:rsid w:val="00A32DED"/>
    <w:rsid w:val="00A32ECC"/>
    <w:rsid w:val="00A32FA3"/>
    <w:rsid w:val="00A33200"/>
    <w:rsid w:val="00A33223"/>
    <w:rsid w:val="00A3342B"/>
    <w:rsid w:val="00A335A8"/>
    <w:rsid w:val="00A33865"/>
    <w:rsid w:val="00A33870"/>
    <w:rsid w:val="00A338A6"/>
    <w:rsid w:val="00A33C67"/>
    <w:rsid w:val="00A33CE2"/>
    <w:rsid w:val="00A33E6F"/>
    <w:rsid w:val="00A33E87"/>
    <w:rsid w:val="00A33EC1"/>
    <w:rsid w:val="00A34094"/>
    <w:rsid w:val="00A3413C"/>
    <w:rsid w:val="00A341C5"/>
    <w:rsid w:val="00A341C6"/>
    <w:rsid w:val="00A341F6"/>
    <w:rsid w:val="00A3428A"/>
    <w:rsid w:val="00A34478"/>
    <w:rsid w:val="00A34543"/>
    <w:rsid w:val="00A34663"/>
    <w:rsid w:val="00A346BC"/>
    <w:rsid w:val="00A3488D"/>
    <w:rsid w:val="00A349D4"/>
    <w:rsid w:val="00A34E54"/>
    <w:rsid w:val="00A350AC"/>
    <w:rsid w:val="00A350DE"/>
    <w:rsid w:val="00A35255"/>
    <w:rsid w:val="00A3532F"/>
    <w:rsid w:val="00A35468"/>
    <w:rsid w:val="00A35476"/>
    <w:rsid w:val="00A354A1"/>
    <w:rsid w:val="00A35516"/>
    <w:rsid w:val="00A356E9"/>
    <w:rsid w:val="00A358BD"/>
    <w:rsid w:val="00A35923"/>
    <w:rsid w:val="00A35A9E"/>
    <w:rsid w:val="00A35C21"/>
    <w:rsid w:val="00A35CFD"/>
    <w:rsid w:val="00A35E11"/>
    <w:rsid w:val="00A35F38"/>
    <w:rsid w:val="00A35FC0"/>
    <w:rsid w:val="00A3605B"/>
    <w:rsid w:val="00A3615C"/>
    <w:rsid w:val="00A362E1"/>
    <w:rsid w:val="00A3637D"/>
    <w:rsid w:val="00A36395"/>
    <w:rsid w:val="00A364E0"/>
    <w:rsid w:val="00A3654D"/>
    <w:rsid w:val="00A367B8"/>
    <w:rsid w:val="00A368AF"/>
    <w:rsid w:val="00A368E9"/>
    <w:rsid w:val="00A36A03"/>
    <w:rsid w:val="00A36BF0"/>
    <w:rsid w:val="00A36CA3"/>
    <w:rsid w:val="00A36D60"/>
    <w:rsid w:val="00A36D75"/>
    <w:rsid w:val="00A37138"/>
    <w:rsid w:val="00A375FF"/>
    <w:rsid w:val="00A37D04"/>
    <w:rsid w:val="00A37DE2"/>
    <w:rsid w:val="00A40231"/>
    <w:rsid w:val="00A4035E"/>
    <w:rsid w:val="00A40582"/>
    <w:rsid w:val="00A405B0"/>
    <w:rsid w:val="00A4099D"/>
    <w:rsid w:val="00A40B65"/>
    <w:rsid w:val="00A40C9F"/>
    <w:rsid w:val="00A40DF7"/>
    <w:rsid w:val="00A40F5C"/>
    <w:rsid w:val="00A40FBE"/>
    <w:rsid w:val="00A40FE4"/>
    <w:rsid w:val="00A41061"/>
    <w:rsid w:val="00A41298"/>
    <w:rsid w:val="00A41523"/>
    <w:rsid w:val="00A4170A"/>
    <w:rsid w:val="00A417E2"/>
    <w:rsid w:val="00A41C9F"/>
    <w:rsid w:val="00A41F0F"/>
    <w:rsid w:val="00A4215A"/>
    <w:rsid w:val="00A421DF"/>
    <w:rsid w:val="00A42267"/>
    <w:rsid w:val="00A42335"/>
    <w:rsid w:val="00A42B42"/>
    <w:rsid w:val="00A42C79"/>
    <w:rsid w:val="00A42E0F"/>
    <w:rsid w:val="00A42E7E"/>
    <w:rsid w:val="00A42F2A"/>
    <w:rsid w:val="00A4302A"/>
    <w:rsid w:val="00A43038"/>
    <w:rsid w:val="00A431B6"/>
    <w:rsid w:val="00A4320C"/>
    <w:rsid w:val="00A4352E"/>
    <w:rsid w:val="00A435C8"/>
    <w:rsid w:val="00A436D1"/>
    <w:rsid w:val="00A43802"/>
    <w:rsid w:val="00A43996"/>
    <w:rsid w:val="00A43AC2"/>
    <w:rsid w:val="00A43C67"/>
    <w:rsid w:val="00A43E1D"/>
    <w:rsid w:val="00A43E50"/>
    <w:rsid w:val="00A43E61"/>
    <w:rsid w:val="00A43ED9"/>
    <w:rsid w:val="00A43F7E"/>
    <w:rsid w:val="00A43FB7"/>
    <w:rsid w:val="00A4408D"/>
    <w:rsid w:val="00A44133"/>
    <w:rsid w:val="00A443AC"/>
    <w:rsid w:val="00A4441E"/>
    <w:rsid w:val="00A44465"/>
    <w:rsid w:val="00A44500"/>
    <w:rsid w:val="00A44502"/>
    <w:rsid w:val="00A44535"/>
    <w:rsid w:val="00A446D5"/>
    <w:rsid w:val="00A44803"/>
    <w:rsid w:val="00A4490F"/>
    <w:rsid w:val="00A44B4D"/>
    <w:rsid w:val="00A44BB3"/>
    <w:rsid w:val="00A44BFD"/>
    <w:rsid w:val="00A44C47"/>
    <w:rsid w:val="00A44F67"/>
    <w:rsid w:val="00A4522F"/>
    <w:rsid w:val="00A454AE"/>
    <w:rsid w:val="00A4564F"/>
    <w:rsid w:val="00A45817"/>
    <w:rsid w:val="00A45947"/>
    <w:rsid w:val="00A46577"/>
    <w:rsid w:val="00A4664D"/>
    <w:rsid w:val="00A46805"/>
    <w:rsid w:val="00A4687E"/>
    <w:rsid w:val="00A46B93"/>
    <w:rsid w:val="00A46BF1"/>
    <w:rsid w:val="00A46CC7"/>
    <w:rsid w:val="00A46E8D"/>
    <w:rsid w:val="00A47195"/>
    <w:rsid w:val="00A473EC"/>
    <w:rsid w:val="00A4748B"/>
    <w:rsid w:val="00A47580"/>
    <w:rsid w:val="00A47704"/>
    <w:rsid w:val="00A47718"/>
    <w:rsid w:val="00A4778E"/>
    <w:rsid w:val="00A4795F"/>
    <w:rsid w:val="00A47AB6"/>
    <w:rsid w:val="00A47CDB"/>
    <w:rsid w:val="00A47E01"/>
    <w:rsid w:val="00A47FC1"/>
    <w:rsid w:val="00A50033"/>
    <w:rsid w:val="00A500A0"/>
    <w:rsid w:val="00A50169"/>
    <w:rsid w:val="00A50266"/>
    <w:rsid w:val="00A503CE"/>
    <w:rsid w:val="00A504CB"/>
    <w:rsid w:val="00A50554"/>
    <w:rsid w:val="00A506EA"/>
    <w:rsid w:val="00A50717"/>
    <w:rsid w:val="00A50890"/>
    <w:rsid w:val="00A5093D"/>
    <w:rsid w:val="00A5093E"/>
    <w:rsid w:val="00A50B36"/>
    <w:rsid w:val="00A50D89"/>
    <w:rsid w:val="00A50F91"/>
    <w:rsid w:val="00A510AB"/>
    <w:rsid w:val="00A51348"/>
    <w:rsid w:val="00A51372"/>
    <w:rsid w:val="00A5154C"/>
    <w:rsid w:val="00A51827"/>
    <w:rsid w:val="00A5186B"/>
    <w:rsid w:val="00A518F6"/>
    <w:rsid w:val="00A51C4A"/>
    <w:rsid w:val="00A51E5B"/>
    <w:rsid w:val="00A52060"/>
    <w:rsid w:val="00A520A4"/>
    <w:rsid w:val="00A52245"/>
    <w:rsid w:val="00A52328"/>
    <w:rsid w:val="00A523EE"/>
    <w:rsid w:val="00A5247C"/>
    <w:rsid w:val="00A52610"/>
    <w:rsid w:val="00A527A1"/>
    <w:rsid w:val="00A52802"/>
    <w:rsid w:val="00A52998"/>
    <w:rsid w:val="00A529AC"/>
    <w:rsid w:val="00A52B2F"/>
    <w:rsid w:val="00A52D0D"/>
    <w:rsid w:val="00A52D1F"/>
    <w:rsid w:val="00A5303A"/>
    <w:rsid w:val="00A5307F"/>
    <w:rsid w:val="00A5334B"/>
    <w:rsid w:val="00A53361"/>
    <w:rsid w:val="00A5342A"/>
    <w:rsid w:val="00A53467"/>
    <w:rsid w:val="00A5349F"/>
    <w:rsid w:val="00A53673"/>
    <w:rsid w:val="00A53943"/>
    <w:rsid w:val="00A53A17"/>
    <w:rsid w:val="00A53AEA"/>
    <w:rsid w:val="00A53AF8"/>
    <w:rsid w:val="00A53BE8"/>
    <w:rsid w:val="00A53E6C"/>
    <w:rsid w:val="00A53F4D"/>
    <w:rsid w:val="00A5408B"/>
    <w:rsid w:val="00A5430F"/>
    <w:rsid w:val="00A54414"/>
    <w:rsid w:val="00A54633"/>
    <w:rsid w:val="00A5468D"/>
    <w:rsid w:val="00A54766"/>
    <w:rsid w:val="00A547D6"/>
    <w:rsid w:val="00A54962"/>
    <w:rsid w:val="00A54C5D"/>
    <w:rsid w:val="00A54CE2"/>
    <w:rsid w:val="00A54EA4"/>
    <w:rsid w:val="00A54F2A"/>
    <w:rsid w:val="00A55124"/>
    <w:rsid w:val="00A55320"/>
    <w:rsid w:val="00A553CB"/>
    <w:rsid w:val="00A55422"/>
    <w:rsid w:val="00A55A36"/>
    <w:rsid w:val="00A55AA9"/>
    <w:rsid w:val="00A55AAB"/>
    <w:rsid w:val="00A55B79"/>
    <w:rsid w:val="00A55D97"/>
    <w:rsid w:val="00A55DAF"/>
    <w:rsid w:val="00A563CE"/>
    <w:rsid w:val="00A56410"/>
    <w:rsid w:val="00A56428"/>
    <w:rsid w:val="00A564F5"/>
    <w:rsid w:val="00A56A2F"/>
    <w:rsid w:val="00A56B72"/>
    <w:rsid w:val="00A56FBF"/>
    <w:rsid w:val="00A57142"/>
    <w:rsid w:val="00A575C5"/>
    <w:rsid w:val="00A57988"/>
    <w:rsid w:val="00A57C45"/>
    <w:rsid w:val="00A57D02"/>
    <w:rsid w:val="00A57D49"/>
    <w:rsid w:val="00A57E29"/>
    <w:rsid w:val="00A57E5E"/>
    <w:rsid w:val="00A57FCB"/>
    <w:rsid w:val="00A6015E"/>
    <w:rsid w:val="00A602BD"/>
    <w:rsid w:val="00A602EC"/>
    <w:rsid w:val="00A60331"/>
    <w:rsid w:val="00A6044E"/>
    <w:rsid w:val="00A60461"/>
    <w:rsid w:val="00A6052E"/>
    <w:rsid w:val="00A607B2"/>
    <w:rsid w:val="00A607B6"/>
    <w:rsid w:val="00A60A2F"/>
    <w:rsid w:val="00A60C06"/>
    <w:rsid w:val="00A60D1D"/>
    <w:rsid w:val="00A60EB8"/>
    <w:rsid w:val="00A6105B"/>
    <w:rsid w:val="00A61464"/>
    <w:rsid w:val="00A61470"/>
    <w:rsid w:val="00A614E4"/>
    <w:rsid w:val="00A6167B"/>
    <w:rsid w:val="00A616C9"/>
    <w:rsid w:val="00A6176F"/>
    <w:rsid w:val="00A61985"/>
    <w:rsid w:val="00A61994"/>
    <w:rsid w:val="00A61B38"/>
    <w:rsid w:val="00A61C2F"/>
    <w:rsid w:val="00A61C54"/>
    <w:rsid w:val="00A61C89"/>
    <w:rsid w:val="00A61E35"/>
    <w:rsid w:val="00A61FE1"/>
    <w:rsid w:val="00A6216A"/>
    <w:rsid w:val="00A6218D"/>
    <w:rsid w:val="00A6231B"/>
    <w:rsid w:val="00A6239A"/>
    <w:rsid w:val="00A623EF"/>
    <w:rsid w:val="00A624BC"/>
    <w:rsid w:val="00A62770"/>
    <w:rsid w:val="00A6287C"/>
    <w:rsid w:val="00A6289B"/>
    <w:rsid w:val="00A628D8"/>
    <w:rsid w:val="00A62ADD"/>
    <w:rsid w:val="00A62B3A"/>
    <w:rsid w:val="00A62BF1"/>
    <w:rsid w:val="00A62C07"/>
    <w:rsid w:val="00A63115"/>
    <w:rsid w:val="00A631E3"/>
    <w:rsid w:val="00A63208"/>
    <w:rsid w:val="00A6346D"/>
    <w:rsid w:val="00A636CC"/>
    <w:rsid w:val="00A63A9D"/>
    <w:rsid w:val="00A63E5D"/>
    <w:rsid w:val="00A642F5"/>
    <w:rsid w:val="00A6448E"/>
    <w:rsid w:val="00A645C4"/>
    <w:rsid w:val="00A64759"/>
    <w:rsid w:val="00A6489F"/>
    <w:rsid w:val="00A64AFC"/>
    <w:rsid w:val="00A64C91"/>
    <w:rsid w:val="00A64D65"/>
    <w:rsid w:val="00A64E1B"/>
    <w:rsid w:val="00A64F02"/>
    <w:rsid w:val="00A65023"/>
    <w:rsid w:val="00A65088"/>
    <w:rsid w:val="00A650E5"/>
    <w:rsid w:val="00A65195"/>
    <w:rsid w:val="00A651AA"/>
    <w:rsid w:val="00A6528F"/>
    <w:rsid w:val="00A652B3"/>
    <w:rsid w:val="00A6537F"/>
    <w:rsid w:val="00A654F8"/>
    <w:rsid w:val="00A6559A"/>
    <w:rsid w:val="00A655C4"/>
    <w:rsid w:val="00A65633"/>
    <w:rsid w:val="00A6571A"/>
    <w:rsid w:val="00A6573A"/>
    <w:rsid w:val="00A6583E"/>
    <w:rsid w:val="00A65A76"/>
    <w:rsid w:val="00A65B34"/>
    <w:rsid w:val="00A65B8C"/>
    <w:rsid w:val="00A65BA5"/>
    <w:rsid w:val="00A65BD5"/>
    <w:rsid w:val="00A65C66"/>
    <w:rsid w:val="00A65CB0"/>
    <w:rsid w:val="00A65DEA"/>
    <w:rsid w:val="00A6620E"/>
    <w:rsid w:val="00A66228"/>
    <w:rsid w:val="00A66662"/>
    <w:rsid w:val="00A666E0"/>
    <w:rsid w:val="00A6681D"/>
    <w:rsid w:val="00A66BCF"/>
    <w:rsid w:val="00A66DC5"/>
    <w:rsid w:val="00A66EC9"/>
    <w:rsid w:val="00A67146"/>
    <w:rsid w:val="00A67199"/>
    <w:rsid w:val="00A673E4"/>
    <w:rsid w:val="00A674FC"/>
    <w:rsid w:val="00A67520"/>
    <w:rsid w:val="00A6753D"/>
    <w:rsid w:val="00A67573"/>
    <w:rsid w:val="00A67594"/>
    <w:rsid w:val="00A67713"/>
    <w:rsid w:val="00A677C2"/>
    <w:rsid w:val="00A67829"/>
    <w:rsid w:val="00A678A9"/>
    <w:rsid w:val="00A6790A"/>
    <w:rsid w:val="00A67990"/>
    <w:rsid w:val="00A67B72"/>
    <w:rsid w:val="00A67C15"/>
    <w:rsid w:val="00A67C57"/>
    <w:rsid w:val="00A67E2B"/>
    <w:rsid w:val="00A67E8F"/>
    <w:rsid w:val="00A67F6A"/>
    <w:rsid w:val="00A67F8C"/>
    <w:rsid w:val="00A6AE1F"/>
    <w:rsid w:val="00A70118"/>
    <w:rsid w:val="00A70130"/>
    <w:rsid w:val="00A701CA"/>
    <w:rsid w:val="00A70654"/>
    <w:rsid w:val="00A70998"/>
    <w:rsid w:val="00A70ABB"/>
    <w:rsid w:val="00A70ADB"/>
    <w:rsid w:val="00A70D2A"/>
    <w:rsid w:val="00A70D70"/>
    <w:rsid w:val="00A70F13"/>
    <w:rsid w:val="00A71167"/>
    <w:rsid w:val="00A715CE"/>
    <w:rsid w:val="00A71606"/>
    <w:rsid w:val="00A7168F"/>
    <w:rsid w:val="00A7176E"/>
    <w:rsid w:val="00A71801"/>
    <w:rsid w:val="00A71838"/>
    <w:rsid w:val="00A71B48"/>
    <w:rsid w:val="00A71E0A"/>
    <w:rsid w:val="00A71E49"/>
    <w:rsid w:val="00A7219B"/>
    <w:rsid w:val="00A72291"/>
    <w:rsid w:val="00A7237B"/>
    <w:rsid w:val="00A7258A"/>
    <w:rsid w:val="00A726E6"/>
    <w:rsid w:val="00A72B84"/>
    <w:rsid w:val="00A72E10"/>
    <w:rsid w:val="00A72F10"/>
    <w:rsid w:val="00A72F51"/>
    <w:rsid w:val="00A73204"/>
    <w:rsid w:val="00A732EA"/>
    <w:rsid w:val="00A733C3"/>
    <w:rsid w:val="00A7373B"/>
    <w:rsid w:val="00A73961"/>
    <w:rsid w:val="00A739CC"/>
    <w:rsid w:val="00A73AF2"/>
    <w:rsid w:val="00A73D2C"/>
    <w:rsid w:val="00A74000"/>
    <w:rsid w:val="00A740B7"/>
    <w:rsid w:val="00A74105"/>
    <w:rsid w:val="00A7429A"/>
    <w:rsid w:val="00A7431D"/>
    <w:rsid w:val="00A745A5"/>
    <w:rsid w:val="00A745FF"/>
    <w:rsid w:val="00A7480D"/>
    <w:rsid w:val="00A7482F"/>
    <w:rsid w:val="00A748E1"/>
    <w:rsid w:val="00A74A1E"/>
    <w:rsid w:val="00A74B53"/>
    <w:rsid w:val="00A74C1C"/>
    <w:rsid w:val="00A74C9D"/>
    <w:rsid w:val="00A7502D"/>
    <w:rsid w:val="00A751D9"/>
    <w:rsid w:val="00A752C0"/>
    <w:rsid w:val="00A7550A"/>
    <w:rsid w:val="00A755BE"/>
    <w:rsid w:val="00A75708"/>
    <w:rsid w:val="00A75ABC"/>
    <w:rsid w:val="00A75C2C"/>
    <w:rsid w:val="00A75D4C"/>
    <w:rsid w:val="00A75DDB"/>
    <w:rsid w:val="00A75DF6"/>
    <w:rsid w:val="00A75E2F"/>
    <w:rsid w:val="00A75EB9"/>
    <w:rsid w:val="00A75ED7"/>
    <w:rsid w:val="00A761CB"/>
    <w:rsid w:val="00A765C7"/>
    <w:rsid w:val="00A7663C"/>
    <w:rsid w:val="00A767F8"/>
    <w:rsid w:val="00A768C4"/>
    <w:rsid w:val="00A76962"/>
    <w:rsid w:val="00A76AFA"/>
    <w:rsid w:val="00A76B46"/>
    <w:rsid w:val="00A76FFC"/>
    <w:rsid w:val="00A77009"/>
    <w:rsid w:val="00A77189"/>
    <w:rsid w:val="00A771E6"/>
    <w:rsid w:val="00A77397"/>
    <w:rsid w:val="00A773DE"/>
    <w:rsid w:val="00A7776A"/>
    <w:rsid w:val="00A77917"/>
    <w:rsid w:val="00A77B3B"/>
    <w:rsid w:val="00A77DE1"/>
    <w:rsid w:val="00A77F0D"/>
    <w:rsid w:val="00A80436"/>
    <w:rsid w:val="00A8044F"/>
    <w:rsid w:val="00A8046E"/>
    <w:rsid w:val="00A804FA"/>
    <w:rsid w:val="00A80849"/>
    <w:rsid w:val="00A80893"/>
    <w:rsid w:val="00A80997"/>
    <w:rsid w:val="00A80AEB"/>
    <w:rsid w:val="00A80AFB"/>
    <w:rsid w:val="00A80BBA"/>
    <w:rsid w:val="00A80C8A"/>
    <w:rsid w:val="00A80D00"/>
    <w:rsid w:val="00A80D8F"/>
    <w:rsid w:val="00A80FA4"/>
    <w:rsid w:val="00A8124F"/>
    <w:rsid w:val="00A812CE"/>
    <w:rsid w:val="00A812D2"/>
    <w:rsid w:val="00A812D9"/>
    <w:rsid w:val="00A8142D"/>
    <w:rsid w:val="00A81437"/>
    <w:rsid w:val="00A81535"/>
    <w:rsid w:val="00A815C9"/>
    <w:rsid w:val="00A8174E"/>
    <w:rsid w:val="00A819E8"/>
    <w:rsid w:val="00A81A73"/>
    <w:rsid w:val="00A81B14"/>
    <w:rsid w:val="00A81BC3"/>
    <w:rsid w:val="00A81CA9"/>
    <w:rsid w:val="00A81E8B"/>
    <w:rsid w:val="00A82349"/>
    <w:rsid w:val="00A82440"/>
    <w:rsid w:val="00A824BA"/>
    <w:rsid w:val="00A8254B"/>
    <w:rsid w:val="00A826BB"/>
    <w:rsid w:val="00A826F9"/>
    <w:rsid w:val="00A82854"/>
    <w:rsid w:val="00A82869"/>
    <w:rsid w:val="00A82B04"/>
    <w:rsid w:val="00A82C37"/>
    <w:rsid w:val="00A82E8F"/>
    <w:rsid w:val="00A82F85"/>
    <w:rsid w:val="00A82FAD"/>
    <w:rsid w:val="00A82FF0"/>
    <w:rsid w:val="00A8322F"/>
    <w:rsid w:val="00A83301"/>
    <w:rsid w:val="00A83318"/>
    <w:rsid w:val="00A833F1"/>
    <w:rsid w:val="00A83490"/>
    <w:rsid w:val="00A83595"/>
    <w:rsid w:val="00A835D8"/>
    <w:rsid w:val="00A836E6"/>
    <w:rsid w:val="00A83709"/>
    <w:rsid w:val="00A83A69"/>
    <w:rsid w:val="00A83B63"/>
    <w:rsid w:val="00A83B73"/>
    <w:rsid w:val="00A83D6E"/>
    <w:rsid w:val="00A840BD"/>
    <w:rsid w:val="00A84119"/>
    <w:rsid w:val="00A841CC"/>
    <w:rsid w:val="00A84328"/>
    <w:rsid w:val="00A84388"/>
    <w:rsid w:val="00A843DB"/>
    <w:rsid w:val="00A84402"/>
    <w:rsid w:val="00A8450C"/>
    <w:rsid w:val="00A84764"/>
    <w:rsid w:val="00A84973"/>
    <w:rsid w:val="00A849DB"/>
    <w:rsid w:val="00A84CF3"/>
    <w:rsid w:val="00A84D00"/>
    <w:rsid w:val="00A84E25"/>
    <w:rsid w:val="00A84E29"/>
    <w:rsid w:val="00A84E69"/>
    <w:rsid w:val="00A84FED"/>
    <w:rsid w:val="00A85170"/>
    <w:rsid w:val="00A85336"/>
    <w:rsid w:val="00A85B57"/>
    <w:rsid w:val="00A85B90"/>
    <w:rsid w:val="00A85C1F"/>
    <w:rsid w:val="00A85CCC"/>
    <w:rsid w:val="00A85DCE"/>
    <w:rsid w:val="00A85E51"/>
    <w:rsid w:val="00A85E7D"/>
    <w:rsid w:val="00A85ED2"/>
    <w:rsid w:val="00A85F53"/>
    <w:rsid w:val="00A85F71"/>
    <w:rsid w:val="00A86279"/>
    <w:rsid w:val="00A8635B"/>
    <w:rsid w:val="00A8668B"/>
    <w:rsid w:val="00A866B2"/>
    <w:rsid w:val="00A86703"/>
    <w:rsid w:val="00A867AF"/>
    <w:rsid w:val="00A868E3"/>
    <w:rsid w:val="00A8697B"/>
    <w:rsid w:val="00A86AB7"/>
    <w:rsid w:val="00A86AC5"/>
    <w:rsid w:val="00A86B8F"/>
    <w:rsid w:val="00A86C82"/>
    <w:rsid w:val="00A86D85"/>
    <w:rsid w:val="00A86F04"/>
    <w:rsid w:val="00A86F8D"/>
    <w:rsid w:val="00A870FB"/>
    <w:rsid w:val="00A8719F"/>
    <w:rsid w:val="00A872D8"/>
    <w:rsid w:val="00A87605"/>
    <w:rsid w:val="00A87676"/>
    <w:rsid w:val="00A87937"/>
    <w:rsid w:val="00A87B6D"/>
    <w:rsid w:val="00A87CA0"/>
    <w:rsid w:val="00A87CFB"/>
    <w:rsid w:val="00A87D44"/>
    <w:rsid w:val="00A87E2F"/>
    <w:rsid w:val="00A87ECF"/>
    <w:rsid w:val="00A87EF9"/>
    <w:rsid w:val="00A9000F"/>
    <w:rsid w:val="00A90100"/>
    <w:rsid w:val="00A901EC"/>
    <w:rsid w:val="00A903C2"/>
    <w:rsid w:val="00A9047E"/>
    <w:rsid w:val="00A904A9"/>
    <w:rsid w:val="00A904E2"/>
    <w:rsid w:val="00A9054D"/>
    <w:rsid w:val="00A906BB"/>
    <w:rsid w:val="00A907A8"/>
    <w:rsid w:val="00A90831"/>
    <w:rsid w:val="00A908CF"/>
    <w:rsid w:val="00A90A97"/>
    <w:rsid w:val="00A90AFF"/>
    <w:rsid w:val="00A90CB8"/>
    <w:rsid w:val="00A90E19"/>
    <w:rsid w:val="00A90E2B"/>
    <w:rsid w:val="00A90ED8"/>
    <w:rsid w:val="00A90F79"/>
    <w:rsid w:val="00A9100A"/>
    <w:rsid w:val="00A913D8"/>
    <w:rsid w:val="00A913F3"/>
    <w:rsid w:val="00A9149E"/>
    <w:rsid w:val="00A9154A"/>
    <w:rsid w:val="00A916DF"/>
    <w:rsid w:val="00A917F1"/>
    <w:rsid w:val="00A9188F"/>
    <w:rsid w:val="00A918F7"/>
    <w:rsid w:val="00A919CF"/>
    <w:rsid w:val="00A91C09"/>
    <w:rsid w:val="00A91C0A"/>
    <w:rsid w:val="00A91D1F"/>
    <w:rsid w:val="00A91E93"/>
    <w:rsid w:val="00A92014"/>
    <w:rsid w:val="00A9201F"/>
    <w:rsid w:val="00A92057"/>
    <w:rsid w:val="00A920F9"/>
    <w:rsid w:val="00A92189"/>
    <w:rsid w:val="00A921CF"/>
    <w:rsid w:val="00A923E4"/>
    <w:rsid w:val="00A92727"/>
    <w:rsid w:val="00A92885"/>
    <w:rsid w:val="00A928C6"/>
    <w:rsid w:val="00A9296E"/>
    <w:rsid w:val="00A92B03"/>
    <w:rsid w:val="00A92DA2"/>
    <w:rsid w:val="00A92E27"/>
    <w:rsid w:val="00A92EE0"/>
    <w:rsid w:val="00A93007"/>
    <w:rsid w:val="00A93023"/>
    <w:rsid w:val="00A93284"/>
    <w:rsid w:val="00A932B7"/>
    <w:rsid w:val="00A93350"/>
    <w:rsid w:val="00A93620"/>
    <w:rsid w:val="00A93718"/>
    <w:rsid w:val="00A9377E"/>
    <w:rsid w:val="00A93CCE"/>
    <w:rsid w:val="00A93F6A"/>
    <w:rsid w:val="00A93F90"/>
    <w:rsid w:val="00A94033"/>
    <w:rsid w:val="00A9412F"/>
    <w:rsid w:val="00A94219"/>
    <w:rsid w:val="00A944D3"/>
    <w:rsid w:val="00A946F6"/>
    <w:rsid w:val="00A94720"/>
    <w:rsid w:val="00A94745"/>
    <w:rsid w:val="00A94834"/>
    <w:rsid w:val="00A94CF3"/>
    <w:rsid w:val="00A94D06"/>
    <w:rsid w:val="00A9501F"/>
    <w:rsid w:val="00A9505B"/>
    <w:rsid w:val="00A951C1"/>
    <w:rsid w:val="00A951F6"/>
    <w:rsid w:val="00A95206"/>
    <w:rsid w:val="00A95335"/>
    <w:rsid w:val="00A95358"/>
    <w:rsid w:val="00A95586"/>
    <w:rsid w:val="00A955A2"/>
    <w:rsid w:val="00A95603"/>
    <w:rsid w:val="00A956AB"/>
    <w:rsid w:val="00A95873"/>
    <w:rsid w:val="00A959F6"/>
    <w:rsid w:val="00A95AA8"/>
    <w:rsid w:val="00A95B26"/>
    <w:rsid w:val="00A95BA2"/>
    <w:rsid w:val="00A95CA5"/>
    <w:rsid w:val="00A95D90"/>
    <w:rsid w:val="00A95DD1"/>
    <w:rsid w:val="00A95E1F"/>
    <w:rsid w:val="00A9617B"/>
    <w:rsid w:val="00A9631A"/>
    <w:rsid w:val="00A96388"/>
    <w:rsid w:val="00A96480"/>
    <w:rsid w:val="00A9664D"/>
    <w:rsid w:val="00A96807"/>
    <w:rsid w:val="00A969A3"/>
    <w:rsid w:val="00A969C1"/>
    <w:rsid w:val="00A96A76"/>
    <w:rsid w:val="00A96BF0"/>
    <w:rsid w:val="00A96D69"/>
    <w:rsid w:val="00A96E69"/>
    <w:rsid w:val="00A96E84"/>
    <w:rsid w:val="00A96EC7"/>
    <w:rsid w:val="00A96EDA"/>
    <w:rsid w:val="00A96F9E"/>
    <w:rsid w:val="00A9706D"/>
    <w:rsid w:val="00A971F0"/>
    <w:rsid w:val="00A9724B"/>
    <w:rsid w:val="00A97312"/>
    <w:rsid w:val="00A97326"/>
    <w:rsid w:val="00A973FB"/>
    <w:rsid w:val="00A974AD"/>
    <w:rsid w:val="00A974B7"/>
    <w:rsid w:val="00A975BB"/>
    <w:rsid w:val="00A97675"/>
    <w:rsid w:val="00A977AB"/>
    <w:rsid w:val="00A97895"/>
    <w:rsid w:val="00A978A8"/>
    <w:rsid w:val="00A979D9"/>
    <w:rsid w:val="00A97BD5"/>
    <w:rsid w:val="00A97D18"/>
    <w:rsid w:val="00A97D5A"/>
    <w:rsid w:val="00A97D5E"/>
    <w:rsid w:val="00A97D8F"/>
    <w:rsid w:val="00AA0112"/>
    <w:rsid w:val="00AA01FB"/>
    <w:rsid w:val="00AA047E"/>
    <w:rsid w:val="00AA04BB"/>
    <w:rsid w:val="00AA07D9"/>
    <w:rsid w:val="00AA0A9B"/>
    <w:rsid w:val="00AA0B16"/>
    <w:rsid w:val="00AA0B41"/>
    <w:rsid w:val="00AA0E1A"/>
    <w:rsid w:val="00AA0EF1"/>
    <w:rsid w:val="00AA1092"/>
    <w:rsid w:val="00AA112E"/>
    <w:rsid w:val="00AA140B"/>
    <w:rsid w:val="00AA1571"/>
    <w:rsid w:val="00AA1899"/>
    <w:rsid w:val="00AA19BB"/>
    <w:rsid w:val="00AA1B6D"/>
    <w:rsid w:val="00AA1CB3"/>
    <w:rsid w:val="00AA1DE0"/>
    <w:rsid w:val="00AA1E15"/>
    <w:rsid w:val="00AA1E8B"/>
    <w:rsid w:val="00AA1EC4"/>
    <w:rsid w:val="00AA213E"/>
    <w:rsid w:val="00AA215A"/>
    <w:rsid w:val="00AA24CD"/>
    <w:rsid w:val="00AA2826"/>
    <w:rsid w:val="00AA2C80"/>
    <w:rsid w:val="00AA2DFF"/>
    <w:rsid w:val="00AA302E"/>
    <w:rsid w:val="00AA303A"/>
    <w:rsid w:val="00AA346D"/>
    <w:rsid w:val="00AA354A"/>
    <w:rsid w:val="00AA38EC"/>
    <w:rsid w:val="00AA39BE"/>
    <w:rsid w:val="00AA39F0"/>
    <w:rsid w:val="00AA3AC3"/>
    <w:rsid w:val="00AA3E00"/>
    <w:rsid w:val="00AA3EB2"/>
    <w:rsid w:val="00AA407D"/>
    <w:rsid w:val="00AA4307"/>
    <w:rsid w:val="00AA496F"/>
    <w:rsid w:val="00AA4E5F"/>
    <w:rsid w:val="00AA4F25"/>
    <w:rsid w:val="00AA4FB2"/>
    <w:rsid w:val="00AA5275"/>
    <w:rsid w:val="00AA56D0"/>
    <w:rsid w:val="00AA572F"/>
    <w:rsid w:val="00AA5750"/>
    <w:rsid w:val="00AA579C"/>
    <w:rsid w:val="00AA57DE"/>
    <w:rsid w:val="00AA589F"/>
    <w:rsid w:val="00AA58EC"/>
    <w:rsid w:val="00AA5921"/>
    <w:rsid w:val="00AA59A4"/>
    <w:rsid w:val="00AA5D90"/>
    <w:rsid w:val="00AA5E1F"/>
    <w:rsid w:val="00AA5F53"/>
    <w:rsid w:val="00AA60EB"/>
    <w:rsid w:val="00AA61B9"/>
    <w:rsid w:val="00AA61FE"/>
    <w:rsid w:val="00AA6372"/>
    <w:rsid w:val="00AA6495"/>
    <w:rsid w:val="00AA64F5"/>
    <w:rsid w:val="00AA6A60"/>
    <w:rsid w:val="00AA6CEF"/>
    <w:rsid w:val="00AA6ED5"/>
    <w:rsid w:val="00AA7223"/>
    <w:rsid w:val="00AA7514"/>
    <w:rsid w:val="00AA75D8"/>
    <w:rsid w:val="00AA7735"/>
    <w:rsid w:val="00AA7A32"/>
    <w:rsid w:val="00AA7B10"/>
    <w:rsid w:val="00AA7BA1"/>
    <w:rsid w:val="00AA7C9B"/>
    <w:rsid w:val="00AA7E5A"/>
    <w:rsid w:val="00AA7FA1"/>
    <w:rsid w:val="00AA7FF3"/>
    <w:rsid w:val="00AB0016"/>
    <w:rsid w:val="00AB0232"/>
    <w:rsid w:val="00AB0A10"/>
    <w:rsid w:val="00AB0B5F"/>
    <w:rsid w:val="00AB0BF2"/>
    <w:rsid w:val="00AB0C06"/>
    <w:rsid w:val="00AB0C0B"/>
    <w:rsid w:val="00AB0CF7"/>
    <w:rsid w:val="00AB1036"/>
    <w:rsid w:val="00AB11C9"/>
    <w:rsid w:val="00AB11CD"/>
    <w:rsid w:val="00AB156A"/>
    <w:rsid w:val="00AB17E3"/>
    <w:rsid w:val="00AB18C4"/>
    <w:rsid w:val="00AB1AD2"/>
    <w:rsid w:val="00AB1D8F"/>
    <w:rsid w:val="00AB1FBB"/>
    <w:rsid w:val="00AB2015"/>
    <w:rsid w:val="00AB215E"/>
    <w:rsid w:val="00AB21DD"/>
    <w:rsid w:val="00AB2261"/>
    <w:rsid w:val="00AB2536"/>
    <w:rsid w:val="00AB2998"/>
    <w:rsid w:val="00AB2A0F"/>
    <w:rsid w:val="00AB2F25"/>
    <w:rsid w:val="00AB3149"/>
    <w:rsid w:val="00AB31E6"/>
    <w:rsid w:val="00AB3217"/>
    <w:rsid w:val="00AB339D"/>
    <w:rsid w:val="00AB3536"/>
    <w:rsid w:val="00AB3542"/>
    <w:rsid w:val="00AB3568"/>
    <w:rsid w:val="00AB3593"/>
    <w:rsid w:val="00AB39B6"/>
    <w:rsid w:val="00AB3BEC"/>
    <w:rsid w:val="00AB3C98"/>
    <w:rsid w:val="00AB3D40"/>
    <w:rsid w:val="00AB3ED1"/>
    <w:rsid w:val="00AB3F7E"/>
    <w:rsid w:val="00AB3FAE"/>
    <w:rsid w:val="00AB41A0"/>
    <w:rsid w:val="00AB43C9"/>
    <w:rsid w:val="00AB44B2"/>
    <w:rsid w:val="00AB44EB"/>
    <w:rsid w:val="00AB4554"/>
    <w:rsid w:val="00AB45FC"/>
    <w:rsid w:val="00AB46ED"/>
    <w:rsid w:val="00AB47DE"/>
    <w:rsid w:val="00AB4AAF"/>
    <w:rsid w:val="00AB4BF6"/>
    <w:rsid w:val="00AB4DBA"/>
    <w:rsid w:val="00AB4F45"/>
    <w:rsid w:val="00AB4F9B"/>
    <w:rsid w:val="00AB4FAD"/>
    <w:rsid w:val="00AB4FB1"/>
    <w:rsid w:val="00AB4FF7"/>
    <w:rsid w:val="00AB5044"/>
    <w:rsid w:val="00AB539F"/>
    <w:rsid w:val="00AB557E"/>
    <w:rsid w:val="00AB5717"/>
    <w:rsid w:val="00AB574B"/>
    <w:rsid w:val="00AB5AD0"/>
    <w:rsid w:val="00AB5C6C"/>
    <w:rsid w:val="00AB5CCD"/>
    <w:rsid w:val="00AB5DCD"/>
    <w:rsid w:val="00AB5E31"/>
    <w:rsid w:val="00AB5F3B"/>
    <w:rsid w:val="00AB5F65"/>
    <w:rsid w:val="00AB6098"/>
    <w:rsid w:val="00AB6122"/>
    <w:rsid w:val="00AB6251"/>
    <w:rsid w:val="00AB628B"/>
    <w:rsid w:val="00AB6327"/>
    <w:rsid w:val="00AB6666"/>
    <w:rsid w:val="00AB667A"/>
    <w:rsid w:val="00AB67CA"/>
    <w:rsid w:val="00AB6B42"/>
    <w:rsid w:val="00AB6B6F"/>
    <w:rsid w:val="00AB6CE3"/>
    <w:rsid w:val="00AB6DA1"/>
    <w:rsid w:val="00AB6FD1"/>
    <w:rsid w:val="00AB6FEA"/>
    <w:rsid w:val="00AB7014"/>
    <w:rsid w:val="00AB70D3"/>
    <w:rsid w:val="00AB71AC"/>
    <w:rsid w:val="00AB7457"/>
    <w:rsid w:val="00AB7793"/>
    <w:rsid w:val="00AB7D6E"/>
    <w:rsid w:val="00AC0066"/>
    <w:rsid w:val="00AC00DC"/>
    <w:rsid w:val="00AC0304"/>
    <w:rsid w:val="00AC0345"/>
    <w:rsid w:val="00AC039F"/>
    <w:rsid w:val="00AC068C"/>
    <w:rsid w:val="00AC0AA9"/>
    <w:rsid w:val="00AC0B1A"/>
    <w:rsid w:val="00AC0BBF"/>
    <w:rsid w:val="00AC0EF2"/>
    <w:rsid w:val="00AC0FAB"/>
    <w:rsid w:val="00AC1021"/>
    <w:rsid w:val="00AC1038"/>
    <w:rsid w:val="00AC10C5"/>
    <w:rsid w:val="00AC1171"/>
    <w:rsid w:val="00AC12AE"/>
    <w:rsid w:val="00AC1336"/>
    <w:rsid w:val="00AC1400"/>
    <w:rsid w:val="00AC150D"/>
    <w:rsid w:val="00AC1801"/>
    <w:rsid w:val="00AC1B15"/>
    <w:rsid w:val="00AC1B3F"/>
    <w:rsid w:val="00AC1C30"/>
    <w:rsid w:val="00AC1C9A"/>
    <w:rsid w:val="00AC1DFA"/>
    <w:rsid w:val="00AC1E16"/>
    <w:rsid w:val="00AC1F62"/>
    <w:rsid w:val="00AC1F7A"/>
    <w:rsid w:val="00AC1FBD"/>
    <w:rsid w:val="00AC2107"/>
    <w:rsid w:val="00AC22F9"/>
    <w:rsid w:val="00AC23F5"/>
    <w:rsid w:val="00AC2640"/>
    <w:rsid w:val="00AC2925"/>
    <w:rsid w:val="00AC2A20"/>
    <w:rsid w:val="00AC2B1E"/>
    <w:rsid w:val="00AC2C30"/>
    <w:rsid w:val="00AC2CC8"/>
    <w:rsid w:val="00AC2D0C"/>
    <w:rsid w:val="00AC2F00"/>
    <w:rsid w:val="00AC2F65"/>
    <w:rsid w:val="00AC30D5"/>
    <w:rsid w:val="00AC320B"/>
    <w:rsid w:val="00AC3214"/>
    <w:rsid w:val="00AC325D"/>
    <w:rsid w:val="00AC342B"/>
    <w:rsid w:val="00AC355C"/>
    <w:rsid w:val="00AC35E2"/>
    <w:rsid w:val="00AC3657"/>
    <w:rsid w:val="00AC389F"/>
    <w:rsid w:val="00AC3FAE"/>
    <w:rsid w:val="00AC4133"/>
    <w:rsid w:val="00AC4235"/>
    <w:rsid w:val="00AC4319"/>
    <w:rsid w:val="00AC4519"/>
    <w:rsid w:val="00AC452D"/>
    <w:rsid w:val="00AC4534"/>
    <w:rsid w:val="00AC454C"/>
    <w:rsid w:val="00AC4584"/>
    <w:rsid w:val="00AC46AE"/>
    <w:rsid w:val="00AC4EE7"/>
    <w:rsid w:val="00AC4FB7"/>
    <w:rsid w:val="00AC50D2"/>
    <w:rsid w:val="00AC518D"/>
    <w:rsid w:val="00AC5332"/>
    <w:rsid w:val="00AC5342"/>
    <w:rsid w:val="00AC5411"/>
    <w:rsid w:val="00AC555D"/>
    <w:rsid w:val="00AC56DF"/>
    <w:rsid w:val="00AC5B8E"/>
    <w:rsid w:val="00AC5D3F"/>
    <w:rsid w:val="00AC5DA2"/>
    <w:rsid w:val="00AC5DED"/>
    <w:rsid w:val="00AC5F64"/>
    <w:rsid w:val="00AC601B"/>
    <w:rsid w:val="00AC6235"/>
    <w:rsid w:val="00AC66BE"/>
    <w:rsid w:val="00AC6711"/>
    <w:rsid w:val="00AC67A9"/>
    <w:rsid w:val="00AC67D1"/>
    <w:rsid w:val="00AC6A41"/>
    <w:rsid w:val="00AC6B66"/>
    <w:rsid w:val="00AC6B83"/>
    <w:rsid w:val="00AC6BAA"/>
    <w:rsid w:val="00AC6DE1"/>
    <w:rsid w:val="00AC6DEB"/>
    <w:rsid w:val="00AC7012"/>
    <w:rsid w:val="00AC70BE"/>
    <w:rsid w:val="00AC7145"/>
    <w:rsid w:val="00AC71B0"/>
    <w:rsid w:val="00AC71CD"/>
    <w:rsid w:val="00AC7328"/>
    <w:rsid w:val="00AC740E"/>
    <w:rsid w:val="00AC741C"/>
    <w:rsid w:val="00AC7446"/>
    <w:rsid w:val="00AC74DA"/>
    <w:rsid w:val="00AC7513"/>
    <w:rsid w:val="00AC7613"/>
    <w:rsid w:val="00AC797F"/>
    <w:rsid w:val="00AC7A7A"/>
    <w:rsid w:val="00AC7B1D"/>
    <w:rsid w:val="00AC7CF7"/>
    <w:rsid w:val="00AC7FD2"/>
    <w:rsid w:val="00AD013C"/>
    <w:rsid w:val="00AD016A"/>
    <w:rsid w:val="00AD0371"/>
    <w:rsid w:val="00AD0495"/>
    <w:rsid w:val="00AD0550"/>
    <w:rsid w:val="00AD05A7"/>
    <w:rsid w:val="00AD0617"/>
    <w:rsid w:val="00AD07BE"/>
    <w:rsid w:val="00AD07E3"/>
    <w:rsid w:val="00AD092E"/>
    <w:rsid w:val="00AD09F3"/>
    <w:rsid w:val="00AD0A89"/>
    <w:rsid w:val="00AD0AEE"/>
    <w:rsid w:val="00AD0B74"/>
    <w:rsid w:val="00AD0E8B"/>
    <w:rsid w:val="00AD1341"/>
    <w:rsid w:val="00AD1405"/>
    <w:rsid w:val="00AD149C"/>
    <w:rsid w:val="00AD14D4"/>
    <w:rsid w:val="00AD150D"/>
    <w:rsid w:val="00AD15A5"/>
    <w:rsid w:val="00AD15AC"/>
    <w:rsid w:val="00AD15FF"/>
    <w:rsid w:val="00AD171B"/>
    <w:rsid w:val="00AD1862"/>
    <w:rsid w:val="00AD1ADA"/>
    <w:rsid w:val="00AD1B43"/>
    <w:rsid w:val="00AD1EF3"/>
    <w:rsid w:val="00AD200B"/>
    <w:rsid w:val="00AD20C8"/>
    <w:rsid w:val="00AD2266"/>
    <w:rsid w:val="00AD22AF"/>
    <w:rsid w:val="00AD24AD"/>
    <w:rsid w:val="00AD25B2"/>
    <w:rsid w:val="00AD27DF"/>
    <w:rsid w:val="00AD27E8"/>
    <w:rsid w:val="00AD2A05"/>
    <w:rsid w:val="00AD2D15"/>
    <w:rsid w:val="00AD2DA6"/>
    <w:rsid w:val="00AD2DF9"/>
    <w:rsid w:val="00AD2E8D"/>
    <w:rsid w:val="00AD2FE4"/>
    <w:rsid w:val="00AD317F"/>
    <w:rsid w:val="00AD3233"/>
    <w:rsid w:val="00AD328E"/>
    <w:rsid w:val="00AD32AE"/>
    <w:rsid w:val="00AD32E3"/>
    <w:rsid w:val="00AD336A"/>
    <w:rsid w:val="00AD33B3"/>
    <w:rsid w:val="00AD3846"/>
    <w:rsid w:val="00AD3BFB"/>
    <w:rsid w:val="00AD3D05"/>
    <w:rsid w:val="00AD3DD9"/>
    <w:rsid w:val="00AD4098"/>
    <w:rsid w:val="00AD419E"/>
    <w:rsid w:val="00AD430A"/>
    <w:rsid w:val="00AD4387"/>
    <w:rsid w:val="00AD445F"/>
    <w:rsid w:val="00AD44F4"/>
    <w:rsid w:val="00AD47D4"/>
    <w:rsid w:val="00AD4981"/>
    <w:rsid w:val="00AD49B9"/>
    <w:rsid w:val="00AD4C0F"/>
    <w:rsid w:val="00AD4C93"/>
    <w:rsid w:val="00AD4D15"/>
    <w:rsid w:val="00AD4E02"/>
    <w:rsid w:val="00AD4E85"/>
    <w:rsid w:val="00AD4E98"/>
    <w:rsid w:val="00AD4F7B"/>
    <w:rsid w:val="00AD52C2"/>
    <w:rsid w:val="00AD5327"/>
    <w:rsid w:val="00AD5373"/>
    <w:rsid w:val="00AD5468"/>
    <w:rsid w:val="00AD5490"/>
    <w:rsid w:val="00AD54BD"/>
    <w:rsid w:val="00AD5500"/>
    <w:rsid w:val="00AD5715"/>
    <w:rsid w:val="00AD5A35"/>
    <w:rsid w:val="00AD5ABA"/>
    <w:rsid w:val="00AD5AEE"/>
    <w:rsid w:val="00AD5B42"/>
    <w:rsid w:val="00AD5BD4"/>
    <w:rsid w:val="00AD5E2E"/>
    <w:rsid w:val="00AD5F05"/>
    <w:rsid w:val="00AD6081"/>
    <w:rsid w:val="00AD618C"/>
    <w:rsid w:val="00AD63BB"/>
    <w:rsid w:val="00AD63F9"/>
    <w:rsid w:val="00AD640B"/>
    <w:rsid w:val="00AD642B"/>
    <w:rsid w:val="00AD642C"/>
    <w:rsid w:val="00AD64BE"/>
    <w:rsid w:val="00AD6591"/>
    <w:rsid w:val="00AD6644"/>
    <w:rsid w:val="00AD664E"/>
    <w:rsid w:val="00AD683E"/>
    <w:rsid w:val="00AD6AEA"/>
    <w:rsid w:val="00AD6C0C"/>
    <w:rsid w:val="00AD6C1F"/>
    <w:rsid w:val="00AD6CDB"/>
    <w:rsid w:val="00AD6E76"/>
    <w:rsid w:val="00AD7155"/>
    <w:rsid w:val="00AD721D"/>
    <w:rsid w:val="00AD7425"/>
    <w:rsid w:val="00AD7643"/>
    <w:rsid w:val="00AD76BA"/>
    <w:rsid w:val="00AD794C"/>
    <w:rsid w:val="00AD795F"/>
    <w:rsid w:val="00AD7A9A"/>
    <w:rsid w:val="00AD7D2B"/>
    <w:rsid w:val="00AD7F13"/>
    <w:rsid w:val="00AE00C7"/>
    <w:rsid w:val="00AE019C"/>
    <w:rsid w:val="00AE022C"/>
    <w:rsid w:val="00AE0236"/>
    <w:rsid w:val="00AE02FF"/>
    <w:rsid w:val="00AE031A"/>
    <w:rsid w:val="00AE03D8"/>
    <w:rsid w:val="00AE0492"/>
    <w:rsid w:val="00AE0694"/>
    <w:rsid w:val="00AE06CB"/>
    <w:rsid w:val="00AE07EF"/>
    <w:rsid w:val="00AE0B61"/>
    <w:rsid w:val="00AE0DBA"/>
    <w:rsid w:val="00AE0EB8"/>
    <w:rsid w:val="00AE0F72"/>
    <w:rsid w:val="00AE0FA6"/>
    <w:rsid w:val="00AE0FF1"/>
    <w:rsid w:val="00AE10FF"/>
    <w:rsid w:val="00AE123A"/>
    <w:rsid w:val="00AE143B"/>
    <w:rsid w:val="00AE1539"/>
    <w:rsid w:val="00AE17EE"/>
    <w:rsid w:val="00AE197C"/>
    <w:rsid w:val="00AE1A63"/>
    <w:rsid w:val="00AE1CCA"/>
    <w:rsid w:val="00AE2175"/>
    <w:rsid w:val="00AE22DD"/>
    <w:rsid w:val="00AE2421"/>
    <w:rsid w:val="00AE2681"/>
    <w:rsid w:val="00AE27BD"/>
    <w:rsid w:val="00AE27EE"/>
    <w:rsid w:val="00AE288F"/>
    <w:rsid w:val="00AE292B"/>
    <w:rsid w:val="00AE2A87"/>
    <w:rsid w:val="00AE2CFB"/>
    <w:rsid w:val="00AE302A"/>
    <w:rsid w:val="00AE313D"/>
    <w:rsid w:val="00AE3151"/>
    <w:rsid w:val="00AE3220"/>
    <w:rsid w:val="00AE32EE"/>
    <w:rsid w:val="00AE33B6"/>
    <w:rsid w:val="00AE345C"/>
    <w:rsid w:val="00AE3494"/>
    <w:rsid w:val="00AE34D1"/>
    <w:rsid w:val="00AE34FF"/>
    <w:rsid w:val="00AE3505"/>
    <w:rsid w:val="00AE3537"/>
    <w:rsid w:val="00AE367A"/>
    <w:rsid w:val="00AE36BF"/>
    <w:rsid w:val="00AE385A"/>
    <w:rsid w:val="00AE398F"/>
    <w:rsid w:val="00AE3ABA"/>
    <w:rsid w:val="00AE3B0E"/>
    <w:rsid w:val="00AE3C31"/>
    <w:rsid w:val="00AE3DDC"/>
    <w:rsid w:val="00AE3E82"/>
    <w:rsid w:val="00AE4036"/>
    <w:rsid w:val="00AE4224"/>
    <w:rsid w:val="00AE439A"/>
    <w:rsid w:val="00AE4768"/>
    <w:rsid w:val="00AE48DA"/>
    <w:rsid w:val="00AE4BE2"/>
    <w:rsid w:val="00AE4D66"/>
    <w:rsid w:val="00AE4D77"/>
    <w:rsid w:val="00AE4DA4"/>
    <w:rsid w:val="00AE5337"/>
    <w:rsid w:val="00AE538D"/>
    <w:rsid w:val="00AE5493"/>
    <w:rsid w:val="00AE5546"/>
    <w:rsid w:val="00AE5591"/>
    <w:rsid w:val="00AE5813"/>
    <w:rsid w:val="00AE5B6A"/>
    <w:rsid w:val="00AE5C34"/>
    <w:rsid w:val="00AE5CB4"/>
    <w:rsid w:val="00AE5D57"/>
    <w:rsid w:val="00AE5EC0"/>
    <w:rsid w:val="00AE5ED9"/>
    <w:rsid w:val="00AE5FB7"/>
    <w:rsid w:val="00AE65BD"/>
    <w:rsid w:val="00AE67A2"/>
    <w:rsid w:val="00AE6BD2"/>
    <w:rsid w:val="00AE6BD5"/>
    <w:rsid w:val="00AE6C1B"/>
    <w:rsid w:val="00AE6EF0"/>
    <w:rsid w:val="00AE7258"/>
    <w:rsid w:val="00AE7344"/>
    <w:rsid w:val="00AE74FF"/>
    <w:rsid w:val="00AE7566"/>
    <w:rsid w:val="00AE75DD"/>
    <w:rsid w:val="00AE76ED"/>
    <w:rsid w:val="00AE7746"/>
    <w:rsid w:val="00AE776B"/>
    <w:rsid w:val="00AE7771"/>
    <w:rsid w:val="00AE77BE"/>
    <w:rsid w:val="00AE7871"/>
    <w:rsid w:val="00AE79BD"/>
    <w:rsid w:val="00AE7A0D"/>
    <w:rsid w:val="00AE7B24"/>
    <w:rsid w:val="00AE7BDE"/>
    <w:rsid w:val="00AE7BEC"/>
    <w:rsid w:val="00AE7C28"/>
    <w:rsid w:val="00AF00C3"/>
    <w:rsid w:val="00AF0198"/>
    <w:rsid w:val="00AF019E"/>
    <w:rsid w:val="00AF031F"/>
    <w:rsid w:val="00AF0411"/>
    <w:rsid w:val="00AF056F"/>
    <w:rsid w:val="00AF0A8A"/>
    <w:rsid w:val="00AF0CF9"/>
    <w:rsid w:val="00AF0D0C"/>
    <w:rsid w:val="00AF116D"/>
    <w:rsid w:val="00AF1221"/>
    <w:rsid w:val="00AF1296"/>
    <w:rsid w:val="00AF13A5"/>
    <w:rsid w:val="00AF1568"/>
    <w:rsid w:val="00AF1649"/>
    <w:rsid w:val="00AF17BA"/>
    <w:rsid w:val="00AF18C1"/>
    <w:rsid w:val="00AF1AE2"/>
    <w:rsid w:val="00AF1F40"/>
    <w:rsid w:val="00AF1F68"/>
    <w:rsid w:val="00AF2097"/>
    <w:rsid w:val="00AF2233"/>
    <w:rsid w:val="00AF22B8"/>
    <w:rsid w:val="00AF2332"/>
    <w:rsid w:val="00AF2678"/>
    <w:rsid w:val="00AF282D"/>
    <w:rsid w:val="00AF2903"/>
    <w:rsid w:val="00AF290F"/>
    <w:rsid w:val="00AF2A0B"/>
    <w:rsid w:val="00AF2BFD"/>
    <w:rsid w:val="00AF2CCE"/>
    <w:rsid w:val="00AF2CEF"/>
    <w:rsid w:val="00AF2D31"/>
    <w:rsid w:val="00AF2E09"/>
    <w:rsid w:val="00AF304C"/>
    <w:rsid w:val="00AF3131"/>
    <w:rsid w:val="00AF33FD"/>
    <w:rsid w:val="00AF38C2"/>
    <w:rsid w:val="00AF38FC"/>
    <w:rsid w:val="00AF3B3C"/>
    <w:rsid w:val="00AF3C2B"/>
    <w:rsid w:val="00AF3CFF"/>
    <w:rsid w:val="00AF3DAE"/>
    <w:rsid w:val="00AF3EDE"/>
    <w:rsid w:val="00AF40A0"/>
    <w:rsid w:val="00AF4186"/>
    <w:rsid w:val="00AF421F"/>
    <w:rsid w:val="00AF4275"/>
    <w:rsid w:val="00AF4309"/>
    <w:rsid w:val="00AF4355"/>
    <w:rsid w:val="00AF44D2"/>
    <w:rsid w:val="00AF44E0"/>
    <w:rsid w:val="00AF458F"/>
    <w:rsid w:val="00AF45FC"/>
    <w:rsid w:val="00AF471E"/>
    <w:rsid w:val="00AF472E"/>
    <w:rsid w:val="00AF477F"/>
    <w:rsid w:val="00AF4852"/>
    <w:rsid w:val="00AF499F"/>
    <w:rsid w:val="00AF49E2"/>
    <w:rsid w:val="00AF4ABE"/>
    <w:rsid w:val="00AF4EDE"/>
    <w:rsid w:val="00AF5046"/>
    <w:rsid w:val="00AF5106"/>
    <w:rsid w:val="00AF513C"/>
    <w:rsid w:val="00AF51D0"/>
    <w:rsid w:val="00AF5375"/>
    <w:rsid w:val="00AF558C"/>
    <w:rsid w:val="00AF5625"/>
    <w:rsid w:val="00AF578B"/>
    <w:rsid w:val="00AF587F"/>
    <w:rsid w:val="00AF5B05"/>
    <w:rsid w:val="00AF5BDA"/>
    <w:rsid w:val="00AF5CCA"/>
    <w:rsid w:val="00AF5D79"/>
    <w:rsid w:val="00AF5E28"/>
    <w:rsid w:val="00AF6064"/>
    <w:rsid w:val="00AF613D"/>
    <w:rsid w:val="00AF63E9"/>
    <w:rsid w:val="00AF63FF"/>
    <w:rsid w:val="00AF6420"/>
    <w:rsid w:val="00AF6457"/>
    <w:rsid w:val="00AF64BA"/>
    <w:rsid w:val="00AF6588"/>
    <w:rsid w:val="00AF68D8"/>
    <w:rsid w:val="00AF6A8A"/>
    <w:rsid w:val="00AF6BB3"/>
    <w:rsid w:val="00AF6BFA"/>
    <w:rsid w:val="00AF6C9C"/>
    <w:rsid w:val="00AF6F62"/>
    <w:rsid w:val="00AF7000"/>
    <w:rsid w:val="00AF722E"/>
    <w:rsid w:val="00AF75C4"/>
    <w:rsid w:val="00AF7775"/>
    <w:rsid w:val="00AF782B"/>
    <w:rsid w:val="00AF786C"/>
    <w:rsid w:val="00AF7A57"/>
    <w:rsid w:val="00AF7A83"/>
    <w:rsid w:val="00AF7BAD"/>
    <w:rsid w:val="00AF7BE7"/>
    <w:rsid w:val="00AF7D95"/>
    <w:rsid w:val="00AF7E58"/>
    <w:rsid w:val="00AF7E65"/>
    <w:rsid w:val="00AF7F47"/>
    <w:rsid w:val="00AF7F8E"/>
    <w:rsid w:val="00B00109"/>
    <w:rsid w:val="00B00150"/>
    <w:rsid w:val="00B0034C"/>
    <w:rsid w:val="00B00422"/>
    <w:rsid w:val="00B00677"/>
    <w:rsid w:val="00B00807"/>
    <w:rsid w:val="00B009A7"/>
    <w:rsid w:val="00B009AC"/>
    <w:rsid w:val="00B00B84"/>
    <w:rsid w:val="00B01147"/>
    <w:rsid w:val="00B01330"/>
    <w:rsid w:val="00B01437"/>
    <w:rsid w:val="00B014A4"/>
    <w:rsid w:val="00B014BE"/>
    <w:rsid w:val="00B0153B"/>
    <w:rsid w:val="00B0157C"/>
    <w:rsid w:val="00B0158D"/>
    <w:rsid w:val="00B016BA"/>
    <w:rsid w:val="00B01AA7"/>
    <w:rsid w:val="00B01DAF"/>
    <w:rsid w:val="00B0217B"/>
    <w:rsid w:val="00B021A8"/>
    <w:rsid w:val="00B021E0"/>
    <w:rsid w:val="00B0225D"/>
    <w:rsid w:val="00B0242D"/>
    <w:rsid w:val="00B0265F"/>
    <w:rsid w:val="00B027EB"/>
    <w:rsid w:val="00B02891"/>
    <w:rsid w:val="00B0289B"/>
    <w:rsid w:val="00B028FA"/>
    <w:rsid w:val="00B02A8E"/>
    <w:rsid w:val="00B02C16"/>
    <w:rsid w:val="00B02CDF"/>
    <w:rsid w:val="00B02E6F"/>
    <w:rsid w:val="00B02F5E"/>
    <w:rsid w:val="00B03162"/>
    <w:rsid w:val="00B03264"/>
    <w:rsid w:val="00B032C3"/>
    <w:rsid w:val="00B0365B"/>
    <w:rsid w:val="00B0382E"/>
    <w:rsid w:val="00B03855"/>
    <w:rsid w:val="00B03A64"/>
    <w:rsid w:val="00B03A88"/>
    <w:rsid w:val="00B03BBD"/>
    <w:rsid w:val="00B03C58"/>
    <w:rsid w:val="00B03E28"/>
    <w:rsid w:val="00B03E4A"/>
    <w:rsid w:val="00B04048"/>
    <w:rsid w:val="00B0407D"/>
    <w:rsid w:val="00B04124"/>
    <w:rsid w:val="00B04290"/>
    <w:rsid w:val="00B04575"/>
    <w:rsid w:val="00B04594"/>
    <w:rsid w:val="00B045EA"/>
    <w:rsid w:val="00B04677"/>
    <w:rsid w:val="00B046E7"/>
    <w:rsid w:val="00B047D3"/>
    <w:rsid w:val="00B04909"/>
    <w:rsid w:val="00B049E5"/>
    <w:rsid w:val="00B04AF9"/>
    <w:rsid w:val="00B04C85"/>
    <w:rsid w:val="00B04E55"/>
    <w:rsid w:val="00B04E82"/>
    <w:rsid w:val="00B04EA8"/>
    <w:rsid w:val="00B04F55"/>
    <w:rsid w:val="00B0510D"/>
    <w:rsid w:val="00B0514F"/>
    <w:rsid w:val="00B0534A"/>
    <w:rsid w:val="00B053B0"/>
    <w:rsid w:val="00B0540C"/>
    <w:rsid w:val="00B056C0"/>
    <w:rsid w:val="00B05729"/>
    <w:rsid w:val="00B0574F"/>
    <w:rsid w:val="00B057F8"/>
    <w:rsid w:val="00B058E7"/>
    <w:rsid w:val="00B05AA3"/>
    <w:rsid w:val="00B05B55"/>
    <w:rsid w:val="00B05D18"/>
    <w:rsid w:val="00B05FDD"/>
    <w:rsid w:val="00B061BF"/>
    <w:rsid w:val="00B064F8"/>
    <w:rsid w:val="00B06539"/>
    <w:rsid w:val="00B06820"/>
    <w:rsid w:val="00B06885"/>
    <w:rsid w:val="00B069D1"/>
    <w:rsid w:val="00B06D31"/>
    <w:rsid w:val="00B06FC3"/>
    <w:rsid w:val="00B07466"/>
    <w:rsid w:val="00B074CE"/>
    <w:rsid w:val="00B07523"/>
    <w:rsid w:val="00B07587"/>
    <w:rsid w:val="00B077B2"/>
    <w:rsid w:val="00B07811"/>
    <w:rsid w:val="00B078AA"/>
    <w:rsid w:val="00B0799B"/>
    <w:rsid w:val="00B07BDD"/>
    <w:rsid w:val="00B07D3D"/>
    <w:rsid w:val="00B07D8E"/>
    <w:rsid w:val="00B10017"/>
    <w:rsid w:val="00B10247"/>
    <w:rsid w:val="00B10536"/>
    <w:rsid w:val="00B10570"/>
    <w:rsid w:val="00B106A2"/>
    <w:rsid w:val="00B1077E"/>
    <w:rsid w:val="00B10869"/>
    <w:rsid w:val="00B10A1E"/>
    <w:rsid w:val="00B10AE0"/>
    <w:rsid w:val="00B10B5F"/>
    <w:rsid w:val="00B10BD4"/>
    <w:rsid w:val="00B110FD"/>
    <w:rsid w:val="00B11228"/>
    <w:rsid w:val="00B112AB"/>
    <w:rsid w:val="00B11680"/>
    <w:rsid w:val="00B116AE"/>
    <w:rsid w:val="00B1172D"/>
    <w:rsid w:val="00B11761"/>
    <w:rsid w:val="00B11994"/>
    <w:rsid w:val="00B11AB5"/>
    <w:rsid w:val="00B11BF6"/>
    <w:rsid w:val="00B11C3D"/>
    <w:rsid w:val="00B11CF2"/>
    <w:rsid w:val="00B11F81"/>
    <w:rsid w:val="00B121DC"/>
    <w:rsid w:val="00B122A0"/>
    <w:rsid w:val="00B12912"/>
    <w:rsid w:val="00B12941"/>
    <w:rsid w:val="00B12BB6"/>
    <w:rsid w:val="00B12C41"/>
    <w:rsid w:val="00B12C89"/>
    <w:rsid w:val="00B12DDF"/>
    <w:rsid w:val="00B12DEA"/>
    <w:rsid w:val="00B12FC4"/>
    <w:rsid w:val="00B134CD"/>
    <w:rsid w:val="00B136A4"/>
    <w:rsid w:val="00B137ED"/>
    <w:rsid w:val="00B138DC"/>
    <w:rsid w:val="00B13D2A"/>
    <w:rsid w:val="00B13D72"/>
    <w:rsid w:val="00B13DE6"/>
    <w:rsid w:val="00B14194"/>
    <w:rsid w:val="00B1436E"/>
    <w:rsid w:val="00B145AA"/>
    <w:rsid w:val="00B147A7"/>
    <w:rsid w:val="00B149D8"/>
    <w:rsid w:val="00B149EE"/>
    <w:rsid w:val="00B14B9C"/>
    <w:rsid w:val="00B14BC7"/>
    <w:rsid w:val="00B14C47"/>
    <w:rsid w:val="00B14C9D"/>
    <w:rsid w:val="00B14D46"/>
    <w:rsid w:val="00B14E2D"/>
    <w:rsid w:val="00B1500F"/>
    <w:rsid w:val="00B15051"/>
    <w:rsid w:val="00B1524C"/>
    <w:rsid w:val="00B152C8"/>
    <w:rsid w:val="00B15310"/>
    <w:rsid w:val="00B154B9"/>
    <w:rsid w:val="00B15529"/>
    <w:rsid w:val="00B15681"/>
    <w:rsid w:val="00B15916"/>
    <w:rsid w:val="00B159F7"/>
    <w:rsid w:val="00B15A17"/>
    <w:rsid w:val="00B15C0E"/>
    <w:rsid w:val="00B15C9E"/>
    <w:rsid w:val="00B15CC7"/>
    <w:rsid w:val="00B16154"/>
    <w:rsid w:val="00B16182"/>
    <w:rsid w:val="00B163D6"/>
    <w:rsid w:val="00B1655A"/>
    <w:rsid w:val="00B1664B"/>
    <w:rsid w:val="00B166BC"/>
    <w:rsid w:val="00B1679E"/>
    <w:rsid w:val="00B16850"/>
    <w:rsid w:val="00B16A57"/>
    <w:rsid w:val="00B16C54"/>
    <w:rsid w:val="00B16D3D"/>
    <w:rsid w:val="00B16DFB"/>
    <w:rsid w:val="00B1700A"/>
    <w:rsid w:val="00B17131"/>
    <w:rsid w:val="00B17235"/>
    <w:rsid w:val="00B17366"/>
    <w:rsid w:val="00B175E7"/>
    <w:rsid w:val="00B17658"/>
    <w:rsid w:val="00B178DC"/>
    <w:rsid w:val="00B1794D"/>
    <w:rsid w:val="00B17B71"/>
    <w:rsid w:val="00B17D7B"/>
    <w:rsid w:val="00B17DDC"/>
    <w:rsid w:val="00B17E7C"/>
    <w:rsid w:val="00B20318"/>
    <w:rsid w:val="00B20355"/>
    <w:rsid w:val="00B20456"/>
    <w:rsid w:val="00B20809"/>
    <w:rsid w:val="00B209A4"/>
    <w:rsid w:val="00B20A71"/>
    <w:rsid w:val="00B20C3C"/>
    <w:rsid w:val="00B20E5F"/>
    <w:rsid w:val="00B20ED2"/>
    <w:rsid w:val="00B20F22"/>
    <w:rsid w:val="00B21041"/>
    <w:rsid w:val="00B21113"/>
    <w:rsid w:val="00B2113D"/>
    <w:rsid w:val="00B2134D"/>
    <w:rsid w:val="00B2135B"/>
    <w:rsid w:val="00B21532"/>
    <w:rsid w:val="00B21617"/>
    <w:rsid w:val="00B21776"/>
    <w:rsid w:val="00B2189A"/>
    <w:rsid w:val="00B219C6"/>
    <w:rsid w:val="00B21AF7"/>
    <w:rsid w:val="00B21EC6"/>
    <w:rsid w:val="00B21F89"/>
    <w:rsid w:val="00B222B7"/>
    <w:rsid w:val="00B222F4"/>
    <w:rsid w:val="00B223CD"/>
    <w:rsid w:val="00B22526"/>
    <w:rsid w:val="00B22771"/>
    <w:rsid w:val="00B22BCA"/>
    <w:rsid w:val="00B22BD1"/>
    <w:rsid w:val="00B22C4B"/>
    <w:rsid w:val="00B22C8D"/>
    <w:rsid w:val="00B22C8E"/>
    <w:rsid w:val="00B22F66"/>
    <w:rsid w:val="00B230BC"/>
    <w:rsid w:val="00B230E5"/>
    <w:rsid w:val="00B23426"/>
    <w:rsid w:val="00B23497"/>
    <w:rsid w:val="00B23538"/>
    <w:rsid w:val="00B23581"/>
    <w:rsid w:val="00B237B0"/>
    <w:rsid w:val="00B2381C"/>
    <w:rsid w:val="00B23A03"/>
    <w:rsid w:val="00B23C61"/>
    <w:rsid w:val="00B23CF8"/>
    <w:rsid w:val="00B23D02"/>
    <w:rsid w:val="00B23F90"/>
    <w:rsid w:val="00B24100"/>
    <w:rsid w:val="00B241EB"/>
    <w:rsid w:val="00B24254"/>
    <w:rsid w:val="00B24474"/>
    <w:rsid w:val="00B24480"/>
    <w:rsid w:val="00B2451E"/>
    <w:rsid w:val="00B245C9"/>
    <w:rsid w:val="00B24A2A"/>
    <w:rsid w:val="00B24BF6"/>
    <w:rsid w:val="00B24D06"/>
    <w:rsid w:val="00B24D79"/>
    <w:rsid w:val="00B24DE6"/>
    <w:rsid w:val="00B24E5F"/>
    <w:rsid w:val="00B24ECF"/>
    <w:rsid w:val="00B2501D"/>
    <w:rsid w:val="00B2528A"/>
    <w:rsid w:val="00B25366"/>
    <w:rsid w:val="00B25661"/>
    <w:rsid w:val="00B2574C"/>
    <w:rsid w:val="00B257C3"/>
    <w:rsid w:val="00B25A56"/>
    <w:rsid w:val="00B25DE1"/>
    <w:rsid w:val="00B25E2D"/>
    <w:rsid w:val="00B25EA5"/>
    <w:rsid w:val="00B25F9E"/>
    <w:rsid w:val="00B25FD2"/>
    <w:rsid w:val="00B262CD"/>
    <w:rsid w:val="00B262DA"/>
    <w:rsid w:val="00B26591"/>
    <w:rsid w:val="00B26891"/>
    <w:rsid w:val="00B268BF"/>
    <w:rsid w:val="00B26997"/>
    <w:rsid w:val="00B26B11"/>
    <w:rsid w:val="00B26EBA"/>
    <w:rsid w:val="00B26F85"/>
    <w:rsid w:val="00B270EC"/>
    <w:rsid w:val="00B27194"/>
    <w:rsid w:val="00B271C4"/>
    <w:rsid w:val="00B277E5"/>
    <w:rsid w:val="00B27809"/>
    <w:rsid w:val="00B2786D"/>
    <w:rsid w:val="00B278B6"/>
    <w:rsid w:val="00B27993"/>
    <w:rsid w:val="00B27B25"/>
    <w:rsid w:val="00B27D74"/>
    <w:rsid w:val="00B27DFF"/>
    <w:rsid w:val="00B27E3C"/>
    <w:rsid w:val="00B27EE0"/>
    <w:rsid w:val="00B27F1B"/>
    <w:rsid w:val="00B27F7F"/>
    <w:rsid w:val="00B27FA4"/>
    <w:rsid w:val="00B30110"/>
    <w:rsid w:val="00B3034C"/>
    <w:rsid w:val="00B303BC"/>
    <w:rsid w:val="00B305AE"/>
    <w:rsid w:val="00B3076A"/>
    <w:rsid w:val="00B307C2"/>
    <w:rsid w:val="00B3088A"/>
    <w:rsid w:val="00B30A11"/>
    <w:rsid w:val="00B30B34"/>
    <w:rsid w:val="00B30BEF"/>
    <w:rsid w:val="00B30BF0"/>
    <w:rsid w:val="00B30C78"/>
    <w:rsid w:val="00B30CD6"/>
    <w:rsid w:val="00B30E3C"/>
    <w:rsid w:val="00B3104D"/>
    <w:rsid w:val="00B31151"/>
    <w:rsid w:val="00B3117B"/>
    <w:rsid w:val="00B31185"/>
    <w:rsid w:val="00B312BC"/>
    <w:rsid w:val="00B313C9"/>
    <w:rsid w:val="00B314B2"/>
    <w:rsid w:val="00B31A66"/>
    <w:rsid w:val="00B31A91"/>
    <w:rsid w:val="00B31B27"/>
    <w:rsid w:val="00B31D1B"/>
    <w:rsid w:val="00B31D39"/>
    <w:rsid w:val="00B31DC0"/>
    <w:rsid w:val="00B31E4B"/>
    <w:rsid w:val="00B31E8A"/>
    <w:rsid w:val="00B31EBC"/>
    <w:rsid w:val="00B31F46"/>
    <w:rsid w:val="00B320E4"/>
    <w:rsid w:val="00B3222E"/>
    <w:rsid w:val="00B322C4"/>
    <w:rsid w:val="00B32318"/>
    <w:rsid w:val="00B32505"/>
    <w:rsid w:val="00B32516"/>
    <w:rsid w:val="00B3261B"/>
    <w:rsid w:val="00B32677"/>
    <w:rsid w:val="00B32825"/>
    <w:rsid w:val="00B328C5"/>
    <w:rsid w:val="00B32B3E"/>
    <w:rsid w:val="00B32D03"/>
    <w:rsid w:val="00B32ED7"/>
    <w:rsid w:val="00B33023"/>
    <w:rsid w:val="00B33045"/>
    <w:rsid w:val="00B3314F"/>
    <w:rsid w:val="00B331C8"/>
    <w:rsid w:val="00B331E2"/>
    <w:rsid w:val="00B33559"/>
    <w:rsid w:val="00B33561"/>
    <w:rsid w:val="00B33683"/>
    <w:rsid w:val="00B33703"/>
    <w:rsid w:val="00B3378B"/>
    <w:rsid w:val="00B3386A"/>
    <w:rsid w:val="00B33DDE"/>
    <w:rsid w:val="00B340BC"/>
    <w:rsid w:val="00B3423F"/>
    <w:rsid w:val="00B342EB"/>
    <w:rsid w:val="00B3439D"/>
    <w:rsid w:val="00B343F7"/>
    <w:rsid w:val="00B3456F"/>
    <w:rsid w:val="00B3467B"/>
    <w:rsid w:val="00B34694"/>
    <w:rsid w:val="00B3479F"/>
    <w:rsid w:val="00B34B66"/>
    <w:rsid w:val="00B34BC3"/>
    <w:rsid w:val="00B34C7A"/>
    <w:rsid w:val="00B34D60"/>
    <w:rsid w:val="00B34D8C"/>
    <w:rsid w:val="00B34E9A"/>
    <w:rsid w:val="00B34F1C"/>
    <w:rsid w:val="00B34F70"/>
    <w:rsid w:val="00B34FBD"/>
    <w:rsid w:val="00B34FD8"/>
    <w:rsid w:val="00B35022"/>
    <w:rsid w:val="00B352A2"/>
    <w:rsid w:val="00B35386"/>
    <w:rsid w:val="00B353A4"/>
    <w:rsid w:val="00B354AA"/>
    <w:rsid w:val="00B35511"/>
    <w:rsid w:val="00B35593"/>
    <w:rsid w:val="00B35695"/>
    <w:rsid w:val="00B35791"/>
    <w:rsid w:val="00B3580F"/>
    <w:rsid w:val="00B35A54"/>
    <w:rsid w:val="00B35CA7"/>
    <w:rsid w:val="00B35CBF"/>
    <w:rsid w:val="00B35E29"/>
    <w:rsid w:val="00B35E40"/>
    <w:rsid w:val="00B35F1A"/>
    <w:rsid w:val="00B35F25"/>
    <w:rsid w:val="00B3652A"/>
    <w:rsid w:val="00B365A2"/>
    <w:rsid w:val="00B36679"/>
    <w:rsid w:val="00B3667D"/>
    <w:rsid w:val="00B3669C"/>
    <w:rsid w:val="00B367E6"/>
    <w:rsid w:val="00B3695C"/>
    <w:rsid w:val="00B36982"/>
    <w:rsid w:val="00B369BA"/>
    <w:rsid w:val="00B36B64"/>
    <w:rsid w:val="00B36C17"/>
    <w:rsid w:val="00B36C2B"/>
    <w:rsid w:val="00B36C60"/>
    <w:rsid w:val="00B36FFC"/>
    <w:rsid w:val="00B3700A"/>
    <w:rsid w:val="00B3702A"/>
    <w:rsid w:val="00B370FB"/>
    <w:rsid w:val="00B37331"/>
    <w:rsid w:val="00B37375"/>
    <w:rsid w:val="00B37762"/>
    <w:rsid w:val="00B377E0"/>
    <w:rsid w:val="00B37824"/>
    <w:rsid w:val="00B378E1"/>
    <w:rsid w:val="00B37B32"/>
    <w:rsid w:val="00B37C24"/>
    <w:rsid w:val="00B37D50"/>
    <w:rsid w:val="00B37E6E"/>
    <w:rsid w:val="00B37F4D"/>
    <w:rsid w:val="00B37FD2"/>
    <w:rsid w:val="00B40159"/>
    <w:rsid w:val="00B40164"/>
    <w:rsid w:val="00B401AC"/>
    <w:rsid w:val="00B402E4"/>
    <w:rsid w:val="00B40306"/>
    <w:rsid w:val="00B403EB"/>
    <w:rsid w:val="00B40447"/>
    <w:rsid w:val="00B404A9"/>
    <w:rsid w:val="00B40525"/>
    <w:rsid w:val="00B40552"/>
    <w:rsid w:val="00B405A1"/>
    <w:rsid w:val="00B405E9"/>
    <w:rsid w:val="00B408D7"/>
    <w:rsid w:val="00B40B02"/>
    <w:rsid w:val="00B40E6E"/>
    <w:rsid w:val="00B40F89"/>
    <w:rsid w:val="00B41113"/>
    <w:rsid w:val="00B4112E"/>
    <w:rsid w:val="00B41135"/>
    <w:rsid w:val="00B41186"/>
    <w:rsid w:val="00B411A2"/>
    <w:rsid w:val="00B41277"/>
    <w:rsid w:val="00B414E3"/>
    <w:rsid w:val="00B41A5B"/>
    <w:rsid w:val="00B41BDF"/>
    <w:rsid w:val="00B41C64"/>
    <w:rsid w:val="00B41C8D"/>
    <w:rsid w:val="00B41D96"/>
    <w:rsid w:val="00B41E34"/>
    <w:rsid w:val="00B41EB2"/>
    <w:rsid w:val="00B42057"/>
    <w:rsid w:val="00B42239"/>
    <w:rsid w:val="00B42259"/>
    <w:rsid w:val="00B4228D"/>
    <w:rsid w:val="00B422DC"/>
    <w:rsid w:val="00B424AF"/>
    <w:rsid w:val="00B4282D"/>
    <w:rsid w:val="00B4287E"/>
    <w:rsid w:val="00B4291D"/>
    <w:rsid w:val="00B42931"/>
    <w:rsid w:val="00B42ABC"/>
    <w:rsid w:val="00B42B9A"/>
    <w:rsid w:val="00B42C26"/>
    <w:rsid w:val="00B42DC5"/>
    <w:rsid w:val="00B42EB1"/>
    <w:rsid w:val="00B43386"/>
    <w:rsid w:val="00B434D2"/>
    <w:rsid w:val="00B43586"/>
    <w:rsid w:val="00B435A0"/>
    <w:rsid w:val="00B435DA"/>
    <w:rsid w:val="00B436A2"/>
    <w:rsid w:val="00B436DD"/>
    <w:rsid w:val="00B437C7"/>
    <w:rsid w:val="00B438BB"/>
    <w:rsid w:val="00B439E0"/>
    <w:rsid w:val="00B43A26"/>
    <w:rsid w:val="00B43C5F"/>
    <w:rsid w:val="00B43CA7"/>
    <w:rsid w:val="00B43D94"/>
    <w:rsid w:val="00B43E2D"/>
    <w:rsid w:val="00B43E73"/>
    <w:rsid w:val="00B43FE9"/>
    <w:rsid w:val="00B440EB"/>
    <w:rsid w:val="00B4422A"/>
    <w:rsid w:val="00B44256"/>
    <w:rsid w:val="00B4433F"/>
    <w:rsid w:val="00B44442"/>
    <w:rsid w:val="00B4453D"/>
    <w:rsid w:val="00B447F5"/>
    <w:rsid w:val="00B4480A"/>
    <w:rsid w:val="00B44887"/>
    <w:rsid w:val="00B4493A"/>
    <w:rsid w:val="00B44C28"/>
    <w:rsid w:val="00B44C49"/>
    <w:rsid w:val="00B4556B"/>
    <w:rsid w:val="00B4557D"/>
    <w:rsid w:val="00B45690"/>
    <w:rsid w:val="00B4584E"/>
    <w:rsid w:val="00B45922"/>
    <w:rsid w:val="00B45C29"/>
    <w:rsid w:val="00B45D28"/>
    <w:rsid w:val="00B45D2E"/>
    <w:rsid w:val="00B45D51"/>
    <w:rsid w:val="00B45DB5"/>
    <w:rsid w:val="00B45EDA"/>
    <w:rsid w:val="00B462FB"/>
    <w:rsid w:val="00B463E6"/>
    <w:rsid w:val="00B463F6"/>
    <w:rsid w:val="00B4645F"/>
    <w:rsid w:val="00B46551"/>
    <w:rsid w:val="00B46594"/>
    <w:rsid w:val="00B46CA8"/>
    <w:rsid w:val="00B46D72"/>
    <w:rsid w:val="00B46E5B"/>
    <w:rsid w:val="00B46FA5"/>
    <w:rsid w:val="00B47253"/>
    <w:rsid w:val="00B47282"/>
    <w:rsid w:val="00B473E2"/>
    <w:rsid w:val="00B47529"/>
    <w:rsid w:val="00B47631"/>
    <w:rsid w:val="00B476AB"/>
    <w:rsid w:val="00B477E2"/>
    <w:rsid w:val="00B47853"/>
    <w:rsid w:val="00B47887"/>
    <w:rsid w:val="00B47966"/>
    <w:rsid w:val="00B47A4F"/>
    <w:rsid w:val="00B47AEB"/>
    <w:rsid w:val="00B47C6D"/>
    <w:rsid w:val="00B47DFD"/>
    <w:rsid w:val="00B47F30"/>
    <w:rsid w:val="00B47FBE"/>
    <w:rsid w:val="00B50379"/>
    <w:rsid w:val="00B504B8"/>
    <w:rsid w:val="00B505B5"/>
    <w:rsid w:val="00B506BE"/>
    <w:rsid w:val="00B50765"/>
    <w:rsid w:val="00B5076D"/>
    <w:rsid w:val="00B50987"/>
    <w:rsid w:val="00B50AEF"/>
    <w:rsid w:val="00B50B6E"/>
    <w:rsid w:val="00B50C13"/>
    <w:rsid w:val="00B50D5A"/>
    <w:rsid w:val="00B50D87"/>
    <w:rsid w:val="00B5127C"/>
    <w:rsid w:val="00B512DD"/>
    <w:rsid w:val="00B5132A"/>
    <w:rsid w:val="00B516CB"/>
    <w:rsid w:val="00B517B1"/>
    <w:rsid w:val="00B519C1"/>
    <w:rsid w:val="00B51A7D"/>
    <w:rsid w:val="00B51AA9"/>
    <w:rsid w:val="00B51AB8"/>
    <w:rsid w:val="00B51B8E"/>
    <w:rsid w:val="00B51BEA"/>
    <w:rsid w:val="00B51D7F"/>
    <w:rsid w:val="00B51E42"/>
    <w:rsid w:val="00B51EE1"/>
    <w:rsid w:val="00B51F58"/>
    <w:rsid w:val="00B52159"/>
    <w:rsid w:val="00B52260"/>
    <w:rsid w:val="00B52365"/>
    <w:rsid w:val="00B523B1"/>
    <w:rsid w:val="00B524BC"/>
    <w:rsid w:val="00B52622"/>
    <w:rsid w:val="00B52685"/>
    <w:rsid w:val="00B526DE"/>
    <w:rsid w:val="00B527D7"/>
    <w:rsid w:val="00B52858"/>
    <w:rsid w:val="00B528A8"/>
    <w:rsid w:val="00B52A49"/>
    <w:rsid w:val="00B52A7E"/>
    <w:rsid w:val="00B52B33"/>
    <w:rsid w:val="00B52C30"/>
    <w:rsid w:val="00B5305D"/>
    <w:rsid w:val="00B53068"/>
    <w:rsid w:val="00B53244"/>
    <w:rsid w:val="00B53418"/>
    <w:rsid w:val="00B53461"/>
    <w:rsid w:val="00B535A8"/>
    <w:rsid w:val="00B535C0"/>
    <w:rsid w:val="00B536A2"/>
    <w:rsid w:val="00B53793"/>
    <w:rsid w:val="00B53853"/>
    <w:rsid w:val="00B539A1"/>
    <w:rsid w:val="00B539B4"/>
    <w:rsid w:val="00B539CD"/>
    <w:rsid w:val="00B53A81"/>
    <w:rsid w:val="00B53B64"/>
    <w:rsid w:val="00B53D5B"/>
    <w:rsid w:val="00B53DE1"/>
    <w:rsid w:val="00B540C6"/>
    <w:rsid w:val="00B5426B"/>
    <w:rsid w:val="00B54353"/>
    <w:rsid w:val="00B544D0"/>
    <w:rsid w:val="00B54638"/>
    <w:rsid w:val="00B54645"/>
    <w:rsid w:val="00B547CD"/>
    <w:rsid w:val="00B547D3"/>
    <w:rsid w:val="00B54CD8"/>
    <w:rsid w:val="00B54D75"/>
    <w:rsid w:val="00B54DA6"/>
    <w:rsid w:val="00B54EF6"/>
    <w:rsid w:val="00B551D6"/>
    <w:rsid w:val="00B5539A"/>
    <w:rsid w:val="00B5543E"/>
    <w:rsid w:val="00B555B1"/>
    <w:rsid w:val="00B556DD"/>
    <w:rsid w:val="00B55792"/>
    <w:rsid w:val="00B557A6"/>
    <w:rsid w:val="00B5592A"/>
    <w:rsid w:val="00B55A9F"/>
    <w:rsid w:val="00B55D95"/>
    <w:rsid w:val="00B55D96"/>
    <w:rsid w:val="00B55EDC"/>
    <w:rsid w:val="00B55FB8"/>
    <w:rsid w:val="00B56183"/>
    <w:rsid w:val="00B561B6"/>
    <w:rsid w:val="00B561DB"/>
    <w:rsid w:val="00B561DC"/>
    <w:rsid w:val="00B56203"/>
    <w:rsid w:val="00B56275"/>
    <w:rsid w:val="00B5628D"/>
    <w:rsid w:val="00B5633F"/>
    <w:rsid w:val="00B5644B"/>
    <w:rsid w:val="00B564FB"/>
    <w:rsid w:val="00B56511"/>
    <w:rsid w:val="00B56702"/>
    <w:rsid w:val="00B56758"/>
    <w:rsid w:val="00B56841"/>
    <w:rsid w:val="00B56C74"/>
    <w:rsid w:val="00B56CDA"/>
    <w:rsid w:val="00B56DAA"/>
    <w:rsid w:val="00B56E5B"/>
    <w:rsid w:val="00B5709F"/>
    <w:rsid w:val="00B571B7"/>
    <w:rsid w:val="00B57229"/>
    <w:rsid w:val="00B574B4"/>
    <w:rsid w:val="00B575C0"/>
    <w:rsid w:val="00B5760A"/>
    <w:rsid w:val="00B576E2"/>
    <w:rsid w:val="00B578F5"/>
    <w:rsid w:val="00B57986"/>
    <w:rsid w:val="00B579EB"/>
    <w:rsid w:val="00B579F1"/>
    <w:rsid w:val="00B579F9"/>
    <w:rsid w:val="00B57AA7"/>
    <w:rsid w:val="00B57CB6"/>
    <w:rsid w:val="00B57F83"/>
    <w:rsid w:val="00B57FFB"/>
    <w:rsid w:val="00B600EA"/>
    <w:rsid w:val="00B60378"/>
    <w:rsid w:val="00B605D6"/>
    <w:rsid w:val="00B6068F"/>
    <w:rsid w:val="00B60A35"/>
    <w:rsid w:val="00B60C19"/>
    <w:rsid w:val="00B60CE7"/>
    <w:rsid w:val="00B610B6"/>
    <w:rsid w:val="00B6148E"/>
    <w:rsid w:val="00B614C4"/>
    <w:rsid w:val="00B614D4"/>
    <w:rsid w:val="00B61637"/>
    <w:rsid w:val="00B61758"/>
    <w:rsid w:val="00B617FD"/>
    <w:rsid w:val="00B61876"/>
    <w:rsid w:val="00B6198C"/>
    <w:rsid w:val="00B619BD"/>
    <w:rsid w:val="00B619D5"/>
    <w:rsid w:val="00B61B77"/>
    <w:rsid w:val="00B61F40"/>
    <w:rsid w:val="00B61FCC"/>
    <w:rsid w:val="00B62080"/>
    <w:rsid w:val="00B6221A"/>
    <w:rsid w:val="00B623E7"/>
    <w:rsid w:val="00B6242A"/>
    <w:rsid w:val="00B62453"/>
    <w:rsid w:val="00B6246E"/>
    <w:rsid w:val="00B62672"/>
    <w:rsid w:val="00B62912"/>
    <w:rsid w:val="00B629A0"/>
    <w:rsid w:val="00B62A53"/>
    <w:rsid w:val="00B62AAD"/>
    <w:rsid w:val="00B62BB9"/>
    <w:rsid w:val="00B62BF8"/>
    <w:rsid w:val="00B62C3F"/>
    <w:rsid w:val="00B62CC3"/>
    <w:rsid w:val="00B62D36"/>
    <w:rsid w:val="00B62DA6"/>
    <w:rsid w:val="00B62FE9"/>
    <w:rsid w:val="00B631AE"/>
    <w:rsid w:val="00B631BB"/>
    <w:rsid w:val="00B634BB"/>
    <w:rsid w:val="00B6355E"/>
    <w:rsid w:val="00B636E4"/>
    <w:rsid w:val="00B6387E"/>
    <w:rsid w:val="00B638CD"/>
    <w:rsid w:val="00B63BC0"/>
    <w:rsid w:val="00B640E8"/>
    <w:rsid w:val="00B64303"/>
    <w:rsid w:val="00B64330"/>
    <w:rsid w:val="00B643A5"/>
    <w:rsid w:val="00B6458F"/>
    <w:rsid w:val="00B6467D"/>
    <w:rsid w:val="00B646AF"/>
    <w:rsid w:val="00B64770"/>
    <w:rsid w:val="00B648B0"/>
    <w:rsid w:val="00B649CF"/>
    <w:rsid w:val="00B649D6"/>
    <w:rsid w:val="00B64A52"/>
    <w:rsid w:val="00B64CEA"/>
    <w:rsid w:val="00B6508F"/>
    <w:rsid w:val="00B650E2"/>
    <w:rsid w:val="00B65221"/>
    <w:rsid w:val="00B65329"/>
    <w:rsid w:val="00B6539D"/>
    <w:rsid w:val="00B65688"/>
    <w:rsid w:val="00B65751"/>
    <w:rsid w:val="00B65A2C"/>
    <w:rsid w:val="00B65ACD"/>
    <w:rsid w:val="00B65C45"/>
    <w:rsid w:val="00B65E30"/>
    <w:rsid w:val="00B65F6C"/>
    <w:rsid w:val="00B65F8C"/>
    <w:rsid w:val="00B660FE"/>
    <w:rsid w:val="00B66245"/>
    <w:rsid w:val="00B66261"/>
    <w:rsid w:val="00B663C8"/>
    <w:rsid w:val="00B6646C"/>
    <w:rsid w:val="00B66494"/>
    <w:rsid w:val="00B664D2"/>
    <w:rsid w:val="00B66530"/>
    <w:rsid w:val="00B66550"/>
    <w:rsid w:val="00B6657B"/>
    <w:rsid w:val="00B6675F"/>
    <w:rsid w:val="00B66767"/>
    <w:rsid w:val="00B6688E"/>
    <w:rsid w:val="00B668F7"/>
    <w:rsid w:val="00B66BF6"/>
    <w:rsid w:val="00B66CDB"/>
    <w:rsid w:val="00B66CE2"/>
    <w:rsid w:val="00B66CFC"/>
    <w:rsid w:val="00B66D2D"/>
    <w:rsid w:val="00B66DBA"/>
    <w:rsid w:val="00B66E0E"/>
    <w:rsid w:val="00B66FD0"/>
    <w:rsid w:val="00B66FD7"/>
    <w:rsid w:val="00B673AD"/>
    <w:rsid w:val="00B67417"/>
    <w:rsid w:val="00B6741D"/>
    <w:rsid w:val="00B67489"/>
    <w:rsid w:val="00B674D4"/>
    <w:rsid w:val="00B6755E"/>
    <w:rsid w:val="00B67712"/>
    <w:rsid w:val="00B67791"/>
    <w:rsid w:val="00B6782E"/>
    <w:rsid w:val="00B6786F"/>
    <w:rsid w:val="00B678A0"/>
    <w:rsid w:val="00B678DB"/>
    <w:rsid w:val="00B678FC"/>
    <w:rsid w:val="00B679DD"/>
    <w:rsid w:val="00B67B2F"/>
    <w:rsid w:val="00B67B59"/>
    <w:rsid w:val="00B67D23"/>
    <w:rsid w:val="00B67E6B"/>
    <w:rsid w:val="00B67F38"/>
    <w:rsid w:val="00B70081"/>
    <w:rsid w:val="00B700D0"/>
    <w:rsid w:val="00B700E6"/>
    <w:rsid w:val="00B701B7"/>
    <w:rsid w:val="00B7033F"/>
    <w:rsid w:val="00B7034B"/>
    <w:rsid w:val="00B70398"/>
    <w:rsid w:val="00B705FD"/>
    <w:rsid w:val="00B70664"/>
    <w:rsid w:val="00B706CF"/>
    <w:rsid w:val="00B70719"/>
    <w:rsid w:val="00B70977"/>
    <w:rsid w:val="00B7097A"/>
    <w:rsid w:val="00B70A7E"/>
    <w:rsid w:val="00B70BFD"/>
    <w:rsid w:val="00B70D61"/>
    <w:rsid w:val="00B71009"/>
    <w:rsid w:val="00B710E0"/>
    <w:rsid w:val="00B711D8"/>
    <w:rsid w:val="00B7130F"/>
    <w:rsid w:val="00B71515"/>
    <w:rsid w:val="00B716D0"/>
    <w:rsid w:val="00B716F1"/>
    <w:rsid w:val="00B7195E"/>
    <w:rsid w:val="00B71C68"/>
    <w:rsid w:val="00B71C9E"/>
    <w:rsid w:val="00B71D21"/>
    <w:rsid w:val="00B71D68"/>
    <w:rsid w:val="00B71DC1"/>
    <w:rsid w:val="00B71DDF"/>
    <w:rsid w:val="00B71FB2"/>
    <w:rsid w:val="00B7203C"/>
    <w:rsid w:val="00B720E9"/>
    <w:rsid w:val="00B72145"/>
    <w:rsid w:val="00B721C0"/>
    <w:rsid w:val="00B725E2"/>
    <w:rsid w:val="00B72731"/>
    <w:rsid w:val="00B72754"/>
    <w:rsid w:val="00B72769"/>
    <w:rsid w:val="00B72943"/>
    <w:rsid w:val="00B72AAB"/>
    <w:rsid w:val="00B72AE6"/>
    <w:rsid w:val="00B72C06"/>
    <w:rsid w:val="00B72C0F"/>
    <w:rsid w:val="00B72E6B"/>
    <w:rsid w:val="00B7327C"/>
    <w:rsid w:val="00B73293"/>
    <w:rsid w:val="00B733E6"/>
    <w:rsid w:val="00B734C3"/>
    <w:rsid w:val="00B73610"/>
    <w:rsid w:val="00B73666"/>
    <w:rsid w:val="00B73772"/>
    <w:rsid w:val="00B7385B"/>
    <w:rsid w:val="00B73977"/>
    <w:rsid w:val="00B73E32"/>
    <w:rsid w:val="00B73FDE"/>
    <w:rsid w:val="00B73FE6"/>
    <w:rsid w:val="00B74143"/>
    <w:rsid w:val="00B7416F"/>
    <w:rsid w:val="00B74283"/>
    <w:rsid w:val="00B742D4"/>
    <w:rsid w:val="00B74371"/>
    <w:rsid w:val="00B743EB"/>
    <w:rsid w:val="00B744B1"/>
    <w:rsid w:val="00B744CD"/>
    <w:rsid w:val="00B74578"/>
    <w:rsid w:val="00B7460F"/>
    <w:rsid w:val="00B7461D"/>
    <w:rsid w:val="00B74628"/>
    <w:rsid w:val="00B74647"/>
    <w:rsid w:val="00B7467C"/>
    <w:rsid w:val="00B749D4"/>
    <w:rsid w:val="00B74BA5"/>
    <w:rsid w:val="00B74FCE"/>
    <w:rsid w:val="00B75030"/>
    <w:rsid w:val="00B752EE"/>
    <w:rsid w:val="00B75745"/>
    <w:rsid w:val="00B75796"/>
    <w:rsid w:val="00B75936"/>
    <w:rsid w:val="00B75942"/>
    <w:rsid w:val="00B75D23"/>
    <w:rsid w:val="00B75E1C"/>
    <w:rsid w:val="00B75FA1"/>
    <w:rsid w:val="00B75FFA"/>
    <w:rsid w:val="00B76243"/>
    <w:rsid w:val="00B762C9"/>
    <w:rsid w:val="00B765A0"/>
    <w:rsid w:val="00B76913"/>
    <w:rsid w:val="00B76961"/>
    <w:rsid w:val="00B769FB"/>
    <w:rsid w:val="00B76A05"/>
    <w:rsid w:val="00B76A8B"/>
    <w:rsid w:val="00B76B02"/>
    <w:rsid w:val="00B76B40"/>
    <w:rsid w:val="00B76BEE"/>
    <w:rsid w:val="00B76C6D"/>
    <w:rsid w:val="00B76CF9"/>
    <w:rsid w:val="00B76D7C"/>
    <w:rsid w:val="00B77212"/>
    <w:rsid w:val="00B77245"/>
    <w:rsid w:val="00B7726C"/>
    <w:rsid w:val="00B772FF"/>
    <w:rsid w:val="00B773F9"/>
    <w:rsid w:val="00B77C67"/>
    <w:rsid w:val="00B77D40"/>
    <w:rsid w:val="00B77E9B"/>
    <w:rsid w:val="00B77F5D"/>
    <w:rsid w:val="00B800B1"/>
    <w:rsid w:val="00B8018E"/>
    <w:rsid w:val="00B80516"/>
    <w:rsid w:val="00B806FC"/>
    <w:rsid w:val="00B80835"/>
    <w:rsid w:val="00B80BE6"/>
    <w:rsid w:val="00B80D70"/>
    <w:rsid w:val="00B80DF7"/>
    <w:rsid w:val="00B80EC9"/>
    <w:rsid w:val="00B811E9"/>
    <w:rsid w:val="00B816AD"/>
    <w:rsid w:val="00B816F7"/>
    <w:rsid w:val="00B81755"/>
    <w:rsid w:val="00B819CA"/>
    <w:rsid w:val="00B819CE"/>
    <w:rsid w:val="00B81B45"/>
    <w:rsid w:val="00B81BDF"/>
    <w:rsid w:val="00B81CD4"/>
    <w:rsid w:val="00B8209B"/>
    <w:rsid w:val="00B821B8"/>
    <w:rsid w:val="00B821D9"/>
    <w:rsid w:val="00B82201"/>
    <w:rsid w:val="00B82247"/>
    <w:rsid w:val="00B823D1"/>
    <w:rsid w:val="00B82B0A"/>
    <w:rsid w:val="00B82EC6"/>
    <w:rsid w:val="00B82F42"/>
    <w:rsid w:val="00B830CA"/>
    <w:rsid w:val="00B830D3"/>
    <w:rsid w:val="00B83133"/>
    <w:rsid w:val="00B83336"/>
    <w:rsid w:val="00B8359F"/>
    <w:rsid w:val="00B83638"/>
    <w:rsid w:val="00B83785"/>
    <w:rsid w:val="00B838ED"/>
    <w:rsid w:val="00B839B3"/>
    <w:rsid w:val="00B83A08"/>
    <w:rsid w:val="00B83A34"/>
    <w:rsid w:val="00B83A7C"/>
    <w:rsid w:val="00B83C37"/>
    <w:rsid w:val="00B83D30"/>
    <w:rsid w:val="00B83D7E"/>
    <w:rsid w:val="00B84195"/>
    <w:rsid w:val="00B84ACC"/>
    <w:rsid w:val="00B84BBD"/>
    <w:rsid w:val="00B84CE3"/>
    <w:rsid w:val="00B84DD2"/>
    <w:rsid w:val="00B8523F"/>
    <w:rsid w:val="00B85305"/>
    <w:rsid w:val="00B85377"/>
    <w:rsid w:val="00B853A2"/>
    <w:rsid w:val="00B853FB"/>
    <w:rsid w:val="00B85456"/>
    <w:rsid w:val="00B85547"/>
    <w:rsid w:val="00B85614"/>
    <w:rsid w:val="00B856C5"/>
    <w:rsid w:val="00B8577A"/>
    <w:rsid w:val="00B857E2"/>
    <w:rsid w:val="00B85C5E"/>
    <w:rsid w:val="00B85CAB"/>
    <w:rsid w:val="00B85E0A"/>
    <w:rsid w:val="00B85F24"/>
    <w:rsid w:val="00B8614E"/>
    <w:rsid w:val="00B861A8"/>
    <w:rsid w:val="00B86463"/>
    <w:rsid w:val="00B86468"/>
    <w:rsid w:val="00B8649F"/>
    <w:rsid w:val="00B86508"/>
    <w:rsid w:val="00B865AF"/>
    <w:rsid w:val="00B86605"/>
    <w:rsid w:val="00B86649"/>
    <w:rsid w:val="00B8669E"/>
    <w:rsid w:val="00B867A1"/>
    <w:rsid w:val="00B869B1"/>
    <w:rsid w:val="00B869D9"/>
    <w:rsid w:val="00B86A43"/>
    <w:rsid w:val="00B86A6C"/>
    <w:rsid w:val="00B86CA6"/>
    <w:rsid w:val="00B87221"/>
    <w:rsid w:val="00B8724E"/>
    <w:rsid w:val="00B87442"/>
    <w:rsid w:val="00B87474"/>
    <w:rsid w:val="00B874D8"/>
    <w:rsid w:val="00B8768A"/>
    <w:rsid w:val="00B876AF"/>
    <w:rsid w:val="00B8798C"/>
    <w:rsid w:val="00B8799A"/>
    <w:rsid w:val="00B87A9F"/>
    <w:rsid w:val="00B87ADC"/>
    <w:rsid w:val="00B87EDA"/>
    <w:rsid w:val="00B87F30"/>
    <w:rsid w:val="00B87F74"/>
    <w:rsid w:val="00B90013"/>
    <w:rsid w:val="00B9002A"/>
    <w:rsid w:val="00B90288"/>
    <w:rsid w:val="00B90383"/>
    <w:rsid w:val="00B908AB"/>
    <w:rsid w:val="00B90A19"/>
    <w:rsid w:val="00B90A6E"/>
    <w:rsid w:val="00B90B60"/>
    <w:rsid w:val="00B90D5B"/>
    <w:rsid w:val="00B90DF0"/>
    <w:rsid w:val="00B90F8B"/>
    <w:rsid w:val="00B90FFE"/>
    <w:rsid w:val="00B91092"/>
    <w:rsid w:val="00B917D4"/>
    <w:rsid w:val="00B91920"/>
    <w:rsid w:val="00B91997"/>
    <w:rsid w:val="00B91A01"/>
    <w:rsid w:val="00B91B4C"/>
    <w:rsid w:val="00B91BE8"/>
    <w:rsid w:val="00B91CA3"/>
    <w:rsid w:val="00B91F53"/>
    <w:rsid w:val="00B92023"/>
    <w:rsid w:val="00B9240B"/>
    <w:rsid w:val="00B92557"/>
    <w:rsid w:val="00B9263F"/>
    <w:rsid w:val="00B9270D"/>
    <w:rsid w:val="00B927F6"/>
    <w:rsid w:val="00B9288A"/>
    <w:rsid w:val="00B92946"/>
    <w:rsid w:val="00B92D10"/>
    <w:rsid w:val="00B92D21"/>
    <w:rsid w:val="00B92DA9"/>
    <w:rsid w:val="00B92DF7"/>
    <w:rsid w:val="00B92E05"/>
    <w:rsid w:val="00B93153"/>
    <w:rsid w:val="00B931AD"/>
    <w:rsid w:val="00B93526"/>
    <w:rsid w:val="00B935A7"/>
    <w:rsid w:val="00B935E7"/>
    <w:rsid w:val="00B9377B"/>
    <w:rsid w:val="00B938F1"/>
    <w:rsid w:val="00B93BA6"/>
    <w:rsid w:val="00B93E26"/>
    <w:rsid w:val="00B93EA7"/>
    <w:rsid w:val="00B93F0A"/>
    <w:rsid w:val="00B93F22"/>
    <w:rsid w:val="00B93F42"/>
    <w:rsid w:val="00B942B4"/>
    <w:rsid w:val="00B949DD"/>
    <w:rsid w:val="00B94A04"/>
    <w:rsid w:val="00B94E9A"/>
    <w:rsid w:val="00B9512E"/>
    <w:rsid w:val="00B9518E"/>
    <w:rsid w:val="00B951B3"/>
    <w:rsid w:val="00B95776"/>
    <w:rsid w:val="00B957B3"/>
    <w:rsid w:val="00B95D85"/>
    <w:rsid w:val="00B9652E"/>
    <w:rsid w:val="00B967DF"/>
    <w:rsid w:val="00B968F4"/>
    <w:rsid w:val="00B96970"/>
    <w:rsid w:val="00B96A62"/>
    <w:rsid w:val="00B96A7A"/>
    <w:rsid w:val="00B96ACE"/>
    <w:rsid w:val="00B96B55"/>
    <w:rsid w:val="00B96CD6"/>
    <w:rsid w:val="00B96E3E"/>
    <w:rsid w:val="00B96ED1"/>
    <w:rsid w:val="00B9706A"/>
    <w:rsid w:val="00B972E7"/>
    <w:rsid w:val="00B97605"/>
    <w:rsid w:val="00B97625"/>
    <w:rsid w:val="00B9770C"/>
    <w:rsid w:val="00B9779C"/>
    <w:rsid w:val="00B97893"/>
    <w:rsid w:val="00B979EC"/>
    <w:rsid w:val="00B979F2"/>
    <w:rsid w:val="00B97A05"/>
    <w:rsid w:val="00B97A8E"/>
    <w:rsid w:val="00B97AFF"/>
    <w:rsid w:val="00B97B73"/>
    <w:rsid w:val="00B97E73"/>
    <w:rsid w:val="00B97EB7"/>
    <w:rsid w:val="00BA04DE"/>
    <w:rsid w:val="00BA09D2"/>
    <w:rsid w:val="00BA0A8E"/>
    <w:rsid w:val="00BA0D10"/>
    <w:rsid w:val="00BA0F30"/>
    <w:rsid w:val="00BA0F52"/>
    <w:rsid w:val="00BA10C8"/>
    <w:rsid w:val="00BA122C"/>
    <w:rsid w:val="00BA1318"/>
    <w:rsid w:val="00BA13BA"/>
    <w:rsid w:val="00BA145F"/>
    <w:rsid w:val="00BA1763"/>
    <w:rsid w:val="00BA1921"/>
    <w:rsid w:val="00BA19FB"/>
    <w:rsid w:val="00BA1A04"/>
    <w:rsid w:val="00BA1A6B"/>
    <w:rsid w:val="00BA1E67"/>
    <w:rsid w:val="00BA1EC0"/>
    <w:rsid w:val="00BA1F3D"/>
    <w:rsid w:val="00BA1FC4"/>
    <w:rsid w:val="00BA2010"/>
    <w:rsid w:val="00BA21E5"/>
    <w:rsid w:val="00BA21F8"/>
    <w:rsid w:val="00BA2314"/>
    <w:rsid w:val="00BA234E"/>
    <w:rsid w:val="00BA23B1"/>
    <w:rsid w:val="00BA23FB"/>
    <w:rsid w:val="00BA25B2"/>
    <w:rsid w:val="00BA25D1"/>
    <w:rsid w:val="00BA2635"/>
    <w:rsid w:val="00BA263D"/>
    <w:rsid w:val="00BA26E1"/>
    <w:rsid w:val="00BA27E7"/>
    <w:rsid w:val="00BA2942"/>
    <w:rsid w:val="00BA29A5"/>
    <w:rsid w:val="00BA32BD"/>
    <w:rsid w:val="00BA3489"/>
    <w:rsid w:val="00BA3495"/>
    <w:rsid w:val="00BA34E2"/>
    <w:rsid w:val="00BA355A"/>
    <w:rsid w:val="00BA35FB"/>
    <w:rsid w:val="00BA377A"/>
    <w:rsid w:val="00BA380F"/>
    <w:rsid w:val="00BA3863"/>
    <w:rsid w:val="00BA39DC"/>
    <w:rsid w:val="00BA3A8A"/>
    <w:rsid w:val="00BA3C1C"/>
    <w:rsid w:val="00BA3DA8"/>
    <w:rsid w:val="00BA3DEF"/>
    <w:rsid w:val="00BA3E10"/>
    <w:rsid w:val="00BA3E23"/>
    <w:rsid w:val="00BA40F6"/>
    <w:rsid w:val="00BA4173"/>
    <w:rsid w:val="00BA41B9"/>
    <w:rsid w:val="00BA4202"/>
    <w:rsid w:val="00BA42E5"/>
    <w:rsid w:val="00BA440C"/>
    <w:rsid w:val="00BA4634"/>
    <w:rsid w:val="00BA47E1"/>
    <w:rsid w:val="00BA4876"/>
    <w:rsid w:val="00BA487B"/>
    <w:rsid w:val="00BA4982"/>
    <w:rsid w:val="00BA4A19"/>
    <w:rsid w:val="00BA4A4B"/>
    <w:rsid w:val="00BA4A8C"/>
    <w:rsid w:val="00BA4AF6"/>
    <w:rsid w:val="00BA4B1B"/>
    <w:rsid w:val="00BA4CB7"/>
    <w:rsid w:val="00BA4D36"/>
    <w:rsid w:val="00BA5007"/>
    <w:rsid w:val="00BA5057"/>
    <w:rsid w:val="00BA50F6"/>
    <w:rsid w:val="00BA51C6"/>
    <w:rsid w:val="00BA5922"/>
    <w:rsid w:val="00BA5C19"/>
    <w:rsid w:val="00BA5D1E"/>
    <w:rsid w:val="00BA618B"/>
    <w:rsid w:val="00BA63C1"/>
    <w:rsid w:val="00BA647E"/>
    <w:rsid w:val="00BA6505"/>
    <w:rsid w:val="00BA6784"/>
    <w:rsid w:val="00BA69CE"/>
    <w:rsid w:val="00BA6B27"/>
    <w:rsid w:val="00BA6E71"/>
    <w:rsid w:val="00BA6ED2"/>
    <w:rsid w:val="00BA7118"/>
    <w:rsid w:val="00BA76F6"/>
    <w:rsid w:val="00BA7BBB"/>
    <w:rsid w:val="00BA7C16"/>
    <w:rsid w:val="00BA7C6A"/>
    <w:rsid w:val="00BA7C88"/>
    <w:rsid w:val="00BA7C9E"/>
    <w:rsid w:val="00BA7D28"/>
    <w:rsid w:val="00BA7D8C"/>
    <w:rsid w:val="00BB002B"/>
    <w:rsid w:val="00BB0128"/>
    <w:rsid w:val="00BB0136"/>
    <w:rsid w:val="00BB01C0"/>
    <w:rsid w:val="00BB02A0"/>
    <w:rsid w:val="00BB02D7"/>
    <w:rsid w:val="00BB0547"/>
    <w:rsid w:val="00BB05C9"/>
    <w:rsid w:val="00BB087C"/>
    <w:rsid w:val="00BB0921"/>
    <w:rsid w:val="00BB0955"/>
    <w:rsid w:val="00BB0A60"/>
    <w:rsid w:val="00BB0BA9"/>
    <w:rsid w:val="00BB0BBF"/>
    <w:rsid w:val="00BB0E4B"/>
    <w:rsid w:val="00BB110E"/>
    <w:rsid w:val="00BB1229"/>
    <w:rsid w:val="00BB1292"/>
    <w:rsid w:val="00BB12B6"/>
    <w:rsid w:val="00BB1328"/>
    <w:rsid w:val="00BB14D0"/>
    <w:rsid w:val="00BB1537"/>
    <w:rsid w:val="00BB16A5"/>
    <w:rsid w:val="00BB171F"/>
    <w:rsid w:val="00BB1A23"/>
    <w:rsid w:val="00BB1A4A"/>
    <w:rsid w:val="00BB1D6D"/>
    <w:rsid w:val="00BB1D8D"/>
    <w:rsid w:val="00BB1E0E"/>
    <w:rsid w:val="00BB2047"/>
    <w:rsid w:val="00BB2442"/>
    <w:rsid w:val="00BB2518"/>
    <w:rsid w:val="00BB254E"/>
    <w:rsid w:val="00BB29F8"/>
    <w:rsid w:val="00BB2B26"/>
    <w:rsid w:val="00BB2D01"/>
    <w:rsid w:val="00BB2E3C"/>
    <w:rsid w:val="00BB30A6"/>
    <w:rsid w:val="00BB35CF"/>
    <w:rsid w:val="00BB35D1"/>
    <w:rsid w:val="00BB37CC"/>
    <w:rsid w:val="00BB3988"/>
    <w:rsid w:val="00BB3D8E"/>
    <w:rsid w:val="00BB4089"/>
    <w:rsid w:val="00BB420F"/>
    <w:rsid w:val="00BB4640"/>
    <w:rsid w:val="00BB47AA"/>
    <w:rsid w:val="00BB48AE"/>
    <w:rsid w:val="00BB4998"/>
    <w:rsid w:val="00BB49B1"/>
    <w:rsid w:val="00BB4AD9"/>
    <w:rsid w:val="00BB4DFB"/>
    <w:rsid w:val="00BB4E88"/>
    <w:rsid w:val="00BB4F59"/>
    <w:rsid w:val="00BB5008"/>
    <w:rsid w:val="00BB5082"/>
    <w:rsid w:val="00BB51D5"/>
    <w:rsid w:val="00BB55D9"/>
    <w:rsid w:val="00BB5604"/>
    <w:rsid w:val="00BB5617"/>
    <w:rsid w:val="00BB56F3"/>
    <w:rsid w:val="00BB57A6"/>
    <w:rsid w:val="00BB5A5F"/>
    <w:rsid w:val="00BB5FDD"/>
    <w:rsid w:val="00BB6002"/>
    <w:rsid w:val="00BB60E9"/>
    <w:rsid w:val="00BB62A7"/>
    <w:rsid w:val="00BB6781"/>
    <w:rsid w:val="00BB67CD"/>
    <w:rsid w:val="00BB686D"/>
    <w:rsid w:val="00BB687E"/>
    <w:rsid w:val="00BB68E6"/>
    <w:rsid w:val="00BB6A5A"/>
    <w:rsid w:val="00BB6AB8"/>
    <w:rsid w:val="00BB6ADD"/>
    <w:rsid w:val="00BB6E9A"/>
    <w:rsid w:val="00BB7275"/>
    <w:rsid w:val="00BB738B"/>
    <w:rsid w:val="00BB73FA"/>
    <w:rsid w:val="00BB7517"/>
    <w:rsid w:val="00BB7791"/>
    <w:rsid w:val="00BB782E"/>
    <w:rsid w:val="00BB7BA7"/>
    <w:rsid w:val="00BB7E80"/>
    <w:rsid w:val="00BB7F7C"/>
    <w:rsid w:val="00BB7FF1"/>
    <w:rsid w:val="00BC00C9"/>
    <w:rsid w:val="00BC01DF"/>
    <w:rsid w:val="00BC0228"/>
    <w:rsid w:val="00BC044B"/>
    <w:rsid w:val="00BC053F"/>
    <w:rsid w:val="00BC0552"/>
    <w:rsid w:val="00BC058D"/>
    <w:rsid w:val="00BC07EB"/>
    <w:rsid w:val="00BC089E"/>
    <w:rsid w:val="00BC0980"/>
    <w:rsid w:val="00BC0F30"/>
    <w:rsid w:val="00BC0FEE"/>
    <w:rsid w:val="00BC109F"/>
    <w:rsid w:val="00BC111D"/>
    <w:rsid w:val="00BC1417"/>
    <w:rsid w:val="00BC168E"/>
    <w:rsid w:val="00BC17DA"/>
    <w:rsid w:val="00BC17E1"/>
    <w:rsid w:val="00BC18D2"/>
    <w:rsid w:val="00BC1982"/>
    <w:rsid w:val="00BC1AD4"/>
    <w:rsid w:val="00BC1B28"/>
    <w:rsid w:val="00BC1C6D"/>
    <w:rsid w:val="00BC1CF8"/>
    <w:rsid w:val="00BC1EE6"/>
    <w:rsid w:val="00BC1F5F"/>
    <w:rsid w:val="00BC1FF1"/>
    <w:rsid w:val="00BC206C"/>
    <w:rsid w:val="00BC2240"/>
    <w:rsid w:val="00BC2480"/>
    <w:rsid w:val="00BC26BF"/>
    <w:rsid w:val="00BC28F8"/>
    <w:rsid w:val="00BC29C4"/>
    <w:rsid w:val="00BC2A2A"/>
    <w:rsid w:val="00BC2AF3"/>
    <w:rsid w:val="00BC2B43"/>
    <w:rsid w:val="00BC2BA6"/>
    <w:rsid w:val="00BC2CE7"/>
    <w:rsid w:val="00BC3075"/>
    <w:rsid w:val="00BC31EC"/>
    <w:rsid w:val="00BC3222"/>
    <w:rsid w:val="00BC326C"/>
    <w:rsid w:val="00BC3415"/>
    <w:rsid w:val="00BC3644"/>
    <w:rsid w:val="00BC38C0"/>
    <w:rsid w:val="00BC39F6"/>
    <w:rsid w:val="00BC3B7F"/>
    <w:rsid w:val="00BC3E2F"/>
    <w:rsid w:val="00BC3E50"/>
    <w:rsid w:val="00BC3FCA"/>
    <w:rsid w:val="00BC411F"/>
    <w:rsid w:val="00BC423B"/>
    <w:rsid w:val="00BC42EC"/>
    <w:rsid w:val="00BC4472"/>
    <w:rsid w:val="00BC45D7"/>
    <w:rsid w:val="00BC473D"/>
    <w:rsid w:val="00BC4C5B"/>
    <w:rsid w:val="00BC4CAB"/>
    <w:rsid w:val="00BC4D9B"/>
    <w:rsid w:val="00BC4FE5"/>
    <w:rsid w:val="00BC5298"/>
    <w:rsid w:val="00BC5309"/>
    <w:rsid w:val="00BC53CA"/>
    <w:rsid w:val="00BC544D"/>
    <w:rsid w:val="00BC54AF"/>
    <w:rsid w:val="00BC552C"/>
    <w:rsid w:val="00BC554A"/>
    <w:rsid w:val="00BC554E"/>
    <w:rsid w:val="00BC5885"/>
    <w:rsid w:val="00BC58CB"/>
    <w:rsid w:val="00BC5945"/>
    <w:rsid w:val="00BC5987"/>
    <w:rsid w:val="00BC5A3F"/>
    <w:rsid w:val="00BC5AF1"/>
    <w:rsid w:val="00BC5B29"/>
    <w:rsid w:val="00BC5B95"/>
    <w:rsid w:val="00BC5BD8"/>
    <w:rsid w:val="00BC5E3B"/>
    <w:rsid w:val="00BC5EC8"/>
    <w:rsid w:val="00BC6161"/>
    <w:rsid w:val="00BC623F"/>
    <w:rsid w:val="00BC6347"/>
    <w:rsid w:val="00BC6816"/>
    <w:rsid w:val="00BC689B"/>
    <w:rsid w:val="00BC68E1"/>
    <w:rsid w:val="00BC69E0"/>
    <w:rsid w:val="00BC6A11"/>
    <w:rsid w:val="00BC6A45"/>
    <w:rsid w:val="00BC6ABC"/>
    <w:rsid w:val="00BC6B11"/>
    <w:rsid w:val="00BC6B7F"/>
    <w:rsid w:val="00BC6CB7"/>
    <w:rsid w:val="00BC6D59"/>
    <w:rsid w:val="00BC6E4B"/>
    <w:rsid w:val="00BC6F6F"/>
    <w:rsid w:val="00BC6F84"/>
    <w:rsid w:val="00BC7375"/>
    <w:rsid w:val="00BC75E9"/>
    <w:rsid w:val="00BC7600"/>
    <w:rsid w:val="00BC764E"/>
    <w:rsid w:val="00BC7849"/>
    <w:rsid w:val="00BC7861"/>
    <w:rsid w:val="00BC787E"/>
    <w:rsid w:val="00BC7AE2"/>
    <w:rsid w:val="00BC7C4F"/>
    <w:rsid w:val="00BC7D24"/>
    <w:rsid w:val="00BC7DE4"/>
    <w:rsid w:val="00BD01CC"/>
    <w:rsid w:val="00BD0331"/>
    <w:rsid w:val="00BD0355"/>
    <w:rsid w:val="00BD0390"/>
    <w:rsid w:val="00BD03B8"/>
    <w:rsid w:val="00BD057D"/>
    <w:rsid w:val="00BD0621"/>
    <w:rsid w:val="00BD0790"/>
    <w:rsid w:val="00BD098D"/>
    <w:rsid w:val="00BD0AF7"/>
    <w:rsid w:val="00BD0B41"/>
    <w:rsid w:val="00BD0D0B"/>
    <w:rsid w:val="00BD0E51"/>
    <w:rsid w:val="00BD0FC6"/>
    <w:rsid w:val="00BD0FF5"/>
    <w:rsid w:val="00BD118E"/>
    <w:rsid w:val="00BD139B"/>
    <w:rsid w:val="00BD140F"/>
    <w:rsid w:val="00BD14A2"/>
    <w:rsid w:val="00BD1677"/>
    <w:rsid w:val="00BD1687"/>
    <w:rsid w:val="00BD1766"/>
    <w:rsid w:val="00BD17C1"/>
    <w:rsid w:val="00BD1826"/>
    <w:rsid w:val="00BD1861"/>
    <w:rsid w:val="00BD18EE"/>
    <w:rsid w:val="00BD18F1"/>
    <w:rsid w:val="00BD18FE"/>
    <w:rsid w:val="00BD1ADB"/>
    <w:rsid w:val="00BD1B50"/>
    <w:rsid w:val="00BD1BC2"/>
    <w:rsid w:val="00BD1DF5"/>
    <w:rsid w:val="00BD1E7D"/>
    <w:rsid w:val="00BD1FE2"/>
    <w:rsid w:val="00BD21FB"/>
    <w:rsid w:val="00BD220D"/>
    <w:rsid w:val="00BD252B"/>
    <w:rsid w:val="00BD2577"/>
    <w:rsid w:val="00BD267D"/>
    <w:rsid w:val="00BD2868"/>
    <w:rsid w:val="00BD2AE3"/>
    <w:rsid w:val="00BD2AFF"/>
    <w:rsid w:val="00BD2B73"/>
    <w:rsid w:val="00BD2B9C"/>
    <w:rsid w:val="00BD2FAD"/>
    <w:rsid w:val="00BD3073"/>
    <w:rsid w:val="00BD3133"/>
    <w:rsid w:val="00BD35C0"/>
    <w:rsid w:val="00BD3659"/>
    <w:rsid w:val="00BD37CF"/>
    <w:rsid w:val="00BD3901"/>
    <w:rsid w:val="00BD3982"/>
    <w:rsid w:val="00BD39BA"/>
    <w:rsid w:val="00BD3B41"/>
    <w:rsid w:val="00BD3CC3"/>
    <w:rsid w:val="00BD3E3B"/>
    <w:rsid w:val="00BD3EF8"/>
    <w:rsid w:val="00BD41F5"/>
    <w:rsid w:val="00BD4206"/>
    <w:rsid w:val="00BD423C"/>
    <w:rsid w:val="00BD42C2"/>
    <w:rsid w:val="00BD42D2"/>
    <w:rsid w:val="00BD4499"/>
    <w:rsid w:val="00BD449A"/>
    <w:rsid w:val="00BD4711"/>
    <w:rsid w:val="00BD4798"/>
    <w:rsid w:val="00BD48C1"/>
    <w:rsid w:val="00BD4A5A"/>
    <w:rsid w:val="00BD4AA0"/>
    <w:rsid w:val="00BD4C45"/>
    <w:rsid w:val="00BD4CD4"/>
    <w:rsid w:val="00BD4D17"/>
    <w:rsid w:val="00BD4D2B"/>
    <w:rsid w:val="00BD504D"/>
    <w:rsid w:val="00BD50C1"/>
    <w:rsid w:val="00BD5115"/>
    <w:rsid w:val="00BD5199"/>
    <w:rsid w:val="00BD53C0"/>
    <w:rsid w:val="00BD5404"/>
    <w:rsid w:val="00BD5903"/>
    <w:rsid w:val="00BD5BFA"/>
    <w:rsid w:val="00BD5C2D"/>
    <w:rsid w:val="00BD5CAD"/>
    <w:rsid w:val="00BD5CD9"/>
    <w:rsid w:val="00BD5CF1"/>
    <w:rsid w:val="00BD5D86"/>
    <w:rsid w:val="00BD5DB7"/>
    <w:rsid w:val="00BD5EB6"/>
    <w:rsid w:val="00BD5F45"/>
    <w:rsid w:val="00BD5FD4"/>
    <w:rsid w:val="00BD604F"/>
    <w:rsid w:val="00BD62CB"/>
    <w:rsid w:val="00BD6300"/>
    <w:rsid w:val="00BD65F3"/>
    <w:rsid w:val="00BD6906"/>
    <w:rsid w:val="00BD6A4F"/>
    <w:rsid w:val="00BD6BB1"/>
    <w:rsid w:val="00BD6CB9"/>
    <w:rsid w:val="00BD6CDC"/>
    <w:rsid w:val="00BD6D13"/>
    <w:rsid w:val="00BD6D4D"/>
    <w:rsid w:val="00BD6E41"/>
    <w:rsid w:val="00BD6E8B"/>
    <w:rsid w:val="00BD6E9B"/>
    <w:rsid w:val="00BD6FC8"/>
    <w:rsid w:val="00BD728C"/>
    <w:rsid w:val="00BD72D8"/>
    <w:rsid w:val="00BD73D7"/>
    <w:rsid w:val="00BD74F7"/>
    <w:rsid w:val="00BD74FF"/>
    <w:rsid w:val="00BD7662"/>
    <w:rsid w:val="00BD7696"/>
    <w:rsid w:val="00BD76F6"/>
    <w:rsid w:val="00BD77BA"/>
    <w:rsid w:val="00BD7A19"/>
    <w:rsid w:val="00BD7A46"/>
    <w:rsid w:val="00BD7AE8"/>
    <w:rsid w:val="00BD7B21"/>
    <w:rsid w:val="00BD7BD5"/>
    <w:rsid w:val="00BE019F"/>
    <w:rsid w:val="00BE0303"/>
    <w:rsid w:val="00BE032F"/>
    <w:rsid w:val="00BE0378"/>
    <w:rsid w:val="00BE0603"/>
    <w:rsid w:val="00BE098E"/>
    <w:rsid w:val="00BE0C37"/>
    <w:rsid w:val="00BE0CDE"/>
    <w:rsid w:val="00BE128D"/>
    <w:rsid w:val="00BE12E2"/>
    <w:rsid w:val="00BE1553"/>
    <w:rsid w:val="00BE162C"/>
    <w:rsid w:val="00BE1647"/>
    <w:rsid w:val="00BE173F"/>
    <w:rsid w:val="00BE17FB"/>
    <w:rsid w:val="00BE18BB"/>
    <w:rsid w:val="00BE1992"/>
    <w:rsid w:val="00BE19AD"/>
    <w:rsid w:val="00BE1AF8"/>
    <w:rsid w:val="00BE1B78"/>
    <w:rsid w:val="00BE1CC6"/>
    <w:rsid w:val="00BE1E92"/>
    <w:rsid w:val="00BE2007"/>
    <w:rsid w:val="00BE20E1"/>
    <w:rsid w:val="00BE2122"/>
    <w:rsid w:val="00BE2189"/>
    <w:rsid w:val="00BE2397"/>
    <w:rsid w:val="00BE25EA"/>
    <w:rsid w:val="00BE2894"/>
    <w:rsid w:val="00BE2B6E"/>
    <w:rsid w:val="00BE2BC5"/>
    <w:rsid w:val="00BE2EFE"/>
    <w:rsid w:val="00BE2F2B"/>
    <w:rsid w:val="00BE3109"/>
    <w:rsid w:val="00BE329A"/>
    <w:rsid w:val="00BE3883"/>
    <w:rsid w:val="00BE3890"/>
    <w:rsid w:val="00BE3B20"/>
    <w:rsid w:val="00BE3B4F"/>
    <w:rsid w:val="00BE3DBC"/>
    <w:rsid w:val="00BE3F37"/>
    <w:rsid w:val="00BE41E6"/>
    <w:rsid w:val="00BE4247"/>
    <w:rsid w:val="00BE4429"/>
    <w:rsid w:val="00BE44BC"/>
    <w:rsid w:val="00BE45EA"/>
    <w:rsid w:val="00BE480E"/>
    <w:rsid w:val="00BE488F"/>
    <w:rsid w:val="00BE490E"/>
    <w:rsid w:val="00BE49BB"/>
    <w:rsid w:val="00BE49F1"/>
    <w:rsid w:val="00BE4A8F"/>
    <w:rsid w:val="00BE4C87"/>
    <w:rsid w:val="00BE4E2F"/>
    <w:rsid w:val="00BE4E7F"/>
    <w:rsid w:val="00BE4E81"/>
    <w:rsid w:val="00BE4FAE"/>
    <w:rsid w:val="00BE502C"/>
    <w:rsid w:val="00BE52D8"/>
    <w:rsid w:val="00BE5437"/>
    <w:rsid w:val="00BE543D"/>
    <w:rsid w:val="00BE56A6"/>
    <w:rsid w:val="00BE57E5"/>
    <w:rsid w:val="00BE5955"/>
    <w:rsid w:val="00BE59F4"/>
    <w:rsid w:val="00BE5A65"/>
    <w:rsid w:val="00BE5AF2"/>
    <w:rsid w:val="00BE5B3F"/>
    <w:rsid w:val="00BE5D6B"/>
    <w:rsid w:val="00BE5DB4"/>
    <w:rsid w:val="00BE5E3A"/>
    <w:rsid w:val="00BE60FD"/>
    <w:rsid w:val="00BE619C"/>
    <w:rsid w:val="00BE6293"/>
    <w:rsid w:val="00BE6354"/>
    <w:rsid w:val="00BE679D"/>
    <w:rsid w:val="00BE67C9"/>
    <w:rsid w:val="00BE6C0B"/>
    <w:rsid w:val="00BE6C60"/>
    <w:rsid w:val="00BE6E96"/>
    <w:rsid w:val="00BE6EA9"/>
    <w:rsid w:val="00BE6F2C"/>
    <w:rsid w:val="00BE6FB2"/>
    <w:rsid w:val="00BE717B"/>
    <w:rsid w:val="00BE731E"/>
    <w:rsid w:val="00BE7437"/>
    <w:rsid w:val="00BE74FA"/>
    <w:rsid w:val="00BE751C"/>
    <w:rsid w:val="00BE7522"/>
    <w:rsid w:val="00BE77C2"/>
    <w:rsid w:val="00BE7826"/>
    <w:rsid w:val="00BE797A"/>
    <w:rsid w:val="00BE79BE"/>
    <w:rsid w:val="00BE7BCF"/>
    <w:rsid w:val="00BE7C79"/>
    <w:rsid w:val="00BF0088"/>
    <w:rsid w:val="00BF0101"/>
    <w:rsid w:val="00BF012A"/>
    <w:rsid w:val="00BF019C"/>
    <w:rsid w:val="00BF0251"/>
    <w:rsid w:val="00BF0351"/>
    <w:rsid w:val="00BF081C"/>
    <w:rsid w:val="00BF08BD"/>
    <w:rsid w:val="00BF0944"/>
    <w:rsid w:val="00BF0A1B"/>
    <w:rsid w:val="00BF0C11"/>
    <w:rsid w:val="00BF0C17"/>
    <w:rsid w:val="00BF0C38"/>
    <w:rsid w:val="00BF0E5E"/>
    <w:rsid w:val="00BF0EAE"/>
    <w:rsid w:val="00BF0EE2"/>
    <w:rsid w:val="00BF0F6B"/>
    <w:rsid w:val="00BF0FD4"/>
    <w:rsid w:val="00BF16D5"/>
    <w:rsid w:val="00BF1C01"/>
    <w:rsid w:val="00BF1CC7"/>
    <w:rsid w:val="00BF1E4F"/>
    <w:rsid w:val="00BF1F0E"/>
    <w:rsid w:val="00BF22EF"/>
    <w:rsid w:val="00BF2330"/>
    <w:rsid w:val="00BF239B"/>
    <w:rsid w:val="00BF24AE"/>
    <w:rsid w:val="00BF273B"/>
    <w:rsid w:val="00BF275E"/>
    <w:rsid w:val="00BF28E0"/>
    <w:rsid w:val="00BF2981"/>
    <w:rsid w:val="00BF2ABB"/>
    <w:rsid w:val="00BF2ADD"/>
    <w:rsid w:val="00BF2BBD"/>
    <w:rsid w:val="00BF2D80"/>
    <w:rsid w:val="00BF2E41"/>
    <w:rsid w:val="00BF2E80"/>
    <w:rsid w:val="00BF2E91"/>
    <w:rsid w:val="00BF31E0"/>
    <w:rsid w:val="00BF324A"/>
    <w:rsid w:val="00BF33C3"/>
    <w:rsid w:val="00BF3511"/>
    <w:rsid w:val="00BF3B2A"/>
    <w:rsid w:val="00BF3D31"/>
    <w:rsid w:val="00BF3D32"/>
    <w:rsid w:val="00BF3DB4"/>
    <w:rsid w:val="00BF3EF4"/>
    <w:rsid w:val="00BF408F"/>
    <w:rsid w:val="00BF4146"/>
    <w:rsid w:val="00BF429F"/>
    <w:rsid w:val="00BF437D"/>
    <w:rsid w:val="00BF4506"/>
    <w:rsid w:val="00BF45CC"/>
    <w:rsid w:val="00BF4722"/>
    <w:rsid w:val="00BF47C9"/>
    <w:rsid w:val="00BF485D"/>
    <w:rsid w:val="00BF48E6"/>
    <w:rsid w:val="00BF4A61"/>
    <w:rsid w:val="00BF4AC5"/>
    <w:rsid w:val="00BF4B44"/>
    <w:rsid w:val="00BF4C7B"/>
    <w:rsid w:val="00BF4E27"/>
    <w:rsid w:val="00BF4FBF"/>
    <w:rsid w:val="00BF5091"/>
    <w:rsid w:val="00BF517D"/>
    <w:rsid w:val="00BF51D7"/>
    <w:rsid w:val="00BF524B"/>
    <w:rsid w:val="00BF53EA"/>
    <w:rsid w:val="00BF5618"/>
    <w:rsid w:val="00BF5777"/>
    <w:rsid w:val="00BF59C5"/>
    <w:rsid w:val="00BF5B35"/>
    <w:rsid w:val="00BF5B61"/>
    <w:rsid w:val="00BF5C8C"/>
    <w:rsid w:val="00BF5DC2"/>
    <w:rsid w:val="00BF5EB8"/>
    <w:rsid w:val="00BF5FBF"/>
    <w:rsid w:val="00BF60F5"/>
    <w:rsid w:val="00BF6186"/>
    <w:rsid w:val="00BF6431"/>
    <w:rsid w:val="00BF649A"/>
    <w:rsid w:val="00BF6584"/>
    <w:rsid w:val="00BF6616"/>
    <w:rsid w:val="00BF66F0"/>
    <w:rsid w:val="00BF6766"/>
    <w:rsid w:val="00BF683D"/>
    <w:rsid w:val="00BF69A3"/>
    <w:rsid w:val="00BF6B61"/>
    <w:rsid w:val="00BF6E65"/>
    <w:rsid w:val="00BF7050"/>
    <w:rsid w:val="00BF7115"/>
    <w:rsid w:val="00BF71A4"/>
    <w:rsid w:val="00BF71D8"/>
    <w:rsid w:val="00BF73F9"/>
    <w:rsid w:val="00BF7594"/>
    <w:rsid w:val="00BF76BE"/>
    <w:rsid w:val="00BF78EE"/>
    <w:rsid w:val="00BF78FE"/>
    <w:rsid w:val="00BF79BD"/>
    <w:rsid w:val="00BF79EB"/>
    <w:rsid w:val="00BF7E61"/>
    <w:rsid w:val="00BF7E74"/>
    <w:rsid w:val="00BF7E87"/>
    <w:rsid w:val="00C00351"/>
    <w:rsid w:val="00C0042D"/>
    <w:rsid w:val="00C0049E"/>
    <w:rsid w:val="00C00536"/>
    <w:rsid w:val="00C0061F"/>
    <w:rsid w:val="00C0072B"/>
    <w:rsid w:val="00C007DF"/>
    <w:rsid w:val="00C00C59"/>
    <w:rsid w:val="00C00D2F"/>
    <w:rsid w:val="00C011BD"/>
    <w:rsid w:val="00C011D5"/>
    <w:rsid w:val="00C01395"/>
    <w:rsid w:val="00C0151C"/>
    <w:rsid w:val="00C01544"/>
    <w:rsid w:val="00C016E0"/>
    <w:rsid w:val="00C017B9"/>
    <w:rsid w:val="00C017C9"/>
    <w:rsid w:val="00C01915"/>
    <w:rsid w:val="00C01A4B"/>
    <w:rsid w:val="00C01ADC"/>
    <w:rsid w:val="00C01CF2"/>
    <w:rsid w:val="00C01D39"/>
    <w:rsid w:val="00C01EB3"/>
    <w:rsid w:val="00C0204B"/>
    <w:rsid w:val="00C0229B"/>
    <w:rsid w:val="00C022B8"/>
    <w:rsid w:val="00C025F5"/>
    <w:rsid w:val="00C0263E"/>
    <w:rsid w:val="00C027C5"/>
    <w:rsid w:val="00C02837"/>
    <w:rsid w:val="00C029EA"/>
    <w:rsid w:val="00C02A5E"/>
    <w:rsid w:val="00C02AF3"/>
    <w:rsid w:val="00C02B93"/>
    <w:rsid w:val="00C030BA"/>
    <w:rsid w:val="00C03118"/>
    <w:rsid w:val="00C032C3"/>
    <w:rsid w:val="00C0333D"/>
    <w:rsid w:val="00C0359D"/>
    <w:rsid w:val="00C03793"/>
    <w:rsid w:val="00C03797"/>
    <w:rsid w:val="00C037B7"/>
    <w:rsid w:val="00C03854"/>
    <w:rsid w:val="00C03A23"/>
    <w:rsid w:val="00C03BF8"/>
    <w:rsid w:val="00C03D82"/>
    <w:rsid w:val="00C03D85"/>
    <w:rsid w:val="00C04103"/>
    <w:rsid w:val="00C04218"/>
    <w:rsid w:val="00C0424E"/>
    <w:rsid w:val="00C04394"/>
    <w:rsid w:val="00C043A1"/>
    <w:rsid w:val="00C044F3"/>
    <w:rsid w:val="00C046F7"/>
    <w:rsid w:val="00C04761"/>
    <w:rsid w:val="00C04850"/>
    <w:rsid w:val="00C04965"/>
    <w:rsid w:val="00C049AC"/>
    <w:rsid w:val="00C04ABA"/>
    <w:rsid w:val="00C04B8E"/>
    <w:rsid w:val="00C04BC2"/>
    <w:rsid w:val="00C04C57"/>
    <w:rsid w:val="00C04E01"/>
    <w:rsid w:val="00C04E78"/>
    <w:rsid w:val="00C0501C"/>
    <w:rsid w:val="00C05209"/>
    <w:rsid w:val="00C0539F"/>
    <w:rsid w:val="00C053AA"/>
    <w:rsid w:val="00C05414"/>
    <w:rsid w:val="00C0557E"/>
    <w:rsid w:val="00C05713"/>
    <w:rsid w:val="00C0571D"/>
    <w:rsid w:val="00C05948"/>
    <w:rsid w:val="00C05976"/>
    <w:rsid w:val="00C05995"/>
    <w:rsid w:val="00C05E58"/>
    <w:rsid w:val="00C05F5E"/>
    <w:rsid w:val="00C05FE6"/>
    <w:rsid w:val="00C05FF7"/>
    <w:rsid w:val="00C06179"/>
    <w:rsid w:val="00C0619B"/>
    <w:rsid w:val="00C06570"/>
    <w:rsid w:val="00C066A8"/>
    <w:rsid w:val="00C066C8"/>
    <w:rsid w:val="00C0676B"/>
    <w:rsid w:val="00C0680C"/>
    <w:rsid w:val="00C06968"/>
    <w:rsid w:val="00C06A1A"/>
    <w:rsid w:val="00C06BE8"/>
    <w:rsid w:val="00C06CC2"/>
    <w:rsid w:val="00C06E83"/>
    <w:rsid w:val="00C06E95"/>
    <w:rsid w:val="00C070EB"/>
    <w:rsid w:val="00C070F5"/>
    <w:rsid w:val="00C0725C"/>
    <w:rsid w:val="00C072B8"/>
    <w:rsid w:val="00C07315"/>
    <w:rsid w:val="00C07634"/>
    <w:rsid w:val="00C076FC"/>
    <w:rsid w:val="00C077E1"/>
    <w:rsid w:val="00C07838"/>
    <w:rsid w:val="00C0785F"/>
    <w:rsid w:val="00C07ABF"/>
    <w:rsid w:val="00C07BB9"/>
    <w:rsid w:val="00C07D3A"/>
    <w:rsid w:val="00C07E41"/>
    <w:rsid w:val="00C10337"/>
    <w:rsid w:val="00C103F8"/>
    <w:rsid w:val="00C104C8"/>
    <w:rsid w:val="00C105A4"/>
    <w:rsid w:val="00C106F0"/>
    <w:rsid w:val="00C1074C"/>
    <w:rsid w:val="00C1097E"/>
    <w:rsid w:val="00C109D0"/>
    <w:rsid w:val="00C10CB9"/>
    <w:rsid w:val="00C10F28"/>
    <w:rsid w:val="00C10F4B"/>
    <w:rsid w:val="00C11155"/>
    <w:rsid w:val="00C11325"/>
    <w:rsid w:val="00C114C4"/>
    <w:rsid w:val="00C116E8"/>
    <w:rsid w:val="00C11710"/>
    <w:rsid w:val="00C11844"/>
    <w:rsid w:val="00C1184A"/>
    <w:rsid w:val="00C11AD6"/>
    <w:rsid w:val="00C11B0D"/>
    <w:rsid w:val="00C11E30"/>
    <w:rsid w:val="00C1201F"/>
    <w:rsid w:val="00C12300"/>
    <w:rsid w:val="00C12384"/>
    <w:rsid w:val="00C126CD"/>
    <w:rsid w:val="00C1274F"/>
    <w:rsid w:val="00C128AA"/>
    <w:rsid w:val="00C129A7"/>
    <w:rsid w:val="00C12C27"/>
    <w:rsid w:val="00C12C8D"/>
    <w:rsid w:val="00C12DEF"/>
    <w:rsid w:val="00C1315A"/>
    <w:rsid w:val="00C13164"/>
    <w:rsid w:val="00C13225"/>
    <w:rsid w:val="00C133E5"/>
    <w:rsid w:val="00C13570"/>
    <w:rsid w:val="00C1358F"/>
    <w:rsid w:val="00C136F8"/>
    <w:rsid w:val="00C13784"/>
    <w:rsid w:val="00C13AA6"/>
    <w:rsid w:val="00C13C2C"/>
    <w:rsid w:val="00C13C97"/>
    <w:rsid w:val="00C14031"/>
    <w:rsid w:val="00C14170"/>
    <w:rsid w:val="00C141ED"/>
    <w:rsid w:val="00C142A8"/>
    <w:rsid w:val="00C142EF"/>
    <w:rsid w:val="00C144D2"/>
    <w:rsid w:val="00C145D8"/>
    <w:rsid w:val="00C148D3"/>
    <w:rsid w:val="00C149CA"/>
    <w:rsid w:val="00C14F06"/>
    <w:rsid w:val="00C15176"/>
    <w:rsid w:val="00C153EB"/>
    <w:rsid w:val="00C15458"/>
    <w:rsid w:val="00C154DE"/>
    <w:rsid w:val="00C15877"/>
    <w:rsid w:val="00C1599F"/>
    <w:rsid w:val="00C15ADE"/>
    <w:rsid w:val="00C15B00"/>
    <w:rsid w:val="00C15D2B"/>
    <w:rsid w:val="00C15DFC"/>
    <w:rsid w:val="00C160B3"/>
    <w:rsid w:val="00C1629E"/>
    <w:rsid w:val="00C16547"/>
    <w:rsid w:val="00C1667C"/>
    <w:rsid w:val="00C1668A"/>
    <w:rsid w:val="00C1690B"/>
    <w:rsid w:val="00C169E2"/>
    <w:rsid w:val="00C16A8E"/>
    <w:rsid w:val="00C16AB3"/>
    <w:rsid w:val="00C17171"/>
    <w:rsid w:val="00C173D1"/>
    <w:rsid w:val="00C17409"/>
    <w:rsid w:val="00C17496"/>
    <w:rsid w:val="00C1757E"/>
    <w:rsid w:val="00C1764F"/>
    <w:rsid w:val="00C176EE"/>
    <w:rsid w:val="00C17932"/>
    <w:rsid w:val="00C1799F"/>
    <w:rsid w:val="00C17ACF"/>
    <w:rsid w:val="00C17B10"/>
    <w:rsid w:val="00C17B3D"/>
    <w:rsid w:val="00C17C35"/>
    <w:rsid w:val="00C17C85"/>
    <w:rsid w:val="00C17F9C"/>
    <w:rsid w:val="00C200C5"/>
    <w:rsid w:val="00C20202"/>
    <w:rsid w:val="00C2024B"/>
    <w:rsid w:val="00C202DC"/>
    <w:rsid w:val="00C20338"/>
    <w:rsid w:val="00C20446"/>
    <w:rsid w:val="00C20522"/>
    <w:rsid w:val="00C20689"/>
    <w:rsid w:val="00C209C0"/>
    <w:rsid w:val="00C20ACD"/>
    <w:rsid w:val="00C20B6A"/>
    <w:rsid w:val="00C20C35"/>
    <w:rsid w:val="00C20CE3"/>
    <w:rsid w:val="00C20CF5"/>
    <w:rsid w:val="00C20DFE"/>
    <w:rsid w:val="00C20E05"/>
    <w:rsid w:val="00C2145C"/>
    <w:rsid w:val="00C2158B"/>
    <w:rsid w:val="00C21882"/>
    <w:rsid w:val="00C218B4"/>
    <w:rsid w:val="00C21979"/>
    <w:rsid w:val="00C2199A"/>
    <w:rsid w:val="00C219DD"/>
    <w:rsid w:val="00C21A48"/>
    <w:rsid w:val="00C21B71"/>
    <w:rsid w:val="00C21B99"/>
    <w:rsid w:val="00C21C12"/>
    <w:rsid w:val="00C21F99"/>
    <w:rsid w:val="00C220C2"/>
    <w:rsid w:val="00C22271"/>
    <w:rsid w:val="00C22298"/>
    <w:rsid w:val="00C22471"/>
    <w:rsid w:val="00C2252E"/>
    <w:rsid w:val="00C2274F"/>
    <w:rsid w:val="00C227A3"/>
    <w:rsid w:val="00C227C7"/>
    <w:rsid w:val="00C2299C"/>
    <w:rsid w:val="00C22BE4"/>
    <w:rsid w:val="00C22D64"/>
    <w:rsid w:val="00C22DAA"/>
    <w:rsid w:val="00C22DCE"/>
    <w:rsid w:val="00C22E95"/>
    <w:rsid w:val="00C22F1C"/>
    <w:rsid w:val="00C2359D"/>
    <w:rsid w:val="00C236DC"/>
    <w:rsid w:val="00C238DF"/>
    <w:rsid w:val="00C2394F"/>
    <w:rsid w:val="00C23BF4"/>
    <w:rsid w:val="00C23C15"/>
    <w:rsid w:val="00C23C99"/>
    <w:rsid w:val="00C23D07"/>
    <w:rsid w:val="00C23E74"/>
    <w:rsid w:val="00C23E88"/>
    <w:rsid w:val="00C2444C"/>
    <w:rsid w:val="00C24631"/>
    <w:rsid w:val="00C24671"/>
    <w:rsid w:val="00C24774"/>
    <w:rsid w:val="00C2494C"/>
    <w:rsid w:val="00C24964"/>
    <w:rsid w:val="00C24A44"/>
    <w:rsid w:val="00C24EFF"/>
    <w:rsid w:val="00C24F90"/>
    <w:rsid w:val="00C250A6"/>
    <w:rsid w:val="00C25376"/>
    <w:rsid w:val="00C253D2"/>
    <w:rsid w:val="00C2551E"/>
    <w:rsid w:val="00C255FC"/>
    <w:rsid w:val="00C2563A"/>
    <w:rsid w:val="00C25706"/>
    <w:rsid w:val="00C2591E"/>
    <w:rsid w:val="00C259CA"/>
    <w:rsid w:val="00C25A26"/>
    <w:rsid w:val="00C25AFF"/>
    <w:rsid w:val="00C25B40"/>
    <w:rsid w:val="00C25DEC"/>
    <w:rsid w:val="00C26021"/>
    <w:rsid w:val="00C262BC"/>
    <w:rsid w:val="00C2630D"/>
    <w:rsid w:val="00C264EC"/>
    <w:rsid w:val="00C26525"/>
    <w:rsid w:val="00C26538"/>
    <w:rsid w:val="00C26564"/>
    <w:rsid w:val="00C26831"/>
    <w:rsid w:val="00C26922"/>
    <w:rsid w:val="00C269C1"/>
    <w:rsid w:val="00C26B93"/>
    <w:rsid w:val="00C270F5"/>
    <w:rsid w:val="00C2716E"/>
    <w:rsid w:val="00C2725D"/>
    <w:rsid w:val="00C272E3"/>
    <w:rsid w:val="00C27519"/>
    <w:rsid w:val="00C27528"/>
    <w:rsid w:val="00C27664"/>
    <w:rsid w:val="00C27746"/>
    <w:rsid w:val="00C27862"/>
    <w:rsid w:val="00C2792F"/>
    <w:rsid w:val="00C27B4D"/>
    <w:rsid w:val="00C27B77"/>
    <w:rsid w:val="00C27B95"/>
    <w:rsid w:val="00C27C04"/>
    <w:rsid w:val="00C27F25"/>
    <w:rsid w:val="00C27F6D"/>
    <w:rsid w:val="00C3035A"/>
    <w:rsid w:val="00C303C4"/>
    <w:rsid w:val="00C3050B"/>
    <w:rsid w:val="00C305A9"/>
    <w:rsid w:val="00C30655"/>
    <w:rsid w:val="00C30872"/>
    <w:rsid w:val="00C3095F"/>
    <w:rsid w:val="00C30AF7"/>
    <w:rsid w:val="00C30BC4"/>
    <w:rsid w:val="00C31036"/>
    <w:rsid w:val="00C312EE"/>
    <w:rsid w:val="00C31448"/>
    <w:rsid w:val="00C31647"/>
    <w:rsid w:val="00C316DB"/>
    <w:rsid w:val="00C31A98"/>
    <w:rsid w:val="00C31CA3"/>
    <w:rsid w:val="00C31EA9"/>
    <w:rsid w:val="00C31EAF"/>
    <w:rsid w:val="00C320D9"/>
    <w:rsid w:val="00C32152"/>
    <w:rsid w:val="00C321BC"/>
    <w:rsid w:val="00C32317"/>
    <w:rsid w:val="00C32607"/>
    <w:rsid w:val="00C3284A"/>
    <w:rsid w:val="00C328D9"/>
    <w:rsid w:val="00C32AE3"/>
    <w:rsid w:val="00C32BFE"/>
    <w:rsid w:val="00C32CD9"/>
    <w:rsid w:val="00C32D75"/>
    <w:rsid w:val="00C33032"/>
    <w:rsid w:val="00C3307C"/>
    <w:rsid w:val="00C33080"/>
    <w:rsid w:val="00C3312F"/>
    <w:rsid w:val="00C331E5"/>
    <w:rsid w:val="00C332C7"/>
    <w:rsid w:val="00C33531"/>
    <w:rsid w:val="00C33616"/>
    <w:rsid w:val="00C3362B"/>
    <w:rsid w:val="00C3375F"/>
    <w:rsid w:val="00C34362"/>
    <w:rsid w:val="00C343C6"/>
    <w:rsid w:val="00C34424"/>
    <w:rsid w:val="00C34950"/>
    <w:rsid w:val="00C34BB9"/>
    <w:rsid w:val="00C34C2C"/>
    <w:rsid w:val="00C34CDD"/>
    <w:rsid w:val="00C34D2C"/>
    <w:rsid w:val="00C34D94"/>
    <w:rsid w:val="00C34EF1"/>
    <w:rsid w:val="00C34FB4"/>
    <w:rsid w:val="00C351D1"/>
    <w:rsid w:val="00C35279"/>
    <w:rsid w:val="00C3558B"/>
    <w:rsid w:val="00C35634"/>
    <w:rsid w:val="00C35AE0"/>
    <w:rsid w:val="00C35BB8"/>
    <w:rsid w:val="00C35CDF"/>
    <w:rsid w:val="00C35D0B"/>
    <w:rsid w:val="00C35D60"/>
    <w:rsid w:val="00C3614E"/>
    <w:rsid w:val="00C363D2"/>
    <w:rsid w:val="00C366AF"/>
    <w:rsid w:val="00C366CA"/>
    <w:rsid w:val="00C36A4A"/>
    <w:rsid w:val="00C36D88"/>
    <w:rsid w:val="00C36EAA"/>
    <w:rsid w:val="00C36F31"/>
    <w:rsid w:val="00C37253"/>
    <w:rsid w:val="00C37387"/>
    <w:rsid w:val="00C37418"/>
    <w:rsid w:val="00C37426"/>
    <w:rsid w:val="00C37439"/>
    <w:rsid w:val="00C3759C"/>
    <w:rsid w:val="00C376B8"/>
    <w:rsid w:val="00C37A7B"/>
    <w:rsid w:val="00C37C18"/>
    <w:rsid w:val="00C37C78"/>
    <w:rsid w:val="00C37CAC"/>
    <w:rsid w:val="00C37F4E"/>
    <w:rsid w:val="00C402D7"/>
    <w:rsid w:val="00C40396"/>
    <w:rsid w:val="00C4086E"/>
    <w:rsid w:val="00C4091D"/>
    <w:rsid w:val="00C40A8D"/>
    <w:rsid w:val="00C40D02"/>
    <w:rsid w:val="00C40D42"/>
    <w:rsid w:val="00C40DCE"/>
    <w:rsid w:val="00C40F47"/>
    <w:rsid w:val="00C4109D"/>
    <w:rsid w:val="00C413F2"/>
    <w:rsid w:val="00C4143B"/>
    <w:rsid w:val="00C41706"/>
    <w:rsid w:val="00C41851"/>
    <w:rsid w:val="00C4194B"/>
    <w:rsid w:val="00C41992"/>
    <w:rsid w:val="00C41A1A"/>
    <w:rsid w:val="00C41AFE"/>
    <w:rsid w:val="00C41B0B"/>
    <w:rsid w:val="00C41B17"/>
    <w:rsid w:val="00C41B84"/>
    <w:rsid w:val="00C41BF4"/>
    <w:rsid w:val="00C41D2F"/>
    <w:rsid w:val="00C42190"/>
    <w:rsid w:val="00C42254"/>
    <w:rsid w:val="00C42300"/>
    <w:rsid w:val="00C42495"/>
    <w:rsid w:val="00C42A8B"/>
    <w:rsid w:val="00C42A99"/>
    <w:rsid w:val="00C42C82"/>
    <w:rsid w:val="00C42C98"/>
    <w:rsid w:val="00C42CB8"/>
    <w:rsid w:val="00C42DE1"/>
    <w:rsid w:val="00C42E96"/>
    <w:rsid w:val="00C43045"/>
    <w:rsid w:val="00C431D9"/>
    <w:rsid w:val="00C432C9"/>
    <w:rsid w:val="00C432E7"/>
    <w:rsid w:val="00C43314"/>
    <w:rsid w:val="00C433CC"/>
    <w:rsid w:val="00C43422"/>
    <w:rsid w:val="00C43451"/>
    <w:rsid w:val="00C434B1"/>
    <w:rsid w:val="00C434D0"/>
    <w:rsid w:val="00C43511"/>
    <w:rsid w:val="00C435B7"/>
    <w:rsid w:val="00C4361C"/>
    <w:rsid w:val="00C43746"/>
    <w:rsid w:val="00C43827"/>
    <w:rsid w:val="00C4383C"/>
    <w:rsid w:val="00C43A16"/>
    <w:rsid w:val="00C43D89"/>
    <w:rsid w:val="00C43FD1"/>
    <w:rsid w:val="00C440A9"/>
    <w:rsid w:val="00C44161"/>
    <w:rsid w:val="00C44185"/>
    <w:rsid w:val="00C4424F"/>
    <w:rsid w:val="00C4438E"/>
    <w:rsid w:val="00C44494"/>
    <w:rsid w:val="00C44503"/>
    <w:rsid w:val="00C445A3"/>
    <w:rsid w:val="00C446CA"/>
    <w:rsid w:val="00C446EE"/>
    <w:rsid w:val="00C44705"/>
    <w:rsid w:val="00C4490A"/>
    <w:rsid w:val="00C449EF"/>
    <w:rsid w:val="00C44AAC"/>
    <w:rsid w:val="00C44AE4"/>
    <w:rsid w:val="00C4502B"/>
    <w:rsid w:val="00C45164"/>
    <w:rsid w:val="00C452D7"/>
    <w:rsid w:val="00C452F3"/>
    <w:rsid w:val="00C45423"/>
    <w:rsid w:val="00C4558D"/>
    <w:rsid w:val="00C45691"/>
    <w:rsid w:val="00C459EC"/>
    <w:rsid w:val="00C45EE4"/>
    <w:rsid w:val="00C45F82"/>
    <w:rsid w:val="00C4600D"/>
    <w:rsid w:val="00C462B3"/>
    <w:rsid w:val="00C462E4"/>
    <w:rsid w:val="00C462F5"/>
    <w:rsid w:val="00C46407"/>
    <w:rsid w:val="00C4650E"/>
    <w:rsid w:val="00C4657B"/>
    <w:rsid w:val="00C465A9"/>
    <w:rsid w:val="00C465AE"/>
    <w:rsid w:val="00C46CCA"/>
    <w:rsid w:val="00C46E4E"/>
    <w:rsid w:val="00C46F85"/>
    <w:rsid w:val="00C472E4"/>
    <w:rsid w:val="00C473F9"/>
    <w:rsid w:val="00C474BC"/>
    <w:rsid w:val="00C4759C"/>
    <w:rsid w:val="00C476DF"/>
    <w:rsid w:val="00C477C0"/>
    <w:rsid w:val="00C4782F"/>
    <w:rsid w:val="00C47869"/>
    <w:rsid w:val="00C47AD8"/>
    <w:rsid w:val="00C47BD2"/>
    <w:rsid w:val="00C47C22"/>
    <w:rsid w:val="00C47C78"/>
    <w:rsid w:val="00C47D99"/>
    <w:rsid w:val="00C47E78"/>
    <w:rsid w:val="00C47F4B"/>
    <w:rsid w:val="00C501B1"/>
    <w:rsid w:val="00C50302"/>
    <w:rsid w:val="00C504AB"/>
    <w:rsid w:val="00C505E3"/>
    <w:rsid w:val="00C505F2"/>
    <w:rsid w:val="00C507E9"/>
    <w:rsid w:val="00C508CC"/>
    <w:rsid w:val="00C50D63"/>
    <w:rsid w:val="00C51259"/>
    <w:rsid w:val="00C513AA"/>
    <w:rsid w:val="00C513DE"/>
    <w:rsid w:val="00C5185B"/>
    <w:rsid w:val="00C51F4C"/>
    <w:rsid w:val="00C51FBF"/>
    <w:rsid w:val="00C51FFE"/>
    <w:rsid w:val="00C52054"/>
    <w:rsid w:val="00C52487"/>
    <w:rsid w:val="00C524BD"/>
    <w:rsid w:val="00C52546"/>
    <w:rsid w:val="00C525B4"/>
    <w:rsid w:val="00C52B96"/>
    <w:rsid w:val="00C52D23"/>
    <w:rsid w:val="00C52EF5"/>
    <w:rsid w:val="00C52F93"/>
    <w:rsid w:val="00C5301C"/>
    <w:rsid w:val="00C53028"/>
    <w:rsid w:val="00C5340F"/>
    <w:rsid w:val="00C53454"/>
    <w:rsid w:val="00C53474"/>
    <w:rsid w:val="00C53481"/>
    <w:rsid w:val="00C537EC"/>
    <w:rsid w:val="00C538B6"/>
    <w:rsid w:val="00C53A4D"/>
    <w:rsid w:val="00C53BCA"/>
    <w:rsid w:val="00C53C20"/>
    <w:rsid w:val="00C53C60"/>
    <w:rsid w:val="00C53D9A"/>
    <w:rsid w:val="00C53FCD"/>
    <w:rsid w:val="00C540D5"/>
    <w:rsid w:val="00C54268"/>
    <w:rsid w:val="00C542CD"/>
    <w:rsid w:val="00C54388"/>
    <w:rsid w:val="00C54537"/>
    <w:rsid w:val="00C546C9"/>
    <w:rsid w:val="00C547EC"/>
    <w:rsid w:val="00C54C76"/>
    <w:rsid w:val="00C54E51"/>
    <w:rsid w:val="00C55030"/>
    <w:rsid w:val="00C55106"/>
    <w:rsid w:val="00C551F4"/>
    <w:rsid w:val="00C5522C"/>
    <w:rsid w:val="00C553E7"/>
    <w:rsid w:val="00C554F9"/>
    <w:rsid w:val="00C555FE"/>
    <w:rsid w:val="00C557C9"/>
    <w:rsid w:val="00C55ADC"/>
    <w:rsid w:val="00C55D43"/>
    <w:rsid w:val="00C55E01"/>
    <w:rsid w:val="00C561B5"/>
    <w:rsid w:val="00C5622A"/>
    <w:rsid w:val="00C56347"/>
    <w:rsid w:val="00C563D3"/>
    <w:rsid w:val="00C5641B"/>
    <w:rsid w:val="00C56586"/>
    <w:rsid w:val="00C5665D"/>
    <w:rsid w:val="00C56666"/>
    <w:rsid w:val="00C567C9"/>
    <w:rsid w:val="00C568F1"/>
    <w:rsid w:val="00C56A6B"/>
    <w:rsid w:val="00C56A8D"/>
    <w:rsid w:val="00C56ADE"/>
    <w:rsid w:val="00C56BD7"/>
    <w:rsid w:val="00C56D14"/>
    <w:rsid w:val="00C57157"/>
    <w:rsid w:val="00C572FE"/>
    <w:rsid w:val="00C573AA"/>
    <w:rsid w:val="00C577BB"/>
    <w:rsid w:val="00C579E2"/>
    <w:rsid w:val="00C57A00"/>
    <w:rsid w:val="00C57B2A"/>
    <w:rsid w:val="00C57C04"/>
    <w:rsid w:val="00C57CAB"/>
    <w:rsid w:val="00C57D4B"/>
    <w:rsid w:val="00C6002A"/>
    <w:rsid w:val="00C60247"/>
    <w:rsid w:val="00C60252"/>
    <w:rsid w:val="00C605F3"/>
    <w:rsid w:val="00C608BA"/>
    <w:rsid w:val="00C6091E"/>
    <w:rsid w:val="00C6096B"/>
    <w:rsid w:val="00C609B1"/>
    <w:rsid w:val="00C60C12"/>
    <w:rsid w:val="00C61565"/>
    <w:rsid w:val="00C618CE"/>
    <w:rsid w:val="00C61911"/>
    <w:rsid w:val="00C620CF"/>
    <w:rsid w:val="00C62199"/>
    <w:rsid w:val="00C62206"/>
    <w:rsid w:val="00C622B6"/>
    <w:rsid w:val="00C623B2"/>
    <w:rsid w:val="00C62910"/>
    <w:rsid w:val="00C62A5B"/>
    <w:rsid w:val="00C62FA1"/>
    <w:rsid w:val="00C63025"/>
    <w:rsid w:val="00C630B5"/>
    <w:rsid w:val="00C6322B"/>
    <w:rsid w:val="00C632C9"/>
    <w:rsid w:val="00C6339E"/>
    <w:rsid w:val="00C6353C"/>
    <w:rsid w:val="00C636A2"/>
    <w:rsid w:val="00C6375B"/>
    <w:rsid w:val="00C637B0"/>
    <w:rsid w:val="00C63A4F"/>
    <w:rsid w:val="00C63CB4"/>
    <w:rsid w:val="00C63DD3"/>
    <w:rsid w:val="00C63E7E"/>
    <w:rsid w:val="00C63FA1"/>
    <w:rsid w:val="00C64387"/>
    <w:rsid w:val="00C643CC"/>
    <w:rsid w:val="00C64A70"/>
    <w:rsid w:val="00C64C30"/>
    <w:rsid w:val="00C64C4D"/>
    <w:rsid w:val="00C64CFD"/>
    <w:rsid w:val="00C64DFB"/>
    <w:rsid w:val="00C64EA6"/>
    <w:rsid w:val="00C64ED7"/>
    <w:rsid w:val="00C64F2C"/>
    <w:rsid w:val="00C64F73"/>
    <w:rsid w:val="00C650E2"/>
    <w:rsid w:val="00C65158"/>
    <w:rsid w:val="00C6543C"/>
    <w:rsid w:val="00C656F2"/>
    <w:rsid w:val="00C6574C"/>
    <w:rsid w:val="00C658E0"/>
    <w:rsid w:val="00C65A27"/>
    <w:rsid w:val="00C65AAF"/>
    <w:rsid w:val="00C65B03"/>
    <w:rsid w:val="00C65ECD"/>
    <w:rsid w:val="00C65F7F"/>
    <w:rsid w:val="00C65FCC"/>
    <w:rsid w:val="00C660D7"/>
    <w:rsid w:val="00C662A4"/>
    <w:rsid w:val="00C6632D"/>
    <w:rsid w:val="00C665BA"/>
    <w:rsid w:val="00C66649"/>
    <w:rsid w:val="00C66851"/>
    <w:rsid w:val="00C66948"/>
    <w:rsid w:val="00C66DBA"/>
    <w:rsid w:val="00C66DF4"/>
    <w:rsid w:val="00C66FF9"/>
    <w:rsid w:val="00C67190"/>
    <w:rsid w:val="00C6723F"/>
    <w:rsid w:val="00C67528"/>
    <w:rsid w:val="00C67891"/>
    <w:rsid w:val="00C6789C"/>
    <w:rsid w:val="00C67915"/>
    <w:rsid w:val="00C67A75"/>
    <w:rsid w:val="00C67D90"/>
    <w:rsid w:val="00C70004"/>
    <w:rsid w:val="00C70251"/>
    <w:rsid w:val="00C7036D"/>
    <w:rsid w:val="00C70444"/>
    <w:rsid w:val="00C705B5"/>
    <w:rsid w:val="00C707AC"/>
    <w:rsid w:val="00C708D6"/>
    <w:rsid w:val="00C70992"/>
    <w:rsid w:val="00C709CC"/>
    <w:rsid w:val="00C709EE"/>
    <w:rsid w:val="00C70B2A"/>
    <w:rsid w:val="00C70C4A"/>
    <w:rsid w:val="00C71030"/>
    <w:rsid w:val="00C71119"/>
    <w:rsid w:val="00C71407"/>
    <w:rsid w:val="00C71573"/>
    <w:rsid w:val="00C716AA"/>
    <w:rsid w:val="00C718D9"/>
    <w:rsid w:val="00C7199C"/>
    <w:rsid w:val="00C71C3E"/>
    <w:rsid w:val="00C71F04"/>
    <w:rsid w:val="00C720FF"/>
    <w:rsid w:val="00C7218C"/>
    <w:rsid w:val="00C7219B"/>
    <w:rsid w:val="00C722DA"/>
    <w:rsid w:val="00C723DA"/>
    <w:rsid w:val="00C724CA"/>
    <w:rsid w:val="00C72662"/>
    <w:rsid w:val="00C72768"/>
    <w:rsid w:val="00C72773"/>
    <w:rsid w:val="00C7290C"/>
    <w:rsid w:val="00C72AE6"/>
    <w:rsid w:val="00C72C3A"/>
    <w:rsid w:val="00C72CEE"/>
    <w:rsid w:val="00C72CFB"/>
    <w:rsid w:val="00C72E4C"/>
    <w:rsid w:val="00C73047"/>
    <w:rsid w:val="00C732E8"/>
    <w:rsid w:val="00C737C3"/>
    <w:rsid w:val="00C737E0"/>
    <w:rsid w:val="00C73C3F"/>
    <w:rsid w:val="00C73D27"/>
    <w:rsid w:val="00C73D69"/>
    <w:rsid w:val="00C73D7A"/>
    <w:rsid w:val="00C73F02"/>
    <w:rsid w:val="00C73F2A"/>
    <w:rsid w:val="00C73FB2"/>
    <w:rsid w:val="00C74043"/>
    <w:rsid w:val="00C7404C"/>
    <w:rsid w:val="00C740B1"/>
    <w:rsid w:val="00C74B6A"/>
    <w:rsid w:val="00C74BE8"/>
    <w:rsid w:val="00C74C43"/>
    <w:rsid w:val="00C74DC7"/>
    <w:rsid w:val="00C74DFA"/>
    <w:rsid w:val="00C74EA1"/>
    <w:rsid w:val="00C74FE5"/>
    <w:rsid w:val="00C750D4"/>
    <w:rsid w:val="00C75103"/>
    <w:rsid w:val="00C7511A"/>
    <w:rsid w:val="00C751BE"/>
    <w:rsid w:val="00C7561B"/>
    <w:rsid w:val="00C75737"/>
    <w:rsid w:val="00C7574E"/>
    <w:rsid w:val="00C7584C"/>
    <w:rsid w:val="00C7592A"/>
    <w:rsid w:val="00C759FE"/>
    <w:rsid w:val="00C75CB4"/>
    <w:rsid w:val="00C75DFB"/>
    <w:rsid w:val="00C75E50"/>
    <w:rsid w:val="00C76045"/>
    <w:rsid w:val="00C761AF"/>
    <w:rsid w:val="00C766FF"/>
    <w:rsid w:val="00C76921"/>
    <w:rsid w:val="00C7698A"/>
    <w:rsid w:val="00C76B7C"/>
    <w:rsid w:val="00C76F7A"/>
    <w:rsid w:val="00C76FD0"/>
    <w:rsid w:val="00C7702F"/>
    <w:rsid w:val="00C7721E"/>
    <w:rsid w:val="00C77226"/>
    <w:rsid w:val="00C77359"/>
    <w:rsid w:val="00C7744A"/>
    <w:rsid w:val="00C7749B"/>
    <w:rsid w:val="00C77642"/>
    <w:rsid w:val="00C77875"/>
    <w:rsid w:val="00C778F2"/>
    <w:rsid w:val="00C779D4"/>
    <w:rsid w:val="00C77A19"/>
    <w:rsid w:val="00C77CA3"/>
    <w:rsid w:val="00C77FBB"/>
    <w:rsid w:val="00C8005F"/>
    <w:rsid w:val="00C8007C"/>
    <w:rsid w:val="00C8007F"/>
    <w:rsid w:val="00C801A4"/>
    <w:rsid w:val="00C80249"/>
    <w:rsid w:val="00C804DD"/>
    <w:rsid w:val="00C80591"/>
    <w:rsid w:val="00C808A0"/>
    <w:rsid w:val="00C8094D"/>
    <w:rsid w:val="00C80A51"/>
    <w:rsid w:val="00C80ADD"/>
    <w:rsid w:val="00C80B20"/>
    <w:rsid w:val="00C80BDD"/>
    <w:rsid w:val="00C80CF8"/>
    <w:rsid w:val="00C80F8C"/>
    <w:rsid w:val="00C810E8"/>
    <w:rsid w:val="00C810F0"/>
    <w:rsid w:val="00C811E1"/>
    <w:rsid w:val="00C81267"/>
    <w:rsid w:val="00C812FD"/>
    <w:rsid w:val="00C8135B"/>
    <w:rsid w:val="00C813AF"/>
    <w:rsid w:val="00C8168B"/>
    <w:rsid w:val="00C81711"/>
    <w:rsid w:val="00C81888"/>
    <w:rsid w:val="00C8191D"/>
    <w:rsid w:val="00C81BA8"/>
    <w:rsid w:val="00C8209B"/>
    <w:rsid w:val="00C820A2"/>
    <w:rsid w:val="00C821F8"/>
    <w:rsid w:val="00C82250"/>
    <w:rsid w:val="00C82415"/>
    <w:rsid w:val="00C825B2"/>
    <w:rsid w:val="00C825FF"/>
    <w:rsid w:val="00C82672"/>
    <w:rsid w:val="00C826DB"/>
    <w:rsid w:val="00C82C0B"/>
    <w:rsid w:val="00C82E19"/>
    <w:rsid w:val="00C8307B"/>
    <w:rsid w:val="00C83155"/>
    <w:rsid w:val="00C8318C"/>
    <w:rsid w:val="00C832C7"/>
    <w:rsid w:val="00C83442"/>
    <w:rsid w:val="00C8366E"/>
    <w:rsid w:val="00C836DB"/>
    <w:rsid w:val="00C83A55"/>
    <w:rsid w:val="00C83D7C"/>
    <w:rsid w:val="00C83E57"/>
    <w:rsid w:val="00C83FDB"/>
    <w:rsid w:val="00C84038"/>
    <w:rsid w:val="00C8407D"/>
    <w:rsid w:val="00C84083"/>
    <w:rsid w:val="00C84084"/>
    <w:rsid w:val="00C840C6"/>
    <w:rsid w:val="00C8421A"/>
    <w:rsid w:val="00C84404"/>
    <w:rsid w:val="00C84414"/>
    <w:rsid w:val="00C84460"/>
    <w:rsid w:val="00C847C1"/>
    <w:rsid w:val="00C84825"/>
    <w:rsid w:val="00C84A82"/>
    <w:rsid w:val="00C84B09"/>
    <w:rsid w:val="00C84C84"/>
    <w:rsid w:val="00C84DD4"/>
    <w:rsid w:val="00C84E9B"/>
    <w:rsid w:val="00C84FEE"/>
    <w:rsid w:val="00C852C3"/>
    <w:rsid w:val="00C8536B"/>
    <w:rsid w:val="00C85515"/>
    <w:rsid w:val="00C858CB"/>
    <w:rsid w:val="00C8592A"/>
    <w:rsid w:val="00C85A9E"/>
    <w:rsid w:val="00C85AA0"/>
    <w:rsid w:val="00C85B85"/>
    <w:rsid w:val="00C85BB6"/>
    <w:rsid w:val="00C85C14"/>
    <w:rsid w:val="00C85C2C"/>
    <w:rsid w:val="00C85C63"/>
    <w:rsid w:val="00C85C83"/>
    <w:rsid w:val="00C85D2D"/>
    <w:rsid w:val="00C85D75"/>
    <w:rsid w:val="00C85DA0"/>
    <w:rsid w:val="00C85F57"/>
    <w:rsid w:val="00C85FDB"/>
    <w:rsid w:val="00C860AF"/>
    <w:rsid w:val="00C860E3"/>
    <w:rsid w:val="00C8619B"/>
    <w:rsid w:val="00C86248"/>
    <w:rsid w:val="00C86323"/>
    <w:rsid w:val="00C86335"/>
    <w:rsid w:val="00C8637D"/>
    <w:rsid w:val="00C8638E"/>
    <w:rsid w:val="00C8664F"/>
    <w:rsid w:val="00C86692"/>
    <w:rsid w:val="00C86748"/>
    <w:rsid w:val="00C8693D"/>
    <w:rsid w:val="00C86C3D"/>
    <w:rsid w:val="00C86E12"/>
    <w:rsid w:val="00C86EFD"/>
    <w:rsid w:val="00C86F9E"/>
    <w:rsid w:val="00C870A9"/>
    <w:rsid w:val="00C870C2"/>
    <w:rsid w:val="00C871C2"/>
    <w:rsid w:val="00C87232"/>
    <w:rsid w:val="00C8723F"/>
    <w:rsid w:val="00C87724"/>
    <w:rsid w:val="00C877A8"/>
    <w:rsid w:val="00C8782C"/>
    <w:rsid w:val="00C879A5"/>
    <w:rsid w:val="00C87DC2"/>
    <w:rsid w:val="00C87E3B"/>
    <w:rsid w:val="00C900AD"/>
    <w:rsid w:val="00C901B9"/>
    <w:rsid w:val="00C901DE"/>
    <w:rsid w:val="00C9029C"/>
    <w:rsid w:val="00C90327"/>
    <w:rsid w:val="00C90365"/>
    <w:rsid w:val="00C9038D"/>
    <w:rsid w:val="00C90492"/>
    <w:rsid w:val="00C904B0"/>
    <w:rsid w:val="00C909AD"/>
    <w:rsid w:val="00C909B4"/>
    <w:rsid w:val="00C90C59"/>
    <w:rsid w:val="00C91624"/>
    <w:rsid w:val="00C91672"/>
    <w:rsid w:val="00C91683"/>
    <w:rsid w:val="00C916C8"/>
    <w:rsid w:val="00C916EA"/>
    <w:rsid w:val="00C918E4"/>
    <w:rsid w:val="00C91D7B"/>
    <w:rsid w:val="00C91DAD"/>
    <w:rsid w:val="00C91FFE"/>
    <w:rsid w:val="00C92017"/>
    <w:rsid w:val="00C9222A"/>
    <w:rsid w:val="00C922FE"/>
    <w:rsid w:val="00C92462"/>
    <w:rsid w:val="00C924D7"/>
    <w:rsid w:val="00C92503"/>
    <w:rsid w:val="00C9285C"/>
    <w:rsid w:val="00C92A36"/>
    <w:rsid w:val="00C92F73"/>
    <w:rsid w:val="00C9325A"/>
    <w:rsid w:val="00C932F4"/>
    <w:rsid w:val="00C936D4"/>
    <w:rsid w:val="00C9391F"/>
    <w:rsid w:val="00C93AA3"/>
    <w:rsid w:val="00C93B90"/>
    <w:rsid w:val="00C93CBB"/>
    <w:rsid w:val="00C93DA3"/>
    <w:rsid w:val="00C93F11"/>
    <w:rsid w:val="00C93F94"/>
    <w:rsid w:val="00C94042"/>
    <w:rsid w:val="00C94237"/>
    <w:rsid w:val="00C9442C"/>
    <w:rsid w:val="00C9472A"/>
    <w:rsid w:val="00C9491C"/>
    <w:rsid w:val="00C94B79"/>
    <w:rsid w:val="00C94BFD"/>
    <w:rsid w:val="00C94CC7"/>
    <w:rsid w:val="00C94F03"/>
    <w:rsid w:val="00C95350"/>
    <w:rsid w:val="00C954DC"/>
    <w:rsid w:val="00C95527"/>
    <w:rsid w:val="00C95990"/>
    <w:rsid w:val="00C959C3"/>
    <w:rsid w:val="00C95AE2"/>
    <w:rsid w:val="00C95B05"/>
    <w:rsid w:val="00C95D6D"/>
    <w:rsid w:val="00C95E27"/>
    <w:rsid w:val="00C95E44"/>
    <w:rsid w:val="00C95E5C"/>
    <w:rsid w:val="00C95EEE"/>
    <w:rsid w:val="00C960C1"/>
    <w:rsid w:val="00C960C5"/>
    <w:rsid w:val="00C96324"/>
    <w:rsid w:val="00C9635C"/>
    <w:rsid w:val="00C96495"/>
    <w:rsid w:val="00C96577"/>
    <w:rsid w:val="00C96731"/>
    <w:rsid w:val="00C96752"/>
    <w:rsid w:val="00C96756"/>
    <w:rsid w:val="00C967FF"/>
    <w:rsid w:val="00C968B2"/>
    <w:rsid w:val="00C968DD"/>
    <w:rsid w:val="00C96B4D"/>
    <w:rsid w:val="00C96B64"/>
    <w:rsid w:val="00C96C71"/>
    <w:rsid w:val="00C96CE7"/>
    <w:rsid w:val="00C96EB1"/>
    <w:rsid w:val="00C96ED9"/>
    <w:rsid w:val="00C96F1B"/>
    <w:rsid w:val="00C970B9"/>
    <w:rsid w:val="00C971AF"/>
    <w:rsid w:val="00C9721C"/>
    <w:rsid w:val="00C973A3"/>
    <w:rsid w:val="00C9742F"/>
    <w:rsid w:val="00C97656"/>
    <w:rsid w:val="00C9765E"/>
    <w:rsid w:val="00C9766D"/>
    <w:rsid w:val="00C97731"/>
    <w:rsid w:val="00C977E7"/>
    <w:rsid w:val="00C978FA"/>
    <w:rsid w:val="00C97B28"/>
    <w:rsid w:val="00C97C5C"/>
    <w:rsid w:val="00C97F6B"/>
    <w:rsid w:val="00CA064C"/>
    <w:rsid w:val="00CA07C0"/>
    <w:rsid w:val="00CA087F"/>
    <w:rsid w:val="00CA08DF"/>
    <w:rsid w:val="00CA09B5"/>
    <w:rsid w:val="00CA09DC"/>
    <w:rsid w:val="00CA09EC"/>
    <w:rsid w:val="00CA0AD5"/>
    <w:rsid w:val="00CA10D8"/>
    <w:rsid w:val="00CA1203"/>
    <w:rsid w:val="00CA1225"/>
    <w:rsid w:val="00CA129F"/>
    <w:rsid w:val="00CA150D"/>
    <w:rsid w:val="00CA17FF"/>
    <w:rsid w:val="00CA1AE6"/>
    <w:rsid w:val="00CA1AE9"/>
    <w:rsid w:val="00CA1AEF"/>
    <w:rsid w:val="00CA1B62"/>
    <w:rsid w:val="00CA1DEC"/>
    <w:rsid w:val="00CA2213"/>
    <w:rsid w:val="00CA2474"/>
    <w:rsid w:val="00CA247F"/>
    <w:rsid w:val="00CA25A9"/>
    <w:rsid w:val="00CA2A7B"/>
    <w:rsid w:val="00CA2B48"/>
    <w:rsid w:val="00CA2BCA"/>
    <w:rsid w:val="00CA2C2C"/>
    <w:rsid w:val="00CA339D"/>
    <w:rsid w:val="00CA3733"/>
    <w:rsid w:val="00CA37A1"/>
    <w:rsid w:val="00CA3810"/>
    <w:rsid w:val="00CA382B"/>
    <w:rsid w:val="00CA38E2"/>
    <w:rsid w:val="00CA395B"/>
    <w:rsid w:val="00CA3975"/>
    <w:rsid w:val="00CA39C1"/>
    <w:rsid w:val="00CA3BD2"/>
    <w:rsid w:val="00CA3EB5"/>
    <w:rsid w:val="00CA3FAE"/>
    <w:rsid w:val="00CA3FFD"/>
    <w:rsid w:val="00CA401B"/>
    <w:rsid w:val="00CA41CD"/>
    <w:rsid w:val="00CA421C"/>
    <w:rsid w:val="00CA4380"/>
    <w:rsid w:val="00CA4416"/>
    <w:rsid w:val="00CA4482"/>
    <w:rsid w:val="00CA4539"/>
    <w:rsid w:val="00CA470A"/>
    <w:rsid w:val="00CA4760"/>
    <w:rsid w:val="00CA47A7"/>
    <w:rsid w:val="00CA483D"/>
    <w:rsid w:val="00CA4A70"/>
    <w:rsid w:val="00CA50DE"/>
    <w:rsid w:val="00CA5142"/>
    <w:rsid w:val="00CA5384"/>
    <w:rsid w:val="00CA5419"/>
    <w:rsid w:val="00CA546D"/>
    <w:rsid w:val="00CA55F0"/>
    <w:rsid w:val="00CA5675"/>
    <w:rsid w:val="00CA56A5"/>
    <w:rsid w:val="00CA56B1"/>
    <w:rsid w:val="00CA57A0"/>
    <w:rsid w:val="00CA5853"/>
    <w:rsid w:val="00CA58A3"/>
    <w:rsid w:val="00CA5AE7"/>
    <w:rsid w:val="00CA5B8B"/>
    <w:rsid w:val="00CA5BC1"/>
    <w:rsid w:val="00CA5C2A"/>
    <w:rsid w:val="00CA5D9C"/>
    <w:rsid w:val="00CA5E70"/>
    <w:rsid w:val="00CA5EEF"/>
    <w:rsid w:val="00CA5FC1"/>
    <w:rsid w:val="00CA63E1"/>
    <w:rsid w:val="00CA6694"/>
    <w:rsid w:val="00CA66CD"/>
    <w:rsid w:val="00CA6B7D"/>
    <w:rsid w:val="00CA70C5"/>
    <w:rsid w:val="00CA72B8"/>
    <w:rsid w:val="00CA76D5"/>
    <w:rsid w:val="00CA784C"/>
    <w:rsid w:val="00CA7868"/>
    <w:rsid w:val="00CA7959"/>
    <w:rsid w:val="00CA79C9"/>
    <w:rsid w:val="00CA7A78"/>
    <w:rsid w:val="00CA7D23"/>
    <w:rsid w:val="00CA7EE5"/>
    <w:rsid w:val="00CA7EF6"/>
    <w:rsid w:val="00CB025A"/>
    <w:rsid w:val="00CB057E"/>
    <w:rsid w:val="00CB06AF"/>
    <w:rsid w:val="00CB083C"/>
    <w:rsid w:val="00CB0A17"/>
    <w:rsid w:val="00CB0A2A"/>
    <w:rsid w:val="00CB0B99"/>
    <w:rsid w:val="00CB0BF7"/>
    <w:rsid w:val="00CB0DA2"/>
    <w:rsid w:val="00CB0F28"/>
    <w:rsid w:val="00CB0FC8"/>
    <w:rsid w:val="00CB0FE5"/>
    <w:rsid w:val="00CB0FFE"/>
    <w:rsid w:val="00CB1006"/>
    <w:rsid w:val="00CB111D"/>
    <w:rsid w:val="00CB12AA"/>
    <w:rsid w:val="00CB1393"/>
    <w:rsid w:val="00CB13B8"/>
    <w:rsid w:val="00CB1675"/>
    <w:rsid w:val="00CB17D6"/>
    <w:rsid w:val="00CB182E"/>
    <w:rsid w:val="00CB1842"/>
    <w:rsid w:val="00CB18D9"/>
    <w:rsid w:val="00CB1A26"/>
    <w:rsid w:val="00CB1A6A"/>
    <w:rsid w:val="00CB1BBA"/>
    <w:rsid w:val="00CB1D0B"/>
    <w:rsid w:val="00CB1E09"/>
    <w:rsid w:val="00CB1EC0"/>
    <w:rsid w:val="00CB1F7A"/>
    <w:rsid w:val="00CB207A"/>
    <w:rsid w:val="00CB2218"/>
    <w:rsid w:val="00CB2223"/>
    <w:rsid w:val="00CB22B7"/>
    <w:rsid w:val="00CB22CC"/>
    <w:rsid w:val="00CB2590"/>
    <w:rsid w:val="00CB2677"/>
    <w:rsid w:val="00CB282C"/>
    <w:rsid w:val="00CB2CCD"/>
    <w:rsid w:val="00CB2CD3"/>
    <w:rsid w:val="00CB2E81"/>
    <w:rsid w:val="00CB30E4"/>
    <w:rsid w:val="00CB3118"/>
    <w:rsid w:val="00CB318A"/>
    <w:rsid w:val="00CB324C"/>
    <w:rsid w:val="00CB3265"/>
    <w:rsid w:val="00CB33DE"/>
    <w:rsid w:val="00CB352E"/>
    <w:rsid w:val="00CB35C5"/>
    <w:rsid w:val="00CB35E7"/>
    <w:rsid w:val="00CB3675"/>
    <w:rsid w:val="00CB36A9"/>
    <w:rsid w:val="00CB387A"/>
    <w:rsid w:val="00CB3891"/>
    <w:rsid w:val="00CB3B57"/>
    <w:rsid w:val="00CB3B7E"/>
    <w:rsid w:val="00CB3F77"/>
    <w:rsid w:val="00CB4169"/>
    <w:rsid w:val="00CB416D"/>
    <w:rsid w:val="00CB427A"/>
    <w:rsid w:val="00CB4368"/>
    <w:rsid w:val="00CB43B7"/>
    <w:rsid w:val="00CB4435"/>
    <w:rsid w:val="00CB457D"/>
    <w:rsid w:val="00CB464E"/>
    <w:rsid w:val="00CB468F"/>
    <w:rsid w:val="00CB4793"/>
    <w:rsid w:val="00CB486C"/>
    <w:rsid w:val="00CB4908"/>
    <w:rsid w:val="00CB4917"/>
    <w:rsid w:val="00CB4A67"/>
    <w:rsid w:val="00CB4C43"/>
    <w:rsid w:val="00CB4C83"/>
    <w:rsid w:val="00CB4CD2"/>
    <w:rsid w:val="00CB4D67"/>
    <w:rsid w:val="00CB4F67"/>
    <w:rsid w:val="00CB4F78"/>
    <w:rsid w:val="00CB4F87"/>
    <w:rsid w:val="00CB53D4"/>
    <w:rsid w:val="00CB551A"/>
    <w:rsid w:val="00CB5734"/>
    <w:rsid w:val="00CB5851"/>
    <w:rsid w:val="00CB588A"/>
    <w:rsid w:val="00CB58D4"/>
    <w:rsid w:val="00CB5917"/>
    <w:rsid w:val="00CB59D4"/>
    <w:rsid w:val="00CB5A81"/>
    <w:rsid w:val="00CB5D03"/>
    <w:rsid w:val="00CB5D24"/>
    <w:rsid w:val="00CB5E4E"/>
    <w:rsid w:val="00CB5E74"/>
    <w:rsid w:val="00CB5F65"/>
    <w:rsid w:val="00CB6147"/>
    <w:rsid w:val="00CB6350"/>
    <w:rsid w:val="00CB6503"/>
    <w:rsid w:val="00CB65B9"/>
    <w:rsid w:val="00CB6615"/>
    <w:rsid w:val="00CB66EF"/>
    <w:rsid w:val="00CB691C"/>
    <w:rsid w:val="00CB6BCA"/>
    <w:rsid w:val="00CB6E54"/>
    <w:rsid w:val="00CB6E87"/>
    <w:rsid w:val="00CB6EDF"/>
    <w:rsid w:val="00CB6F6D"/>
    <w:rsid w:val="00CB6FCB"/>
    <w:rsid w:val="00CB7112"/>
    <w:rsid w:val="00CB7280"/>
    <w:rsid w:val="00CB733E"/>
    <w:rsid w:val="00CB7395"/>
    <w:rsid w:val="00CB73C3"/>
    <w:rsid w:val="00CB75AE"/>
    <w:rsid w:val="00CB7612"/>
    <w:rsid w:val="00CB7759"/>
    <w:rsid w:val="00CB7ACE"/>
    <w:rsid w:val="00CB7CFE"/>
    <w:rsid w:val="00CB7D51"/>
    <w:rsid w:val="00CB7FA8"/>
    <w:rsid w:val="00CC0011"/>
    <w:rsid w:val="00CC00B4"/>
    <w:rsid w:val="00CC024D"/>
    <w:rsid w:val="00CC0364"/>
    <w:rsid w:val="00CC045B"/>
    <w:rsid w:val="00CC05FC"/>
    <w:rsid w:val="00CC06FF"/>
    <w:rsid w:val="00CC09B6"/>
    <w:rsid w:val="00CC0B7B"/>
    <w:rsid w:val="00CC0DAE"/>
    <w:rsid w:val="00CC0F76"/>
    <w:rsid w:val="00CC1019"/>
    <w:rsid w:val="00CC112E"/>
    <w:rsid w:val="00CC1172"/>
    <w:rsid w:val="00CC11C3"/>
    <w:rsid w:val="00CC1240"/>
    <w:rsid w:val="00CC130F"/>
    <w:rsid w:val="00CC1374"/>
    <w:rsid w:val="00CC143D"/>
    <w:rsid w:val="00CC14D9"/>
    <w:rsid w:val="00CC15B8"/>
    <w:rsid w:val="00CC15CD"/>
    <w:rsid w:val="00CC19C7"/>
    <w:rsid w:val="00CC1A3C"/>
    <w:rsid w:val="00CC1FCC"/>
    <w:rsid w:val="00CC206D"/>
    <w:rsid w:val="00CC2081"/>
    <w:rsid w:val="00CC226A"/>
    <w:rsid w:val="00CC22C4"/>
    <w:rsid w:val="00CC2504"/>
    <w:rsid w:val="00CC25B2"/>
    <w:rsid w:val="00CC25B8"/>
    <w:rsid w:val="00CC2751"/>
    <w:rsid w:val="00CC27C3"/>
    <w:rsid w:val="00CC28A4"/>
    <w:rsid w:val="00CC28E9"/>
    <w:rsid w:val="00CC28F4"/>
    <w:rsid w:val="00CC2938"/>
    <w:rsid w:val="00CC29D8"/>
    <w:rsid w:val="00CC2A2F"/>
    <w:rsid w:val="00CC2D59"/>
    <w:rsid w:val="00CC2E4F"/>
    <w:rsid w:val="00CC2EC5"/>
    <w:rsid w:val="00CC2F38"/>
    <w:rsid w:val="00CC3045"/>
    <w:rsid w:val="00CC3069"/>
    <w:rsid w:val="00CC318B"/>
    <w:rsid w:val="00CC3213"/>
    <w:rsid w:val="00CC331D"/>
    <w:rsid w:val="00CC33BB"/>
    <w:rsid w:val="00CC3492"/>
    <w:rsid w:val="00CC34A2"/>
    <w:rsid w:val="00CC367A"/>
    <w:rsid w:val="00CC369E"/>
    <w:rsid w:val="00CC3A05"/>
    <w:rsid w:val="00CC3D56"/>
    <w:rsid w:val="00CC3FCF"/>
    <w:rsid w:val="00CC4150"/>
    <w:rsid w:val="00CC41A2"/>
    <w:rsid w:val="00CC446D"/>
    <w:rsid w:val="00CC47A1"/>
    <w:rsid w:val="00CC484A"/>
    <w:rsid w:val="00CC4A70"/>
    <w:rsid w:val="00CC4AFD"/>
    <w:rsid w:val="00CC4CA7"/>
    <w:rsid w:val="00CC4ED9"/>
    <w:rsid w:val="00CC4FF1"/>
    <w:rsid w:val="00CC5098"/>
    <w:rsid w:val="00CC5099"/>
    <w:rsid w:val="00CC510C"/>
    <w:rsid w:val="00CC511D"/>
    <w:rsid w:val="00CC5371"/>
    <w:rsid w:val="00CC56D1"/>
    <w:rsid w:val="00CC576D"/>
    <w:rsid w:val="00CC5A4C"/>
    <w:rsid w:val="00CC5BF5"/>
    <w:rsid w:val="00CC5D76"/>
    <w:rsid w:val="00CC5F3C"/>
    <w:rsid w:val="00CC6374"/>
    <w:rsid w:val="00CC6541"/>
    <w:rsid w:val="00CC6602"/>
    <w:rsid w:val="00CC667A"/>
    <w:rsid w:val="00CC67B8"/>
    <w:rsid w:val="00CC67C5"/>
    <w:rsid w:val="00CC6BB3"/>
    <w:rsid w:val="00CC6D8D"/>
    <w:rsid w:val="00CC6FC3"/>
    <w:rsid w:val="00CC6FED"/>
    <w:rsid w:val="00CC7515"/>
    <w:rsid w:val="00CC75C6"/>
    <w:rsid w:val="00CC76DB"/>
    <w:rsid w:val="00CC7831"/>
    <w:rsid w:val="00CC787F"/>
    <w:rsid w:val="00CC79B1"/>
    <w:rsid w:val="00CC79D7"/>
    <w:rsid w:val="00CC7C4D"/>
    <w:rsid w:val="00CC7CC4"/>
    <w:rsid w:val="00CC7D8D"/>
    <w:rsid w:val="00CC7E33"/>
    <w:rsid w:val="00CC7F73"/>
    <w:rsid w:val="00CD00B4"/>
    <w:rsid w:val="00CD02D7"/>
    <w:rsid w:val="00CD02ED"/>
    <w:rsid w:val="00CD0357"/>
    <w:rsid w:val="00CD051D"/>
    <w:rsid w:val="00CD065A"/>
    <w:rsid w:val="00CD0830"/>
    <w:rsid w:val="00CD0835"/>
    <w:rsid w:val="00CD0E58"/>
    <w:rsid w:val="00CD0EEF"/>
    <w:rsid w:val="00CD1025"/>
    <w:rsid w:val="00CD102C"/>
    <w:rsid w:val="00CD1221"/>
    <w:rsid w:val="00CD1301"/>
    <w:rsid w:val="00CD1340"/>
    <w:rsid w:val="00CD1455"/>
    <w:rsid w:val="00CD14B7"/>
    <w:rsid w:val="00CD1719"/>
    <w:rsid w:val="00CD17DA"/>
    <w:rsid w:val="00CD1827"/>
    <w:rsid w:val="00CD18D5"/>
    <w:rsid w:val="00CD1A21"/>
    <w:rsid w:val="00CD1B05"/>
    <w:rsid w:val="00CD1B5A"/>
    <w:rsid w:val="00CD1CF2"/>
    <w:rsid w:val="00CD1DD8"/>
    <w:rsid w:val="00CD1DF4"/>
    <w:rsid w:val="00CD1F8F"/>
    <w:rsid w:val="00CD2014"/>
    <w:rsid w:val="00CD217E"/>
    <w:rsid w:val="00CD2285"/>
    <w:rsid w:val="00CD22FE"/>
    <w:rsid w:val="00CD26CA"/>
    <w:rsid w:val="00CD28CD"/>
    <w:rsid w:val="00CD2A86"/>
    <w:rsid w:val="00CD2B03"/>
    <w:rsid w:val="00CD2B93"/>
    <w:rsid w:val="00CD2E4B"/>
    <w:rsid w:val="00CD2F13"/>
    <w:rsid w:val="00CD312B"/>
    <w:rsid w:val="00CD31AD"/>
    <w:rsid w:val="00CD328B"/>
    <w:rsid w:val="00CD3726"/>
    <w:rsid w:val="00CD3755"/>
    <w:rsid w:val="00CD37AA"/>
    <w:rsid w:val="00CD39A4"/>
    <w:rsid w:val="00CD3ABE"/>
    <w:rsid w:val="00CD3ADA"/>
    <w:rsid w:val="00CD3B67"/>
    <w:rsid w:val="00CD3D6E"/>
    <w:rsid w:val="00CD3D76"/>
    <w:rsid w:val="00CD4040"/>
    <w:rsid w:val="00CD435D"/>
    <w:rsid w:val="00CD43C2"/>
    <w:rsid w:val="00CD4711"/>
    <w:rsid w:val="00CD4734"/>
    <w:rsid w:val="00CD476E"/>
    <w:rsid w:val="00CD49DE"/>
    <w:rsid w:val="00CD4AF8"/>
    <w:rsid w:val="00CD4E5E"/>
    <w:rsid w:val="00CD4EF3"/>
    <w:rsid w:val="00CD4F14"/>
    <w:rsid w:val="00CD4FD5"/>
    <w:rsid w:val="00CD4FFB"/>
    <w:rsid w:val="00CD527E"/>
    <w:rsid w:val="00CD5285"/>
    <w:rsid w:val="00CD52DB"/>
    <w:rsid w:val="00CD537A"/>
    <w:rsid w:val="00CD5774"/>
    <w:rsid w:val="00CD57A2"/>
    <w:rsid w:val="00CD5A43"/>
    <w:rsid w:val="00CD5AD6"/>
    <w:rsid w:val="00CD5C21"/>
    <w:rsid w:val="00CD5E76"/>
    <w:rsid w:val="00CD5F7C"/>
    <w:rsid w:val="00CD619A"/>
    <w:rsid w:val="00CD62D4"/>
    <w:rsid w:val="00CD62D9"/>
    <w:rsid w:val="00CD6490"/>
    <w:rsid w:val="00CD65FD"/>
    <w:rsid w:val="00CD6763"/>
    <w:rsid w:val="00CD679C"/>
    <w:rsid w:val="00CD6941"/>
    <w:rsid w:val="00CD6AB6"/>
    <w:rsid w:val="00CD6AE5"/>
    <w:rsid w:val="00CD6CC2"/>
    <w:rsid w:val="00CD6F4D"/>
    <w:rsid w:val="00CD7155"/>
    <w:rsid w:val="00CD72A5"/>
    <w:rsid w:val="00CD73BD"/>
    <w:rsid w:val="00CD743C"/>
    <w:rsid w:val="00CD7450"/>
    <w:rsid w:val="00CD74AA"/>
    <w:rsid w:val="00CD74F8"/>
    <w:rsid w:val="00CD7534"/>
    <w:rsid w:val="00CD75C8"/>
    <w:rsid w:val="00CD75E9"/>
    <w:rsid w:val="00CD7641"/>
    <w:rsid w:val="00CD782D"/>
    <w:rsid w:val="00CD7A63"/>
    <w:rsid w:val="00CD7E21"/>
    <w:rsid w:val="00CE0024"/>
    <w:rsid w:val="00CE0033"/>
    <w:rsid w:val="00CE02B2"/>
    <w:rsid w:val="00CE0384"/>
    <w:rsid w:val="00CE03BA"/>
    <w:rsid w:val="00CE03FB"/>
    <w:rsid w:val="00CE087A"/>
    <w:rsid w:val="00CE0C0D"/>
    <w:rsid w:val="00CE0CF2"/>
    <w:rsid w:val="00CE0DB1"/>
    <w:rsid w:val="00CE0E02"/>
    <w:rsid w:val="00CE0F8E"/>
    <w:rsid w:val="00CE1589"/>
    <w:rsid w:val="00CE15AF"/>
    <w:rsid w:val="00CE15D8"/>
    <w:rsid w:val="00CE1D04"/>
    <w:rsid w:val="00CE1E43"/>
    <w:rsid w:val="00CE1FF0"/>
    <w:rsid w:val="00CE22AD"/>
    <w:rsid w:val="00CE22C2"/>
    <w:rsid w:val="00CE27A3"/>
    <w:rsid w:val="00CE2848"/>
    <w:rsid w:val="00CE2893"/>
    <w:rsid w:val="00CE29F3"/>
    <w:rsid w:val="00CE2A57"/>
    <w:rsid w:val="00CE2BC5"/>
    <w:rsid w:val="00CE2BE3"/>
    <w:rsid w:val="00CE2D8A"/>
    <w:rsid w:val="00CE2DF9"/>
    <w:rsid w:val="00CE2EF3"/>
    <w:rsid w:val="00CE32D3"/>
    <w:rsid w:val="00CE3319"/>
    <w:rsid w:val="00CE334B"/>
    <w:rsid w:val="00CE3401"/>
    <w:rsid w:val="00CE3485"/>
    <w:rsid w:val="00CE34A2"/>
    <w:rsid w:val="00CE35C0"/>
    <w:rsid w:val="00CE36B9"/>
    <w:rsid w:val="00CE3900"/>
    <w:rsid w:val="00CE3986"/>
    <w:rsid w:val="00CE3CB5"/>
    <w:rsid w:val="00CE3F61"/>
    <w:rsid w:val="00CE403C"/>
    <w:rsid w:val="00CE4344"/>
    <w:rsid w:val="00CE438B"/>
    <w:rsid w:val="00CE43E4"/>
    <w:rsid w:val="00CE4418"/>
    <w:rsid w:val="00CE44C8"/>
    <w:rsid w:val="00CE49D8"/>
    <w:rsid w:val="00CE4A23"/>
    <w:rsid w:val="00CE4A3D"/>
    <w:rsid w:val="00CE527A"/>
    <w:rsid w:val="00CE550D"/>
    <w:rsid w:val="00CE553B"/>
    <w:rsid w:val="00CE563F"/>
    <w:rsid w:val="00CE5708"/>
    <w:rsid w:val="00CE5BF3"/>
    <w:rsid w:val="00CE5C3A"/>
    <w:rsid w:val="00CE5CF1"/>
    <w:rsid w:val="00CE5E64"/>
    <w:rsid w:val="00CE5EB3"/>
    <w:rsid w:val="00CE6206"/>
    <w:rsid w:val="00CE625B"/>
    <w:rsid w:val="00CE63BE"/>
    <w:rsid w:val="00CE642C"/>
    <w:rsid w:val="00CE64F8"/>
    <w:rsid w:val="00CE6581"/>
    <w:rsid w:val="00CE693D"/>
    <w:rsid w:val="00CE6AF0"/>
    <w:rsid w:val="00CE6CA7"/>
    <w:rsid w:val="00CE6D53"/>
    <w:rsid w:val="00CE6E8F"/>
    <w:rsid w:val="00CE6FB2"/>
    <w:rsid w:val="00CE6FEE"/>
    <w:rsid w:val="00CE7194"/>
    <w:rsid w:val="00CE7202"/>
    <w:rsid w:val="00CE730E"/>
    <w:rsid w:val="00CE74C9"/>
    <w:rsid w:val="00CE76A9"/>
    <w:rsid w:val="00CE76B6"/>
    <w:rsid w:val="00CE78B5"/>
    <w:rsid w:val="00CE7971"/>
    <w:rsid w:val="00CE79E9"/>
    <w:rsid w:val="00CE7A01"/>
    <w:rsid w:val="00CE7A81"/>
    <w:rsid w:val="00CE7B8E"/>
    <w:rsid w:val="00CE7E20"/>
    <w:rsid w:val="00CE7E34"/>
    <w:rsid w:val="00CE7F05"/>
    <w:rsid w:val="00CE7FC0"/>
    <w:rsid w:val="00CF0083"/>
    <w:rsid w:val="00CF016A"/>
    <w:rsid w:val="00CF01CF"/>
    <w:rsid w:val="00CF02F5"/>
    <w:rsid w:val="00CF0359"/>
    <w:rsid w:val="00CF03C8"/>
    <w:rsid w:val="00CF03D4"/>
    <w:rsid w:val="00CF03EC"/>
    <w:rsid w:val="00CF05F6"/>
    <w:rsid w:val="00CF0715"/>
    <w:rsid w:val="00CF075E"/>
    <w:rsid w:val="00CF08A7"/>
    <w:rsid w:val="00CF0934"/>
    <w:rsid w:val="00CF09BA"/>
    <w:rsid w:val="00CF0C77"/>
    <w:rsid w:val="00CF0F3E"/>
    <w:rsid w:val="00CF11C0"/>
    <w:rsid w:val="00CF1510"/>
    <w:rsid w:val="00CF17E9"/>
    <w:rsid w:val="00CF1923"/>
    <w:rsid w:val="00CF1A9E"/>
    <w:rsid w:val="00CF1B58"/>
    <w:rsid w:val="00CF1D61"/>
    <w:rsid w:val="00CF1E30"/>
    <w:rsid w:val="00CF21B1"/>
    <w:rsid w:val="00CF23BF"/>
    <w:rsid w:val="00CF2630"/>
    <w:rsid w:val="00CF2785"/>
    <w:rsid w:val="00CF2986"/>
    <w:rsid w:val="00CF29C6"/>
    <w:rsid w:val="00CF2A98"/>
    <w:rsid w:val="00CF2B83"/>
    <w:rsid w:val="00CF2BA8"/>
    <w:rsid w:val="00CF2E97"/>
    <w:rsid w:val="00CF30B8"/>
    <w:rsid w:val="00CF31C7"/>
    <w:rsid w:val="00CF3712"/>
    <w:rsid w:val="00CF3842"/>
    <w:rsid w:val="00CF38B2"/>
    <w:rsid w:val="00CF3BC5"/>
    <w:rsid w:val="00CF3C44"/>
    <w:rsid w:val="00CF3D32"/>
    <w:rsid w:val="00CF3E85"/>
    <w:rsid w:val="00CF3FD1"/>
    <w:rsid w:val="00CF410F"/>
    <w:rsid w:val="00CF426B"/>
    <w:rsid w:val="00CF42E2"/>
    <w:rsid w:val="00CF4413"/>
    <w:rsid w:val="00CF4551"/>
    <w:rsid w:val="00CF496D"/>
    <w:rsid w:val="00CF4997"/>
    <w:rsid w:val="00CF4B23"/>
    <w:rsid w:val="00CF4B72"/>
    <w:rsid w:val="00CF4D53"/>
    <w:rsid w:val="00CF50C2"/>
    <w:rsid w:val="00CF50F8"/>
    <w:rsid w:val="00CF55FE"/>
    <w:rsid w:val="00CF5621"/>
    <w:rsid w:val="00CF5701"/>
    <w:rsid w:val="00CF5C06"/>
    <w:rsid w:val="00CF5CF1"/>
    <w:rsid w:val="00CF5FF4"/>
    <w:rsid w:val="00CF6029"/>
    <w:rsid w:val="00CF631C"/>
    <w:rsid w:val="00CF633C"/>
    <w:rsid w:val="00CF663C"/>
    <w:rsid w:val="00CF6660"/>
    <w:rsid w:val="00CF6888"/>
    <w:rsid w:val="00CF6AFA"/>
    <w:rsid w:val="00CF6B4C"/>
    <w:rsid w:val="00CF6D6B"/>
    <w:rsid w:val="00CF6E4F"/>
    <w:rsid w:val="00CF7278"/>
    <w:rsid w:val="00CF72C6"/>
    <w:rsid w:val="00CF73E9"/>
    <w:rsid w:val="00CF7484"/>
    <w:rsid w:val="00CF76BF"/>
    <w:rsid w:val="00CF7A3B"/>
    <w:rsid w:val="00CF7AAC"/>
    <w:rsid w:val="00CF7C79"/>
    <w:rsid w:val="00CF7CB7"/>
    <w:rsid w:val="00CF7E8D"/>
    <w:rsid w:val="00D0004F"/>
    <w:rsid w:val="00D000DD"/>
    <w:rsid w:val="00D00A58"/>
    <w:rsid w:val="00D00CA7"/>
    <w:rsid w:val="00D00CCE"/>
    <w:rsid w:val="00D00EEE"/>
    <w:rsid w:val="00D00F09"/>
    <w:rsid w:val="00D0104E"/>
    <w:rsid w:val="00D011D9"/>
    <w:rsid w:val="00D011FD"/>
    <w:rsid w:val="00D01225"/>
    <w:rsid w:val="00D01345"/>
    <w:rsid w:val="00D0142F"/>
    <w:rsid w:val="00D01545"/>
    <w:rsid w:val="00D017E1"/>
    <w:rsid w:val="00D01914"/>
    <w:rsid w:val="00D01A76"/>
    <w:rsid w:val="00D01AF0"/>
    <w:rsid w:val="00D01C2E"/>
    <w:rsid w:val="00D01C30"/>
    <w:rsid w:val="00D01C85"/>
    <w:rsid w:val="00D01E86"/>
    <w:rsid w:val="00D0200B"/>
    <w:rsid w:val="00D02325"/>
    <w:rsid w:val="00D023CF"/>
    <w:rsid w:val="00D0255D"/>
    <w:rsid w:val="00D0257E"/>
    <w:rsid w:val="00D025D5"/>
    <w:rsid w:val="00D0261F"/>
    <w:rsid w:val="00D026C7"/>
    <w:rsid w:val="00D02772"/>
    <w:rsid w:val="00D028DC"/>
    <w:rsid w:val="00D0297D"/>
    <w:rsid w:val="00D0299D"/>
    <w:rsid w:val="00D02BB1"/>
    <w:rsid w:val="00D0313D"/>
    <w:rsid w:val="00D03359"/>
    <w:rsid w:val="00D034E9"/>
    <w:rsid w:val="00D03934"/>
    <w:rsid w:val="00D039B8"/>
    <w:rsid w:val="00D03A67"/>
    <w:rsid w:val="00D03C0A"/>
    <w:rsid w:val="00D03D99"/>
    <w:rsid w:val="00D03ED4"/>
    <w:rsid w:val="00D040A8"/>
    <w:rsid w:val="00D0410B"/>
    <w:rsid w:val="00D0414D"/>
    <w:rsid w:val="00D04211"/>
    <w:rsid w:val="00D04213"/>
    <w:rsid w:val="00D042A4"/>
    <w:rsid w:val="00D04461"/>
    <w:rsid w:val="00D044A5"/>
    <w:rsid w:val="00D04539"/>
    <w:rsid w:val="00D04730"/>
    <w:rsid w:val="00D04777"/>
    <w:rsid w:val="00D0494A"/>
    <w:rsid w:val="00D049F0"/>
    <w:rsid w:val="00D04D38"/>
    <w:rsid w:val="00D04E94"/>
    <w:rsid w:val="00D0500D"/>
    <w:rsid w:val="00D0532B"/>
    <w:rsid w:val="00D054AE"/>
    <w:rsid w:val="00D05518"/>
    <w:rsid w:val="00D0579E"/>
    <w:rsid w:val="00D057C9"/>
    <w:rsid w:val="00D05893"/>
    <w:rsid w:val="00D05CB4"/>
    <w:rsid w:val="00D05DF6"/>
    <w:rsid w:val="00D05FD7"/>
    <w:rsid w:val="00D06010"/>
    <w:rsid w:val="00D060C6"/>
    <w:rsid w:val="00D06122"/>
    <w:rsid w:val="00D06125"/>
    <w:rsid w:val="00D06237"/>
    <w:rsid w:val="00D062DE"/>
    <w:rsid w:val="00D0680A"/>
    <w:rsid w:val="00D0695D"/>
    <w:rsid w:val="00D06986"/>
    <w:rsid w:val="00D06A3B"/>
    <w:rsid w:val="00D06E07"/>
    <w:rsid w:val="00D06E7F"/>
    <w:rsid w:val="00D06F65"/>
    <w:rsid w:val="00D070A7"/>
    <w:rsid w:val="00D0710F"/>
    <w:rsid w:val="00D0716C"/>
    <w:rsid w:val="00D0722E"/>
    <w:rsid w:val="00D07243"/>
    <w:rsid w:val="00D07356"/>
    <w:rsid w:val="00D0737C"/>
    <w:rsid w:val="00D07776"/>
    <w:rsid w:val="00D07A23"/>
    <w:rsid w:val="00D07C38"/>
    <w:rsid w:val="00D07C6D"/>
    <w:rsid w:val="00D07E54"/>
    <w:rsid w:val="00D07FFA"/>
    <w:rsid w:val="00D10256"/>
    <w:rsid w:val="00D10302"/>
    <w:rsid w:val="00D10382"/>
    <w:rsid w:val="00D10412"/>
    <w:rsid w:val="00D10468"/>
    <w:rsid w:val="00D10488"/>
    <w:rsid w:val="00D10560"/>
    <w:rsid w:val="00D105C4"/>
    <w:rsid w:val="00D10734"/>
    <w:rsid w:val="00D10830"/>
    <w:rsid w:val="00D10859"/>
    <w:rsid w:val="00D109D4"/>
    <w:rsid w:val="00D10C3A"/>
    <w:rsid w:val="00D10C68"/>
    <w:rsid w:val="00D10C81"/>
    <w:rsid w:val="00D10EC3"/>
    <w:rsid w:val="00D10F40"/>
    <w:rsid w:val="00D1100D"/>
    <w:rsid w:val="00D113F6"/>
    <w:rsid w:val="00D1144D"/>
    <w:rsid w:val="00D11592"/>
    <w:rsid w:val="00D117F0"/>
    <w:rsid w:val="00D11953"/>
    <w:rsid w:val="00D119AB"/>
    <w:rsid w:val="00D119B9"/>
    <w:rsid w:val="00D11B17"/>
    <w:rsid w:val="00D11BAA"/>
    <w:rsid w:val="00D11C79"/>
    <w:rsid w:val="00D11E1A"/>
    <w:rsid w:val="00D12182"/>
    <w:rsid w:val="00D121F8"/>
    <w:rsid w:val="00D12316"/>
    <w:rsid w:val="00D1247A"/>
    <w:rsid w:val="00D124A8"/>
    <w:rsid w:val="00D1259C"/>
    <w:rsid w:val="00D1260A"/>
    <w:rsid w:val="00D12782"/>
    <w:rsid w:val="00D12881"/>
    <w:rsid w:val="00D12B7D"/>
    <w:rsid w:val="00D13002"/>
    <w:rsid w:val="00D13013"/>
    <w:rsid w:val="00D1301B"/>
    <w:rsid w:val="00D1315D"/>
    <w:rsid w:val="00D13178"/>
    <w:rsid w:val="00D131DB"/>
    <w:rsid w:val="00D13412"/>
    <w:rsid w:val="00D13499"/>
    <w:rsid w:val="00D1360B"/>
    <w:rsid w:val="00D139D2"/>
    <w:rsid w:val="00D13B22"/>
    <w:rsid w:val="00D13D78"/>
    <w:rsid w:val="00D14109"/>
    <w:rsid w:val="00D141A1"/>
    <w:rsid w:val="00D141B2"/>
    <w:rsid w:val="00D14349"/>
    <w:rsid w:val="00D14389"/>
    <w:rsid w:val="00D1447D"/>
    <w:rsid w:val="00D145D4"/>
    <w:rsid w:val="00D146BF"/>
    <w:rsid w:val="00D14746"/>
    <w:rsid w:val="00D14778"/>
    <w:rsid w:val="00D1479E"/>
    <w:rsid w:val="00D147A6"/>
    <w:rsid w:val="00D14804"/>
    <w:rsid w:val="00D14906"/>
    <w:rsid w:val="00D14A06"/>
    <w:rsid w:val="00D14AE5"/>
    <w:rsid w:val="00D14B0C"/>
    <w:rsid w:val="00D14F62"/>
    <w:rsid w:val="00D15083"/>
    <w:rsid w:val="00D150DE"/>
    <w:rsid w:val="00D154A8"/>
    <w:rsid w:val="00D158A8"/>
    <w:rsid w:val="00D15980"/>
    <w:rsid w:val="00D15A00"/>
    <w:rsid w:val="00D15C51"/>
    <w:rsid w:val="00D15E0C"/>
    <w:rsid w:val="00D15E77"/>
    <w:rsid w:val="00D15FCF"/>
    <w:rsid w:val="00D15FD8"/>
    <w:rsid w:val="00D16056"/>
    <w:rsid w:val="00D1631C"/>
    <w:rsid w:val="00D16463"/>
    <w:rsid w:val="00D16590"/>
    <w:rsid w:val="00D16723"/>
    <w:rsid w:val="00D16768"/>
    <w:rsid w:val="00D1676D"/>
    <w:rsid w:val="00D168E0"/>
    <w:rsid w:val="00D1694F"/>
    <w:rsid w:val="00D16B5F"/>
    <w:rsid w:val="00D16C25"/>
    <w:rsid w:val="00D16EAD"/>
    <w:rsid w:val="00D16EE7"/>
    <w:rsid w:val="00D1704F"/>
    <w:rsid w:val="00D17063"/>
    <w:rsid w:val="00D170AA"/>
    <w:rsid w:val="00D17123"/>
    <w:rsid w:val="00D173AD"/>
    <w:rsid w:val="00D173EA"/>
    <w:rsid w:val="00D176AF"/>
    <w:rsid w:val="00D17A19"/>
    <w:rsid w:val="00D17C61"/>
    <w:rsid w:val="00D17C78"/>
    <w:rsid w:val="00D17F14"/>
    <w:rsid w:val="00D17F97"/>
    <w:rsid w:val="00D20098"/>
    <w:rsid w:val="00D203E9"/>
    <w:rsid w:val="00D2092A"/>
    <w:rsid w:val="00D20B68"/>
    <w:rsid w:val="00D20CA7"/>
    <w:rsid w:val="00D20CCA"/>
    <w:rsid w:val="00D20FB4"/>
    <w:rsid w:val="00D2124E"/>
    <w:rsid w:val="00D2134B"/>
    <w:rsid w:val="00D2139F"/>
    <w:rsid w:val="00D214A4"/>
    <w:rsid w:val="00D218F7"/>
    <w:rsid w:val="00D2197E"/>
    <w:rsid w:val="00D2198B"/>
    <w:rsid w:val="00D21D38"/>
    <w:rsid w:val="00D21F5E"/>
    <w:rsid w:val="00D22062"/>
    <w:rsid w:val="00D220A3"/>
    <w:rsid w:val="00D221ED"/>
    <w:rsid w:val="00D22206"/>
    <w:rsid w:val="00D2256F"/>
    <w:rsid w:val="00D22703"/>
    <w:rsid w:val="00D22718"/>
    <w:rsid w:val="00D2279F"/>
    <w:rsid w:val="00D227D8"/>
    <w:rsid w:val="00D229A0"/>
    <w:rsid w:val="00D22BE9"/>
    <w:rsid w:val="00D22C53"/>
    <w:rsid w:val="00D22D0E"/>
    <w:rsid w:val="00D22E30"/>
    <w:rsid w:val="00D22F33"/>
    <w:rsid w:val="00D23035"/>
    <w:rsid w:val="00D231DB"/>
    <w:rsid w:val="00D2344B"/>
    <w:rsid w:val="00D23523"/>
    <w:rsid w:val="00D23531"/>
    <w:rsid w:val="00D2359B"/>
    <w:rsid w:val="00D235E0"/>
    <w:rsid w:val="00D2364D"/>
    <w:rsid w:val="00D23927"/>
    <w:rsid w:val="00D23983"/>
    <w:rsid w:val="00D23B09"/>
    <w:rsid w:val="00D23B3F"/>
    <w:rsid w:val="00D23BF4"/>
    <w:rsid w:val="00D23CBB"/>
    <w:rsid w:val="00D23FAB"/>
    <w:rsid w:val="00D2412A"/>
    <w:rsid w:val="00D2439B"/>
    <w:rsid w:val="00D2449F"/>
    <w:rsid w:val="00D245DC"/>
    <w:rsid w:val="00D24768"/>
    <w:rsid w:val="00D247C1"/>
    <w:rsid w:val="00D247C3"/>
    <w:rsid w:val="00D24B21"/>
    <w:rsid w:val="00D24C88"/>
    <w:rsid w:val="00D24D3F"/>
    <w:rsid w:val="00D24EF3"/>
    <w:rsid w:val="00D24F81"/>
    <w:rsid w:val="00D25321"/>
    <w:rsid w:val="00D25421"/>
    <w:rsid w:val="00D254E9"/>
    <w:rsid w:val="00D25507"/>
    <w:rsid w:val="00D2560B"/>
    <w:rsid w:val="00D257E6"/>
    <w:rsid w:val="00D25831"/>
    <w:rsid w:val="00D25972"/>
    <w:rsid w:val="00D259C8"/>
    <w:rsid w:val="00D25B8D"/>
    <w:rsid w:val="00D25CA3"/>
    <w:rsid w:val="00D25CB1"/>
    <w:rsid w:val="00D25CD0"/>
    <w:rsid w:val="00D25FEA"/>
    <w:rsid w:val="00D25FEE"/>
    <w:rsid w:val="00D26315"/>
    <w:rsid w:val="00D26524"/>
    <w:rsid w:val="00D2659B"/>
    <w:rsid w:val="00D265EC"/>
    <w:rsid w:val="00D269C7"/>
    <w:rsid w:val="00D26AF4"/>
    <w:rsid w:val="00D26B6D"/>
    <w:rsid w:val="00D26C70"/>
    <w:rsid w:val="00D26CDE"/>
    <w:rsid w:val="00D26F2B"/>
    <w:rsid w:val="00D27109"/>
    <w:rsid w:val="00D272A2"/>
    <w:rsid w:val="00D274EB"/>
    <w:rsid w:val="00D27799"/>
    <w:rsid w:val="00D2779F"/>
    <w:rsid w:val="00D277FF"/>
    <w:rsid w:val="00D27A26"/>
    <w:rsid w:val="00D27A3D"/>
    <w:rsid w:val="00D27D32"/>
    <w:rsid w:val="00D27FAE"/>
    <w:rsid w:val="00D30156"/>
    <w:rsid w:val="00D30194"/>
    <w:rsid w:val="00D301E2"/>
    <w:rsid w:val="00D302E1"/>
    <w:rsid w:val="00D30391"/>
    <w:rsid w:val="00D303D1"/>
    <w:rsid w:val="00D30582"/>
    <w:rsid w:val="00D30615"/>
    <w:rsid w:val="00D30B37"/>
    <w:rsid w:val="00D30B45"/>
    <w:rsid w:val="00D30E32"/>
    <w:rsid w:val="00D30F92"/>
    <w:rsid w:val="00D31044"/>
    <w:rsid w:val="00D31247"/>
    <w:rsid w:val="00D31285"/>
    <w:rsid w:val="00D312BF"/>
    <w:rsid w:val="00D31308"/>
    <w:rsid w:val="00D313BA"/>
    <w:rsid w:val="00D3142F"/>
    <w:rsid w:val="00D3153A"/>
    <w:rsid w:val="00D31557"/>
    <w:rsid w:val="00D31694"/>
    <w:rsid w:val="00D31713"/>
    <w:rsid w:val="00D317AE"/>
    <w:rsid w:val="00D31850"/>
    <w:rsid w:val="00D31B77"/>
    <w:rsid w:val="00D31CF8"/>
    <w:rsid w:val="00D31E1C"/>
    <w:rsid w:val="00D31E77"/>
    <w:rsid w:val="00D31F93"/>
    <w:rsid w:val="00D32024"/>
    <w:rsid w:val="00D3204B"/>
    <w:rsid w:val="00D32158"/>
    <w:rsid w:val="00D32209"/>
    <w:rsid w:val="00D323D0"/>
    <w:rsid w:val="00D324B4"/>
    <w:rsid w:val="00D32681"/>
    <w:rsid w:val="00D3268D"/>
    <w:rsid w:val="00D326B5"/>
    <w:rsid w:val="00D326C4"/>
    <w:rsid w:val="00D32A3B"/>
    <w:rsid w:val="00D32BC7"/>
    <w:rsid w:val="00D32F56"/>
    <w:rsid w:val="00D332EB"/>
    <w:rsid w:val="00D334AF"/>
    <w:rsid w:val="00D33687"/>
    <w:rsid w:val="00D336B0"/>
    <w:rsid w:val="00D3388F"/>
    <w:rsid w:val="00D339CD"/>
    <w:rsid w:val="00D33AC1"/>
    <w:rsid w:val="00D33B28"/>
    <w:rsid w:val="00D33B41"/>
    <w:rsid w:val="00D33CE3"/>
    <w:rsid w:val="00D33EA4"/>
    <w:rsid w:val="00D33F10"/>
    <w:rsid w:val="00D33F6E"/>
    <w:rsid w:val="00D33FFC"/>
    <w:rsid w:val="00D3407D"/>
    <w:rsid w:val="00D341A7"/>
    <w:rsid w:val="00D34229"/>
    <w:rsid w:val="00D3427D"/>
    <w:rsid w:val="00D342E0"/>
    <w:rsid w:val="00D34489"/>
    <w:rsid w:val="00D34507"/>
    <w:rsid w:val="00D346EF"/>
    <w:rsid w:val="00D34BFF"/>
    <w:rsid w:val="00D34C3C"/>
    <w:rsid w:val="00D34E22"/>
    <w:rsid w:val="00D34EEA"/>
    <w:rsid w:val="00D35271"/>
    <w:rsid w:val="00D35368"/>
    <w:rsid w:val="00D35391"/>
    <w:rsid w:val="00D353E0"/>
    <w:rsid w:val="00D355E0"/>
    <w:rsid w:val="00D3568A"/>
    <w:rsid w:val="00D3592A"/>
    <w:rsid w:val="00D35964"/>
    <w:rsid w:val="00D35CBB"/>
    <w:rsid w:val="00D35EFE"/>
    <w:rsid w:val="00D35FA7"/>
    <w:rsid w:val="00D3602B"/>
    <w:rsid w:val="00D3617C"/>
    <w:rsid w:val="00D36485"/>
    <w:rsid w:val="00D364E6"/>
    <w:rsid w:val="00D3659D"/>
    <w:rsid w:val="00D365C7"/>
    <w:rsid w:val="00D36684"/>
    <w:rsid w:val="00D366AA"/>
    <w:rsid w:val="00D36788"/>
    <w:rsid w:val="00D367E8"/>
    <w:rsid w:val="00D3693B"/>
    <w:rsid w:val="00D36C50"/>
    <w:rsid w:val="00D36C72"/>
    <w:rsid w:val="00D36CD9"/>
    <w:rsid w:val="00D36E5E"/>
    <w:rsid w:val="00D36ECA"/>
    <w:rsid w:val="00D36F81"/>
    <w:rsid w:val="00D36F94"/>
    <w:rsid w:val="00D37022"/>
    <w:rsid w:val="00D37068"/>
    <w:rsid w:val="00D372A8"/>
    <w:rsid w:val="00D372B3"/>
    <w:rsid w:val="00D372DD"/>
    <w:rsid w:val="00D37378"/>
    <w:rsid w:val="00D37AC3"/>
    <w:rsid w:val="00D37D30"/>
    <w:rsid w:val="00D37E4E"/>
    <w:rsid w:val="00D37E6D"/>
    <w:rsid w:val="00D37E7C"/>
    <w:rsid w:val="00D405FE"/>
    <w:rsid w:val="00D407EA"/>
    <w:rsid w:val="00D4080D"/>
    <w:rsid w:val="00D4084B"/>
    <w:rsid w:val="00D40A4C"/>
    <w:rsid w:val="00D4124F"/>
    <w:rsid w:val="00D41296"/>
    <w:rsid w:val="00D414BF"/>
    <w:rsid w:val="00D415BC"/>
    <w:rsid w:val="00D415E6"/>
    <w:rsid w:val="00D4169C"/>
    <w:rsid w:val="00D419B4"/>
    <w:rsid w:val="00D419F9"/>
    <w:rsid w:val="00D42011"/>
    <w:rsid w:val="00D42276"/>
    <w:rsid w:val="00D42348"/>
    <w:rsid w:val="00D426F9"/>
    <w:rsid w:val="00D42721"/>
    <w:rsid w:val="00D42915"/>
    <w:rsid w:val="00D42B1B"/>
    <w:rsid w:val="00D42C3E"/>
    <w:rsid w:val="00D42EFA"/>
    <w:rsid w:val="00D431CA"/>
    <w:rsid w:val="00D4320A"/>
    <w:rsid w:val="00D43228"/>
    <w:rsid w:val="00D43279"/>
    <w:rsid w:val="00D43312"/>
    <w:rsid w:val="00D433EB"/>
    <w:rsid w:val="00D43512"/>
    <w:rsid w:val="00D43626"/>
    <w:rsid w:val="00D4378A"/>
    <w:rsid w:val="00D43849"/>
    <w:rsid w:val="00D439CA"/>
    <w:rsid w:val="00D439E6"/>
    <w:rsid w:val="00D43F13"/>
    <w:rsid w:val="00D43FAB"/>
    <w:rsid w:val="00D43FEB"/>
    <w:rsid w:val="00D43FF1"/>
    <w:rsid w:val="00D44064"/>
    <w:rsid w:val="00D44199"/>
    <w:rsid w:val="00D441C8"/>
    <w:rsid w:val="00D4421F"/>
    <w:rsid w:val="00D44557"/>
    <w:rsid w:val="00D446EF"/>
    <w:rsid w:val="00D4475D"/>
    <w:rsid w:val="00D447E8"/>
    <w:rsid w:val="00D44895"/>
    <w:rsid w:val="00D44D02"/>
    <w:rsid w:val="00D44E08"/>
    <w:rsid w:val="00D4534C"/>
    <w:rsid w:val="00D453AF"/>
    <w:rsid w:val="00D454E4"/>
    <w:rsid w:val="00D4555F"/>
    <w:rsid w:val="00D45721"/>
    <w:rsid w:val="00D45881"/>
    <w:rsid w:val="00D45A9B"/>
    <w:rsid w:val="00D45D51"/>
    <w:rsid w:val="00D45EAB"/>
    <w:rsid w:val="00D45ECA"/>
    <w:rsid w:val="00D45F07"/>
    <w:rsid w:val="00D45F76"/>
    <w:rsid w:val="00D4608E"/>
    <w:rsid w:val="00D46096"/>
    <w:rsid w:val="00D46198"/>
    <w:rsid w:val="00D461BC"/>
    <w:rsid w:val="00D4627B"/>
    <w:rsid w:val="00D4633B"/>
    <w:rsid w:val="00D46364"/>
    <w:rsid w:val="00D463EE"/>
    <w:rsid w:val="00D46406"/>
    <w:rsid w:val="00D4663F"/>
    <w:rsid w:val="00D46764"/>
    <w:rsid w:val="00D46804"/>
    <w:rsid w:val="00D46B6A"/>
    <w:rsid w:val="00D46D28"/>
    <w:rsid w:val="00D46DAD"/>
    <w:rsid w:val="00D46E6E"/>
    <w:rsid w:val="00D46EF1"/>
    <w:rsid w:val="00D46F7C"/>
    <w:rsid w:val="00D4762E"/>
    <w:rsid w:val="00D47679"/>
    <w:rsid w:val="00D47745"/>
    <w:rsid w:val="00D477BE"/>
    <w:rsid w:val="00D47833"/>
    <w:rsid w:val="00D478BD"/>
    <w:rsid w:val="00D47A97"/>
    <w:rsid w:val="00D47C1F"/>
    <w:rsid w:val="00D47C2B"/>
    <w:rsid w:val="00D47DBA"/>
    <w:rsid w:val="00D5013D"/>
    <w:rsid w:val="00D50455"/>
    <w:rsid w:val="00D505EB"/>
    <w:rsid w:val="00D5075B"/>
    <w:rsid w:val="00D508D5"/>
    <w:rsid w:val="00D509F3"/>
    <w:rsid w:val="00D50A11"/>
    <w:rsid w:val="00D50A6B"/>
    <w:rsid w:val="00D50C15"/>
    <w:rsid w:val="00D50CCB"/>
    <w:rsid w:val="00D50D1C"/>
    <w:rsid w:val="00D50F31"/>
    <w:rsid w:val="00D50FE8"/>
    <w:rsid w:val="00D5101F"/>
    <w:rsid w:val="00D5113B"/>
    <w:rsid w:val="00D5120F"/>
    <w:rsid w:val="00D51589"/>
    <w:rsid w:val="00D5159C"/>
    <w:rsid w:val="00D5169E"/>
    <w:rsid w:val="00D516B6"/>
    <w:rsid w:val="00D518D7"/>
    <w:rsid w:val="00D51915"/>
    <w:rsid w:val="00D51A35"/>
    <w:rsid w:val="00D51A78"/>
    <w:rsid w:val="00D51C60"/>
    <w:rsid w:val="00D51CAC"/>
    <w:rsid w:val="00D51FB7"/>
    <w:rsid w:val="00D52226"/>
    <w:rsid w:val="00D52295"/>
    <w:rsid w:val="00D52302"/>
    <w:rsid w:val="00D52414"/>
    <w:rsid w:val="00D52420"/>
    <w:rsid w:val="00D526AC"/>
    <w:rsid w:val="00D52715"/>
    <w:rsid w:val="00D527A6"/>
    <w:rsid w:val="00D52880"/>
    <w:rsid w:val="00D52AFB"/>
    <w:rsid w:val="00D52B60"/>
    <w:rsid w:val="00D52C6B"/>
    <w:rsid w:val="00D52D61"/>
    <w:rsid w:val="00D5303D"/>
    <w:rsid w:val="00D530D6"/>
    <w:rsid w:val="00D531E6"/>
    <w:rsid w:val="00D534BE"/>
    <w:rsid w:val="00D53534"/>
    <w:rsid w:val="00D535A6"/>
    <w:rsid w:val="00D538C2"/>
    <w:rsid w:val="00D5393E"/>
    <w:rsid w:val="00D53AB7"/>
    <w:rsid w:val="00D53C44"/>
    <w:rsid w:val="00D53E2F"/>
    <w:rsid w:val="00D53E3E"/>
    <w:rsid w:val="00D54007"/>
    <w:rsid w:val="00D54395"/>
    <w:rsid w:val="00D543C5"/>
    <w:rsid w:val="00D54461"/>
    <w:rsid w:val="00D545D0"/>
    <w:rsid w:val="00D54739"/>
    <w:rsid w:val="00D5477A"/>
    <w:rsid w:val="00D54892"/>
    <w:rsid w:val="00D54CA4"/>
    <w:rsid w:val="00D54D14"/>
    <w:rsid w:val="00D54D25"/>
    <w:rsid w:val="00D54E5C"/>
    <w:rsid w:val="00D55334"/>
    <w:rsid w:val="00D554AB"/>
    <w:rsid w:val="00D554E4"/>
    <w:rsid w:val="00D5554C"/>
    <w:rsid w:val="00D555D8"/>
    <w:rsid w:val="00D556D6"/>
    <w:rsid w:val="00D55AA8"/>
    <w:rsid w:val="00D55F10"/>
    <w:rsid w:val="00D562FA"/>
    <w:rsid w:val="00D5649A"/>
    <w:rsid w:val="00D564C5"/>
    <w:rsid w:val="00D5658A"/>
    <w:rsid w:val="00D5667F"/>
    <w:rsid w:val="00D566A0"/>
    <w:rsid w:val="00D567B4"/>
    <w:rsid w:val="00D569AC"/>
    <w:rsid w:val="00D56A2E"/>
    <w:rsid w:val="00D56B7A"/>
    <w:rsid w:val="00D56D0C"/>
    <w:rsid w:val="00D56D83"/>
    <w:rsid w:val="00D56E7D"/>
    <w:rsid w:val="00D56F46"/>
    <w:rsid w:val="00D57164"/>
    <w:rsid w:val="00D5729D"/>
    <w:rsid w:val="00D57416"/>
    <w:rsid w:val="00D57495"/>
    <w:rsid w:val="00D57530"/>
    <w:rsid w:val="00D57655"/>
    <w:rsid w:val="00D57816"/>
    <w:rsid w:val="00D57A70"/>
    <w:rsid w:val="00D57B83"/>
    <w:rsid w:val="00D57C23"/>
    <w:rsid w:val="00D57C4C"/>
    <w:rsid w:val="00D57ECB"/>
    <w:rsid w:val="00D60046"/>
    <w:rsid w:val="00D600AC"/>
    <w:rsid w:val="00D60189"/>
    <w:rsid w:val="00D601B7"/>
    <w:rsid w:val="00D60225"/>
    <w:rsid w:val="00D60345"/>
    <w:rsid w:val="00D603C8"/>
    <w:rsid w:val="00D604CD"/>
    <w:rsid w:val="00D60573"/>
    <w:rsid w:val="00D6081F"/>
    <w:rsid w:val="00D6082D"/>
    <w:rsid w:val="00D609ED"/>
    <w:rsid w:val="00D60BB9"/>
    <w:rsid w:val="00D60C05"/>
    <w:rsid w:val="00D61038"/>
    <w:rsid w:val="00D61065"/>
    <w:rsid w:val="00D6113A"/>
    <w:rsid w:val="00D611F8"/>
    <w:rsid w:val="00D616D8"/>
    <w:rsid w:val="00D61748"/>
    <w:rsid w:val="00D6174E"/>
    <w:rsid w:val="00D61759"/>
    <w:rsid w:val="00D61A05"/>
    <w:rsid w:val="00D61A79"/>
    <w:rsid w:val="00D61C57"/>
    <w:rsid w:val="00D61DB6"/>
    <w:rsid w:val="00D62151"/>
    <w:rsid w:val="00D6216A"/>
    <w:rsid w:val="00D62386"/>
    <w:rsid w:val="00D62605"/>
    <w:rsid w:val="00D62706"/>
    <w:rsid w:val="00D6275C"/>
    <w:rsid w:val="00D62846"/>
    <w:rsid w:val="00D629F7"/>
    <w:rsid w:val="00D62A93"/>
    <w:rsid w:val="00D62DE9"/>
    <w:rsid w:val="00D6335B"/>
    <w:rsid w:val="00D634F8"/>
    <w:rsid w:val="00D63568"/>
    <w:rsid w:val="00D637E0"/>
    <w:rsid w:val="00D63A2D"/>
    <w:rsid w:val="00D63AB3"/>
    <w:rsid w:val="00D63B83"/>
    <w:rsid w:val="00D63CF3"/>
    <w:rsid w:val="00D63D03"/>
    <w:rsid w:val="00D63E02"/>
    <w:rsid w:val="00D64255"/>
    <w:rsid w:val="00D6426D"/>
    <w:rsid w:val="00D642DE"/>
    <w:rsid w:val="00D6435E"/>
    <w:rsid w:val="00D64383"/>
    <w:rsid w:val="00D6444D"/>
    <w:rsid w:val="00D6447E"/>
    <w:rsid w:val="00D64534"/>
    <w:rsid w:val="00D649C3"/>
    <w:rsid w:val="00D64C28"/>
    <w:rsid w:val="00D64CE0"/>
    <w:rsid w:val="00D64E91"/>
    <w:rsid w:val="00D64EA4"/>
    <w:rsid w:val="00D64F0D"/>
    <w:rsid w:val="00D64FC1"/>
    <w:rsid w:val="00D65123"/>
    <w:rsid w:val="00D65127"/>
    <w:rsid w:val="00D65206"/>
    <w:rsid w:val="00D65260"/>
    <w:rsid w:val="00D65294"/>
    <w:rsid w:val="00D653F4"/>
    <w:rsid w:val="00D6547C"/>
    <w:rsid w:val="00D6553F"/>
    <w:rsid w:val="00D65817"/>
    <w:rsid w:val="00D658E7"/>
    <w:rsid w:val="00D659AD"/>
    <w:rsid w:val="00D659BC"/>
    <w:rsid w:val="00D65A0F"/>
    <w:rsid w:val="00D65B0D"/>
    <w:rsid w:val="00D65BF6"/>
    <w:rsid w:val="00D65C5D"/>
    <w:rsid w:val="00D65D2C"/>
    <w:rsid w:val="00D65E12"/>
    <w:rsid w:val="00D65E29"/>
    <w:rsid w:val="00D65E52"/>
    <w:rsid w:val="00D65F13"/>
    <w:rsid w:val="00D6617C"/>
    <w:rsid w:val="00D66332"/>
    <w:rsid w:val="00D6651C"/>
    <w:rsid w:val="00D6666B"/>
    <w:rsid w:val="00D66686"/>
    <w:rsid w:val="00D667BA"/>
    <w:rsid w:val="00D6684A"/>
    <w:rsid w:val="00D6689E"/>
    <w:rsid w:val="00D66993"/>
    <w:rsid w:val="00D66B54"/>
    <w:rsid w:val="00D67054"/>
    <w:rsid w:val="00D670C3"/>
    <w:rsid w:val="00D67128"/>
    <w:rsid w:val="00D67133"/>
    <w:rsid w:val="00D6723C"/>
    <w:rsid w:val="00D672B4"/>
    <w:rsid w:val="00D673B2"/>
    <w:rsid w:val="00D673C0"/>
    <w:rsid w:val="00D675D5"/>
    <w:rsid w:val="00D676ED"/>
    <w:rsid w:val="00D67944"/>
    <w:rsid w:val="00D679B2"/>
    <w:rsid w:val="00D67EE3"/>
    <w:rsid w:val="00D70293"/>
    <w:rsid w:val="00D7031C"/>
    <w:rsid w:val="00D70341"/>
    <w:rsid w:val="00D7061D"/>
    <w:rsid w:val="00D70657"/>
    <w:rsid w:val="00D70691"/>
    <w:rsid w:val="00D707C5"/>
    <w:rsid w:val="00D70814"/>
    <w:rsid w:val="00D70A2B"/>
    <w:rsid w:val="00D70AC5"/>
    <w:rsid w:val="00D70C68"/>
    <w:rsid w:val="00D70F60"/>
    <w:rsid w:val="00D710F4"/>
    <w:rsid w:val="00D71108"/>
    <w:rsid w:val="00D7164F"/>
    <w:rsid w:val="00D717B3"/>
    <w:rsid w:val="00D718B5"/>
    <w:rsid w:val="00D71CBC"/>
    <w:rsid w:val="00D71DA4"/>
    <w:rsid w:val="00D71DD6"/>
    <w:rsid w:val="00D71E3E"/>
    <w:rsid w:val="00D72049"/>
    <w:rsid w:val="00D722DB"/>
    <w:rsid w:val="00D72411"/>
    <w:rsid w:val="00D7253A"/>
    <w:rsid w:val="00D72659"/>
    <w:rsid w:val="00D7266E"/>
    <w:rsid w:val="00D72852"/>
    <w:rsid w:val="00D72863"/>
    <w:rsid w:val="00D72B96"/>
    <w:rsid w:val="00D72C77"/>
    <w:rsid w:val="00D72FB9"/>
    <w:rsid w:val="00D7319B"/>
    <w:rsid w:val="00D73237"/>
    <w:rsid w:val="00D73238"/>
    <w:rsid w:val="00D73321"/>
    <w:rsid w:val="00D7334A"/>
    <w:rsid w:val="00D73368"/>
    <w:rsid w:val="00D73420"/>
    <w:rsid w:val="00D73650"/>
    <w:rsid w:val="00D738B6"/>
    <w:rsid w:val="00D73917"/>
    <w:rsid w:val="00D73F48"/>
    <w:rsid w:val="00D73FA8"/>
    <w:rsid w:val="00D7416C"/>
    <w:rsid w:val="00D74184"/>
    <w:rsid w:val="00D74211"/>
    <w:rsid w:val="00D74429"/>
    <w:rsid w:val="00D744BB"/>
    <w:rsid w:val="00D74578"/>
    <w:rsid w:val="00D7488F"/>
    <w:rsid w:val="00D74BDE"/>
    <w:rsid w:val="00D74F30"/>
    <w:rsid w:val="00D74F91"/>
    <w:rsid w:val="00D751FB"/>
    <w:rsid w:val="00D75454"/>
    <w:rsid w:val="00D7563F"/>
    <w:rsid w:val="00D756DD"/>
    <w:rsid w:val="00D75942"/>
    <w:rsid w:val="00D75FE6"/>
    <w:rsid w:val="00D763EA"/>
    <w:rsid w:val="00D76938"/>
    <w:rsid w:val="00D769E7"/>
    <w:rsid w:val="00D76B3C"/>
    <w:rsid w:val="00D76BAD"/>
    <w:rsid w:val="00D76D8C"/>
    <w:rsid w:val="00D76E8A"/>
    <w:rsid w:val="00D76F4B"/>
    <w:rsid w:val="00D76F8D"/>
    <w:rsid w:val="00D77006"/>
    <w:rsid w:val="00D77203"/>
    <w:rsid w:val="00D7725F"/>
    <w:rsid w:val="00D773F4"/>
    <w:rsid w:val="00D77451"/>
    <w:rsid w:val="00D774D8"/>
    <w:rsid w:val="00D77662"/>
    <w:rsid w:val="00D7767A"/>
    <w:rsid w:val="00D776A7"/>
    <w:rsid w:val="00D776DA"/>
    <w:rsid w:val="00D77766"/>
    <w:rsid w:val="00D77986"/>
    <w:rsid w:val="00D77AA8"/>
    <w:rsid w:val="00D77ED8"/>
    <w:rsid w:val="00D77FF1"/>
    <w:rsid w:val="00D800B5"/>
    <w:rsid w:val="00D800C5"/>
    <w:rsid w:val="00D80305"/>
    <w:rsid w:val="00D8031C"/>
    <w:rsid w:val="00D8032C"/>
    <w:rsid w:val="00D80420"/>
    <w:rsid w:val="00D80635"/>
    <w:rsid w:val="00D80751"/>
    <w:rsid w:val="00D809E7"/>
    <w:rsid w:val="00D80B73"/>
    <w:rsid w:val="00D80B7B"/>
    <w:rsid w:val="00D80DC8"/>
    <w:rsid w:val="00D80E23"/>
    <w:rsid w:val="00D80ECA"/>
    <w:rsid w:val="00D80F49"/>
    <w:rsid w:val="00D81257"/>
    <w:rsid w:val="00D81794"/>
    <w:rsid w:val="00D81911"/>
    <w:rsid w:val="00D819F7"/>
    <w:rsid w:val="00D81B0A"/>
    <w:rsid w:val="00D81CCB"/>
    <w:rsid w:val="00D81CD6"/>
    <w:rsid w:val="00D81D13"/>
    <w:rsid w:val="00D81D4B"/>
    <w:rsid w:val="00D81E09"/>
    <w:rsid w:val="00D81E1A"/>
    <w:rsid w:val="00D81EB5"/>
    <w:rsid w:val="00D81F5D"/>
    <w:rsid w:val="00D82035"/>
    <w:rsid w:val="00D8240C"/>
    <w:rsid w:val="00D8240D"/>
    <w:rsid w:val="00D82541"/>
    <w:rsid w:val="00D82545"/>
    <w:rsid w:val="00D8263F"/>
    <w:rsid w:val="00D82BDA"/>
    <w:rsid w:val="00D82D28"/>
    <w:rsid w:val="00D83091"/>
    <w:rsid w:val="00D83430"/>
    <w:rsid w:val="00D834A0"/>
    <w:rsid w:val="00D8377A"/>
    <w:rsid w:val="00D8381C"/>
    <w:rsid w:val="00D83854"/>
    <w:rsid w:val="00D83A1D"/>
    <w:rsid w:val="00D83D46"/>
    <w:rsid w:val="00D83DD1"/>
    <w:rsid w:val="00D83EDA"/>
    <w:rsid w:val="00D83F33"/>
    <w:rsid w:val="00D84175"/>
    <w:rsid w:val="00D842BD"/>
    <w:rsid w:val="00D843C9"/>
    <w:rsid w:val="00D84600"/>
    <w:rsid w:val="00D84B09"/>
    <w:rsid w:val="00D84D56"/>
    <w:rsid w:val="00D84E1C"/>
    <w:rsid w:val="00D84F83"/>
    <w:rsid w:val="00D85060"/>
    <w:rsid w:val="00D851F5"/>
    <w:rsid w:val="00D85281"/>
    <w:rsid w:val="00D85348"/>
    <w:rsid w:val="00D8554E"/>
    <w:rsid w:val="00D8554F"/>
    <w:rsid w:val="00D8568C"/>
    <w:rsid w:val="00D857E1"/>
    <w:rsid w:val="00D85888"/>
    <w:rsid w:val="00D85997"/>
    <w:rsid w:val="00D85B0C"/>
    <w:rsid w:val="00D85B30"/>
    <w:rsid w:val="00D85E02"/>
    <w:rsid w:val="00D85E1A"/>
    <w:rsid w:val="00D860C7"/>
    <w:rsid w:val="00D8625D"/>
    <w:rsid w:val="00D86452"/>
    <w:rsid w:val="00D864E9"/>
    <w:rsid w:val="00D86546"/>
    <w:rsid w:val="00D865B6"/>
    <w:rsid w:val="00D86613"/>
    <w:rsid w:val="00D86635"/>
    <w:rsid w:val="00D86A69"/>
    <w:rsid w:val="00D86AE3"/>
    <w:rsid w:val="00D86B4C"/>
    <w:rsid w:val="00D86CC8"/>
    <w:rsid w:val="00D86E13"/>
    <w:rsid w:val="00D86EEF"/>
    <w:rsid w:val="00D86F91"/>
    <w:rsid w:val="00D8706B"/>
    <w:rsid w:val="00D8726B"/>
    <w:rsid w:val="00D872E7"/>
    <w:rsid w:val="00D873F7"/>
    <w:rsid w:val="00D874AE"/>
    <w:rsid w:val="00D8765C"/>
    <w:rsid w:val="00D876D8"/>
    <w:rsid w:val="00D87723"/>
    <w:rsid w:val="00D87802"/>
    <w:rsid w:val="00D87931"/>
    <w:rsid w:val="00D8798D"/>
    <w:rsid w:val="00D87C7F"/>
    <w:rsid w:val="00D87D74"/>
    <w:rsid w:val="00D87F37"/>
    <w:rsid w:val="00D900AA"/>
    <w:rsid w:val="00D900C7"/>
    <w:rsid w:val="00D90137"/>
    <w:rsid w:val="00D901F3"/>
    <w:rsid w:val="00D90259"/>
    <w:rsid w:val="00D9048C"/>
    <w:rsid w:val="00D905F1"/>
    <w:rsid w:val="00D9061A"/>
    <w:rsid w:val="00D907EC"/>
    <w:rsid w:val="00D9083B"/>
    <w:rsid w:val="00D90933"/>
    <w:rsid w:val="00D90AD1"/>
    <w:rsid w:val="00D90C25"/>
    <w:rsid w:val="00D90C45"/>
    <w:rsid w:val="00D90CAB"/>
    <w:rsid w:val="00D90E5D"/>
    <w:rsid w:val="00D90FBD"/>
    <w:rsid w:val="00D9107D"/>
    <w:rsid w:val="00D915AA"/>
    <w:rsid w:val="00D916B4"/>
    <w:rsid w:val="00D91B21"/>
    <w:rsid w:val="00D91D4C"/>
    <w:rsid w:val="00D91E21"/>
    <w:rsid w:val="00D91F05"/>
    <w:rsid w:val="00D91F36"/>
    <w:rsid w:val="00D9203B"/>
    <w:rsid w:val="00D92050"/>
    <w:rsid w:val="00D922CE"/>
    <w:rsid w:val="00D9247F"/>
    <w:rsid w:val="00D925B7"/>
    <w:rsid w:val="00D926DC"/>
    <w:rsid w:val="00D9287B"/>
    <w:rsid w:val="00D92963"/>
    <w:rsid w:val="00D92B30"/>
    <w:rsid w:val="00D92B56"/>
    <w:rsid w:val="00D92BDC"/>
    <w:rsid w:val="00D92D87"/>
    <w:rsid w:val="00D92DCC"/>
    <w:rsid w:val="00D9313E"/>
    <w:rsid w:val="00D93144"/>
    <w:rsid w:val="00D93169"/>
    <w:rsid w:val="00D93270"/>
    <w:rsid w:val="00D93329"/>
    <w:rsid w:val="00D93731"/>
    <w:rsid w:val="00D93770"/>
    <w:rsid w:val="00D93792"/>
    <w:rsid w:val="00D937B9"/>
    <w:rsid w:val="00D93960"/>
    <w:rsid w:val="00D93A01"/>
    <w:rsid w:val="00D93E30"/>
    <w:rsid w:val="00D93E50"/>
    <w:rsid w:val="00D93F16"/>
    <w:rsid w:val="00D94019"/>
    <w:rsid w:val="00D943F0"/>
    <w:rsid w:val="00D945D6"/>
    <w:rsid w:val="00D94880"/>
    <w:rsid w:val="00D948D2"/>
    <w:rsid w:val="00D948DC"/>
    <w:rsid w:val="00D94A0F"/>
    <w:rsid w:val="00D94B91"/>
    <w:rsid w:val="00D94C7C"/>
    <w:rsid w:val="00D94E5C"/>
    <w:rsid w:val="00D94EE3"/>
    <w:rsid w:val="00D9513F"/>
    <w:rsid w:val="00D951D7"/>
    <w:rsid w:val="00D952D5"/>
    <w:rsid w:val="00D9536C"/>
    <w:rsid w:val="00D95576"/>
    <w:rsid w:val="00D95A4B"/>
    <w:rsid w:val="00D95B07"/>
    <w:rsid w:val="00D95D2E"/>
    <w:rsid w:val="00D95E48"/>
    <w:rsid w:val="00D95EEA"/>
    <w:rsid w:val="00D96143"/>
    <w:rsid w:val="00D96381"/>
    <w:rsid w:val="00D96401"/>
    <w:rsid w:val="00D966BF"/>
    <w:rsid w:val="00D96CE9"/>
    <w:rsid w:val="00D96DA7"/>
    <w:rsid w:val="00D96DAC"/>
    <w:rsid w:val="00D96DFC"/>
    <w:rsid w:val="00D972AC"/>
    <w:rsid w:val="00D97910"/>
    <w:rsid w:val="00D97CEC"/>
    <w:rsid w:val="00D97D74"/>
    <w:rsid w:val="00D97E12"/>
    <w:rsid w:val="00D97F68"/>
    <w:rsid w:val="00DA01F7"/>
    <w:rsid w:val="00DA043D"/>
    <w:rsid w:val="00DA050B"/>
    <w:rsid w:val="00DA0826"/>
    <w:rsid w:val="00DA0906"/>
    <w:rsid w:val="00DA0B32"/>
    <w:rsid w:val="00DA0EE6"/>
    <w:rsid w:val="00DA1156"/>
    <w:rsid w:val="00DA11CD"/>
    <w:rsid w:val="00DA1206"/>
    <w:rsid w:val="00DA12C4"/>
    <w:rsid w:val="00DA12F7"/>
    <w:rsid w:val="00DA13BD"/>
    <w:rsid w:val="00DA13E2"/>
    <w:rsid w:val="00DA13F1"/>
    <w:rsid w:val="00DA14FE"/>
    <w:rsid w:val="00DA173A"/>
    <w:rsid w:val="00DA1752"/>
    <w:rsid w:val="00DA17AD"/>
    <w:rsid w:val="00DA18FE"/>
    <w:rsid w:val="00DA1995"/>
    <w:rsid w:val="00DA1BD9"/>
    <w:rsid w:val="00DA1D2B"/>
    <w:rsid w:val="00DA1D41"/>
    <w:rsid w:val="00DA204D"/>
    <w:rsid w:val="00DA2117"/>
    <w:rsid w:val="00DA22A2"/>
    <w:rsid w:val="00DA251A"/>
    <w:rsid w:val="00DA2582"/>
    <w:rsid w:val="00DA2746"/>
    <w:rsid w:val="00DA2937"/>
    <w:rsid w:val="00DA2C6E"/>
    <w:rsid w:val="00DA2ED5"/>
    <w:rsid w:val="00DA3238"/>
    <w:rsid w:val="00DA3339"/>
    <w:rsid w:val="00DA3472"/>
    <w:rsid w:val="00DA37AB"/>
    <w:rsid w:val="00DA37CC"/>
    <w:rsid w:val="00DA3A0B"/>
    <w:rsid w:val="00DA3A6C"/>
    <w:rsid w:val="00DA3AE9"/>
    <w:rsid w:val="00DA3B67"/>
    <w:rsid w:val="00DA3D06"/>
    <w:rsid w:val="00DA3E84"/>
    <w:rsid w:val="00DA3F02"/>
    <w:rsid w:val="00DA3F2B"/>
    <w:rsid w:val="00DA409C"/>
    <w:rsid w:val="00DA42D2"/>
    <w:rsid w:val="00DA4361"/>
    <w:rsid w:val="00DA4402"/>
    <w:rsid w:val="00DA4673"/>
    <w:rsid w:val="00DA4761"/>
    <w:rsid w:val="00DA4767"/>
    <w:rsid w:val="00DA47BF"/>
    <w:rsid w:val="00DA47DA"/>
    <w:rsid w:val="00DA481D"/>
    <w:rsid w:val="00DA4851"/>
    <w:rsid w:val="00DA4A9C"/>
    <w:rsid w:val="00DA4B1D"/>
    <w:rsid w:val="00DA4E18"/>
    <w:rsid w:val="00DA4F01"/>
    <w:rsid w:val="00DA501B"/>
    <w:rsid w:val="00DA5029"/>
    <w:rsid w:val="00DA546C"/>
    <w:rsid w:val="00DA566F"/>
    <w:rsid w:val="00DA569A"/>
    <w:rsid w:val="00DA5844"/>
    <w:rsid w:val="00DA59CF"/>
    <w:rsid w:val="00DA5A09"/>
    <w:rsid w:val="00DA5B87"/>
    <w:rsid w:val="00DA5BE4"/>
    <w:rsid w:val="00DA5C42"/>
    <w:rsid w:val="00DA5D03"/>
    <w:rsid w:val="00DA5D6A"/>
    <w:rsid w:val="00DA5DDC"/>
    <w:rsid w:val="00DA61E2"/>
    <w:rsid w:val="00DA646A"/>
    <w:rsid w:val="00DA64D4"/>
    <w:rsid w:val="00DA6549"/>
    <w:rsid w:val="00DA6558"/>
    <w:rsid w:val="00DA672C"/>
    <w:rsid w:val="00DA6787"/>
    <w:rsid w:val="00DA69F1"/>
    <w:rsid w:val="00DA6A6B"/>
    <w:rsid w:val="00DA6A7B"/>
    <w:rsid w:val="00DA6B45"/>
    <w:rsid w:val="00DA6BD8"/>
    <w:rsid w:val="00DA6CFE"/>
    <w:rsid w:val="00DA6D10"/>
    <w:rsid w:val="00DA6FF4"/>
    <w:rsid w:val="00DA7207"/>
    <w:rsid w:val="00DA726F"/>
    <w:rsid w:val="00DA7833"/>
    <w:rsid w:val="00DA7C23"/>
    <w:rsid w:val="00DA7CB4"/>
    <w:rsid w:val="00DA7D36"/>
    <w:rsid w:val="00DA7ED2"/>
    <w:rsid w:val="00DB000B"/>
    <w:rsid w:val="00DB0010"/>
    <w:rsid w:val="00DB00F3"/>
    <w:rsid w:val="00DB01B4"/>
    <w:rsid w:val="00DB01BB"/>
    <w:rsid w:val="00DB04AA"/>
    <w:rsid w:val="00DB05D1"/>
    <w:rsid w:val="00DB06D9"/>
    <w:rsid w:val="00DB075A"/>
    <w:rsid w:val="00DB0773"/>
    <w:rsid w:val="00DB0933"/>
    <w:rsid w:val="00DB0A45"/>
    <w:rsid w:val="00DB0A88"/>
    <w:rsid w:val="00DB1101"/>
    <w:rsid w:val="00DB1160"/>
    <w:rsid w:val="00DB1434"/>
    <w:rsid w:val="00DB161D"/>
    <w:rsid w:val="00DB18A9"/>
    <w:rsid w:val="00DB1988"/>
    <w:rsid w:val="00DB198C"/>
    <w:rsid w:val="00DB19E7"/>
    <w:rsid w:val="00DB2097"/>
    <w:rsid w:val="00DB2183"/>
    <w:rsid w:val="00DB22EF"/>
    <w:rsid w:val="00DB23E2"/>
    <w:rsid w:val="00DB27E9"/>
    <w:rsid w:val="00DB2811"/>
    <w:rsid w:val="00DB2A83"/>
    <w:rsid w:val="00DB2D6A"/>
    <w:rsid w:val="00DB32DD"/>
    <w:rsid w:val="00DB332B"/>
    <w:rsid w:val="00DB340D"/>
    <w:rsid w:val="00DB37C8"/>
    <w:rsid w:val="00DB3936"/>
    <w:rsid w:val="00DB397D"/>
    <w:rsid w:val="00DB3AE8"/>
    <w:rsid w:val="00DB3AF6"/>
    <w:rsid w:val="00DB3B4A"/>
    <w:rsid w:val="00DB42F1"/>
    <w:rsid w:val="00DB481B"/>
    <w:rsid w:val="00DB48B0"/>
    <w:rsid w:val="00DB49CB"/>
    <w:rsid w:val="00DB4A87"/>
    <w:rsid w:val="00DB4AAF"/>
    <w:rsid w:val="00DB4F68"/>
    <w:rsid w:val="00DB51A9"/>
    <w:rsid w:val="00DB530E"/>
    <w:rsid w:val="00DB54C4"/>
    <w:rsid w:val="00DB54D8"/>
    <w:rsid w:val="00DB5618"/>
    <w:rsid w:val="00DB57EE"/>
    <w:rsid w:val="00DB59C6"/>
    <w:rsid w:val="00DB5B04"/>
    <w:rsid w:val="00DB5C5E"/>
    <w:rsid w:val="00DB5C6C"/>
    <w:rsid w:val="00DB5D9C"/>
    <w:rsid w:val="00DB5F31"/>
    <w:rsid w:val="00DB5FFF"/>
    <w:rsid w:val="00DB60AD"/>
    <w:rsid w:val="00DB60B2"/>
    <w:rsid w:val="00DB620E"/>
    <w:rsid w:val="00DB63FD"/>
    <w:rsid w:val="00DB651F"/>
    <w:rsid w:val="00DB656C"/>
    <w:rsid w:val="00DB6572"/>
    <w:rsid w:val="00DB67EF"/>
    <w:rsid w:val="00DB6B4E"/>
    <w:rsid w:val="00DB6B53"/>
    <w:rsid w:val="00DB6CF2"/>
    <w:rsid w:val="00DB6DC0"/>
    <w:rsid w:val="00DB6E43"/>
    <w:rsid w:val="00DB6E87"/>
    <w:rsid w:val="00DB6EA4"/>
    <w:rsid w:val="00DB6F68"/>
    <w:rsid w:val="00DB70AC"/>
    <w:rsid w:val="00DB713B"/>
    <w:rsid w:val="00DB7158"/>
    <w:rsid w:val="00DB7298"/>
    <w:rsid w:val="00DB74EE"/>
    <w:rsid w:val="00DB756B"/>
    <w:rsid w:val="00DB7630"/>
    <w:rsid w:val="00DB77D3"/>
    <w:rsid w:val="00DB77EF"/>
    <w:rsid w:val="00DB7A37"/>
    <w:rsid w:val="00DB7B42"/>
    <w:rsid w:val="00DB7C7B"/>
    <w:rsid w:val="00DC0067"/>
    <w:rsid w:val="00DC03BA"/>
    <w:rsid w:val="00DC0462"/>
    <w:rsid w:val="00DC04F2"/>
    <w:rsid w:val="00DC05B5"/>
    <w:rsid w:val="00DC06A2"/>
    <w:rsid w:val="00DC06E7"/>
    <w:rsid w:val="00DC0797"/>
    <w:rsid w:val="00DC07B4"/>
    <w:rsid w:val="00DC08A1"/>
    <w:rsid w:val="00DC08EC"/>
    <w:rsid w:val="00DC09E9"/>
    <w:rsid w:val="00DC09ED"/>
    <w:rsid w:val="00DC0B24"/>
    <w:rsid w:val="00DC0CCB"/>
    <w:rsid w:val="00DC0DEF"/>
    <w:rsid w:val="00DC0E46"/>
    <w:rsid w:val="00DC121E"/>
    <w:rsid w:val="00DC12EA"/>
    <w:rsid w:val="00DC1413"/>
    <w:rsid w:val="00DC186A"/>
    <w:rsid w:val="00DC1C4C"/>
    <w:rsid w:val="00DC1E15"/>
    <w:rsid w:val="00DC1ECE"/>
    <w:rsid w:val="00DC1EEA"/>
    <w:rsid w:val="00DC1F29"/>
    <w:rsid w:val="00DC1F8D"/>
    <w:rsid w:val="00DC1FA3"/>
    <w:rsid w:val="00DC203A"/>
    <w:rsid w:val="00DC21EC"/>
    <w:rsid w:val="00DC247B"/>
    <w:rsid w:val="00DC2491"/>
    <w:rsid w:val="00DC2510"/>
    <w:rsid w:val="00DC25B7"/>
    <w:rsid w:val="00DC29F3"/>
    <w:rsid w:val="00DC2BD5"/>
    <w:rsid w:val="00DC2C7A"/>
    <w:rsid w:val="00DC2CB9"/>
    <w:rsid w:val="00DC2D30"/>
    <w:rsid w:val="00DC2DE5"/>
    <w:rsid w:val="00DC3066"/>
    <w:rsid w:val="00DC312B"/>
    <w:rsid w:val="00DC3242"/>
    <w:rsid w:val="00DC3403"/>
    <w:rsid w:val="00DC387E"/>
    <w:rsid w:val="00DC3BBC"/>
    <w:rsid w:val="00DC3C3D"/>
    <w:rsid w:val="00DC3CA7"/>
    <w:rsid w:val="00DC3DD7"/>
    <w:rsid w:val="00DC3FC5"/>
    <w:rsid w:val="00DC3FEA"/>
    <w:rsid w:val="00DC400E"/>
    <w:rsid w:val="00DC4090"/>
    <w:rsid w:val="00DC41A4"/>
    <w:rsid w:val="00DC4311"/>
    <w:rsid w:val="00DC4335"/>
    <w:rsid w:val="00DC4343"/>
    <w:rsid w:val="00DC461B"/>
    <w:rsid w:val="00DC48F9"/>
    <w:rsid w:val="00DC4A40"/>
    <w:rsid w:val="00DC4A6B"/>
    <w:rsid w:val="00DC4B02"/>
    <w:rsid w:val="00DC4B3F"/>
    <w:rsid w:val="00DC4B81"/>
    <w:rsid w:val="00DC4FF5"/>
    <w:rsid w:val="00DC5079"/>
    <w:rsid w:val="00DC509F"/>
    <w:rsid w:val="00DC51B1"/>
    <w:rsid w:val="00DC52BC"/>
    <w:rsid w:val="00DC52D7"/>
    <w:rsid w:val="00DC52FE"/>
    <w:rsid w:val="00DC538A"/>
    <w:rsid w:val="00DC5490"/>
    <w:rsid w:val="00DC56BF"/>
    <w:rsid w:val="00DC5A89"/>
    <w:rsid w:val="00DC5B06"/>
    <w:rsid w:val="00DC5E9A"/>
    <w:rsid w:val="00DC5E9B"/>
    <w:rsid w:val="00DC5F56"/>
    <w:rsid w:val="00DC5FD0"/>
    <w:rsid w:val="00DC6181"/>
    <w:rsid w:val="00DC6230"/>
    <w:rsid w:val="00DC629D"/>
    <w:rsid w:val="00DC65BC"/>
    <w:rsid w:val="00DC6622"/>
    <w:rsid w:val="00DC67B6"/>
    <w:rsid w:val="00DC6835"/>
    <w:rsid w:val="00DC684D"/>
    <w:rsid w:val="00DC6AC8"/>
    <w:rsid w:val="00DC6B90"/>
    <w:rsid w:val="00DC6BC2"/>
    <w:rsid w:val="00DC6E11"/>
    <w:rsid w:val="00DC6FDC"/>
    <w:rsid w:val="00DC700D"/>
    <w:rsid w:val="00DC7173"/>
    <w:rsid w:val="00DC72B6"/>
    <w:rsid w:val="00DC7396"/>
    <w:rsid w:val="00DC73CC"/>
    <w:rsid w:val="00DC7421"/>
    <w:rsid w:val="00DC7514"/>
    <w:rsid w:val="00DC75AA"/>
    <w:rsid w:val="00DC7B3E"/>
    <w:rsid w:val="00DC7B48"/>
    <w:rsid w:val="00DC7B4C"/>
    <w:rsid w:val="00DC7BB2"/>
    <w:rsid w:val="00DC7C86"/>
    <w:rsid w:val="00DC7D30"/>
    <w:rsid w:val="00DC7DC1"/>
    <w:rsid w:val="00DC7DDD"/>
    <w:rsid w:val="00DC7FB7"/>
    <w:rsid w:val="00DD012A"/>
    <w:rsid w:val="00DD014A"/>
    <w:rsid w:val="00DD016D"/>
    <w:rsid w:val="00DD02C4"/>
    <w:rsid w:val="00DD03FB"/>
    <w:rsid w:val="00DD0469"/>
    <w:rsid w:val="00DD05E5"/>
    <w:rsid w:val="00DD0745"/>
    <w:rsid w:val="00DD0DB0"/>
    <w:rsid w:val="00DD0DB5"/>
    <w:rsid w:val="00DD10F8"/>
    <w:rsid w:val="00DD134A"/>
    <w:rsid w:val="00DD1562"/>
    <w:rsid w:val="00DD1592"/>
    <w:rsid w:val="00DD15A3"/>
    <w:rsid w:val="00DD186C"/>
    <w:rsid w:val="00DD186D"/>
    <w:rsid w:val="00DD1D6D"/>
    <w:rsid w:val="00DD1DD0"/>
    <w:rsid w:val="00DD1DE0"/>
    <w:rsid w:val="00DD1F40"/>
    <w:rsid w:val="00DD2021"/>
    <w:rsid w:val="00DD2138"/>
    <w:rsid w:val="00DD23F3"/>
    <w:rsid w:val="00DD27C2"/>
    <w:rsid w:val="00DD27D7"/>
    <w:rsid w:val="00DD28CF"/>
    <w:rsid w:val="00DD290E"/>
    <w:rsid w:val="00DD2973"/>
    <w:rsid w:val="00DD2AE9"/>
    <w:rsid w:val="00DD2B97"/>
    <w:rsid w:val="00DD2BC3"/>
    <w:rsid w:val="00DD2D00"/>
    <w:rsid w:val="00DD2D67"/>
    <w:rsid w:val="00DD2DDA"/>
    <w:rsid w:val="00DD2E6A"/>
    <w:rsid w:val="00DD2F16"/>
    <w:rsid w:val="00DD3134"/>
    <w:rsid w:val="00DD3349"/>
    <w:rsid w:val="00DD3388"/>
    <w:rsid w:val="00DD3389"/>
    <w:rsid w:val="00DD3417"/>
    <w:rsid w:val="00DD35F2"/>
    <w:rsid w:val="00DD369A"/>
    <w:rsid w:val="00DD3742"/>
    <w:rsid w:val="00DD39E4"/>
    <w:rsid w:val="00DD3AB6"/>
    <w:rsid w:val="00DD3B4F"/>
    <w:rsid w:val="00DD3B61"/>
    <w:rsid w:val="00DD3BAE"/>
    <w:rsid w:val="00DD3FDA"/>
    <w:rsid w:val="00DD411F"/>
    <w:rsid w:val="00DD42B8"/>
    <w:rsid w:val="00DD4440"/>
    <w:rsid w:val="00DD4AFC"/>
    <w:rsid w:val="00DD4B32"/>
    <w:rsid w:val="00DD4C08"/>
    <w:rsid w:val="00DD4C3B"/>
    <w:rsid w:val="00DD4DF4"/>
    <w:rsid w:val="00DD5079"/>
    <w:rsid w:val="00DD50FE"/>
    <w:rsid w:val="00DD510F"/>
    <w:rsid w:val="00DD5391"/>
    <w:rsid w:val="00DD57C0"/>
    <w:rsid w:val="00DD5912"/>
    <w:rsid w:val="00DD5A6E"/>
    <w:rsid w:val="00DD5AE8"/>
    <w:rsid w:val="00DD5C3B"/>
    <w:rsid w:val="00DD5CDA"/>
    <w:rsid w:val="00DD5D53"/>
    <w:rsid w:val="00DD6199"/>
    <w:rsid w:val="00DD6223"/>
    <w:rsid w:val="00DD6663"/>
    <w:rsid w:val="00DD6863"/>
    <w:rsid w:val="00DD69D3"/>
    <w:rsid w:val="00DD6DA4"/>
    <w:rsid w:val="00DD6DDA"/>
    <w:rsid w:val="00DD6DF5"/>
    <w:rsid w:val="00DD6F1D"/>
    <w:rsid w:val="00DD7153"/>
    <w:rsid w:val="00DD718F"/>
    <w:rsid w:val="00DD71BD"/>
    <w:rsid w:val="00DD71BE"/>
    <w:rsid w:val="00DD71FF"/>
    <w:rsid w:val="00DD742E"/>
    <w:rsid w:val="00DD76A4"/>
    <w:rsid w:val="00DD7812"/>
    <w:rsid w:val="00DD79EE"/>
    <w:rsid w:val="00DD7E67"/>
    <w:rsid w:val="00DD7FEF"/>
    <w:rsid w:val="00DE03C5"/>
    <w:rsid w:val="00DE0691"/>
    <w:rsid w:val="00DE06D3"/>
    <w:rsid w:val="00DE07E0"/>
    <w:rsid w:val="00DE0BC8"/>
    <w:rsid w:val="00DE0BD1"/>
    <w:rsid w:val="00DE0CC3"/>
    <w:rsid w:val="00DE0CD0"/>
    <w:rsid w:val="00DE0D30"/>
    <w:rsid w:val="00DE0DC0"/>
    <w:rsid w:val="00DE0EFE"/>
    <w:rsid w:val="00DE0F96"/>
    <w:rsid w:val="00DE1266"/>
    <w:rsid w:val="00DE129E"/>
    <w:rsid w:val="00DE13B4"/>
    <w:rsid w:val="00DE14CD"/>
    <w:rsid w:val="00DE157C"/>
    <w:rsid w:val="00DE15EA"/>
    <w:rsid w:val="00DE16F2"/>
    <w:rsid w:val="00DE1835"/>
    <w:rsid w:val="00DE19E6"/>
    <w:rsid w:val="00DE1A7E"/>
    <w:rsid w:val="00DE1C32"/>
    <w:rsid w:val="00DE1CE0"/>
    <w:rsid w:val="00DE1FF6"/>
    <w:rsid w:val="00DE2199"/>
    <w:rsid w:val="00DE22F6"/>
    <w:rsid w:val="00DE24F4"/>
    <w:rsid w:val="00DE2508"/>
    <w:rsid w:val="00DE2538"/>
    <w:rsid w:val="00DE25DA"/>
    <w:rsid w:val="00DE2794"/>
    <w:rsid w:val="00DE28A2"/>
    <w:rsid w:val="00DE28FA"/>
    <w:rsid w:val="00DE29F4"/>
    <w:rsid w:val="00DE2A7B"/>
    <w:rsid w:val="00DE2B1D"/>
    <w:rsid w:val="00DE2B9E"/>
    <w:rsid w:val="00DE2C37"/>
    <w:rsid w:val="00DE2D9A"/>
    <w:rsid w:val="00DE2FBC"/>
    <w:rsid w:val="00DE311F"/>
    <w:rsid w:val="00DE3174"/>
    <w:rsid w:val="00DE3266"/>
    <w:rsid w:val="00DE3299"/>
    <w:rsid w:val="00DE33D3"/>
    <w:rsid w:val="00DE3467"/>
    <w:rsid w:val="00DE34A5"/>
    <w:rsid w:val="00DE364C"/>
    <w:rsid w:val="00DE3738"/>
    <w:rsid w:val="00DE37F3"/>
    <w:rsid w:val="00DE388F"/>
    <w:rsid w:val="00DE3A1F"/>
    <w:rsid w:val="00DE3B20"/>
    <w:rsid w:val="00DE3B84"/>
    <w:rsid w:val="00DE3C77"/>
    <w:rsid w:val="00DE3F33"/>
    <w:rsid w:val="00DE4013"/>
    <w:rsid w:val="00DE43EE"/>
    <w:rsid w:val="00DE44FE"/>
    <w:rsid w:val="00DE45C6"/>
    <w:rsid w:val="00DE487B"/>
    <w:rsid w:val="00DE4A2E"/>
    <w:rsid w:val="00DE4AC4"/>
    <w:rsid w:val="00DE4D4D"/>
    <w:rsid w:val="00DE4E6B"/>
    <w:rsid w:val="00DE51E3"/>
    <w:rsid w:val="00DE5232"/>
    <w:rsid w:val="00DE52C0"/>
    <w:rsid w:val="00DE532C"/>
    <w:rsid w:val="00DE53AA"/>
    <w:rsid w:val="00DE561E"/>
    <w:rsid w:val="00DE580A"/>
    <w:rsid w:val="00DE594C"/>
    <w:rsid w:val="00DE5D1E"/>
    <w:rsid w:val="00DE5E53"/>
    <w:rsid w:val="00DE600F"/>
    <w:rsid w:val="00DE604F"/>
    <w:rsid w:val="00DE647C"/>
    <w:rsid w:val="00DE650F"/>
    <w:rsid w:val="00DE6579"/>
    <w:rsid w:val="00DE6653"/>
    <w:rsid w:val="00DE66D6"/>
    <w:rsid w:val="00DE682E"/>
    <w:rsid w:val="00DE688A"/>
    <w:rsid w:val="00DE6D42"/>
    <w:rsid w:val="00DE6E92"/>
    <w:rsid w:val="00DE6FF6"/>
    <w:rsid w:val="00DE725E"/>
    <w:rsid w:val="00DE7495"/>
    <w:rsid w:val="00DE785E"/>
    <w:rsid w:val="00DE787A"/>
    <w:rsid w:val="00DE79AD"/>
    <w:rsid w:val="00DE7A0E"/>
    <w:rsid w:val="00DE7A48"/>
    <w:rsid w:val="00DE7BC1"/>
    <w:rsid w:val="00DE7C60"/>
    <w:rsid w:val="00DF025A"/>
    <w:rsid w:val="00DF0325"/>
    <w:rsid w:val="00DF0367"/>
    <w:rsid w:val="00DF068F"/>
    <w:rsid w:val="00DF0745"/>
    <w:rsid w:val="00DF08C1"/>
    <w:rsid w:val="00DF0913"/>
    <w:rsid w:val="00DF09F2"/>
    <w:rsid w:val="00DF0A33"/>
    <w:rsid w:val="00DF0B46"/>
    <w:rsid w:val="00DF0B51"/>
    <w:rsid w:val="00DF0B54"/>
    <w:rsid w:val="00DF0BE7"/>
    <w:rsid w:val="00DF0E58"/>
    <w:rsid w:val="00DF0FE5"/>
    <w:rsid w:val="00DF111F"/>
    <w:rsid w:val="00DF12A6"/>
    <w:rsid w:val="00DF15F7"/>
    <w:rsid w:val="00DF16CB"/>
    <w:rsid w:val="00DF1B22"/>
    <w:rsid w:val="00DF1CF9"/>
    <w:rsid w:val="00DF1D4E"/>
    <w:rsid w:val="00DF1DB7"/>
    <w:rsid w:val="00DF1DF3"/>
    <w:rsid w:val="00DF208F"/>
    <w:rsid w:val="00DF219F"/>
    <w:rsid w:val="00DF2227"/>
    <w:rsid w:val="00DF22AB"/>
    <w:rsid w:val="00DF2550"/>
    <w:rsid w:val="00DF256F"/>
    <w:rsid w:val="00DF27F0"/>
    <w:rsid w:val="00DF2A8D"/>
    <w:rsid w:val="00DF2C53"/>
    <w:rsid w:val="00DF2FFE"/>
    <w:rsid w:val="00DF31A6"/>
    <w:rsid w:val="00DF320D"/>
    <w:rsid w:val="00DF3282"/>
    <w:rsid w:val="00DF337D"/>
    <w:rsid w:val="00DF3568"/>
    <w:rsid w:val="00DF3703"/>
    <w:rsid w:val="00DF3775"/>
    <w:rsid w:val="00DF37EB"/>
    <w:rsid w:val="00DF393C"/>
    <w:rsid w:val="00DF3A66"/>
    <w:rsid w:val="00DF3C5B"/>
    <w:rsid w:val="00DF3F3B"/>
    <w:rsid w:val="00DF4037"/>
    <w:rsid w:val="00DF40E4"/>
    <w:rsid w:val="00DF41B6"/>
    <w:rsid w:val="00DF42FF"/>
    <w:rsid w:val="00DF43BC"/>
    <w:rsid w:val="00DF4600"/>
    <w:rsid w:val="00DF4616"/>
    <w:rsid w:val="00DF4866"/>
    <w:rsid w:val="00DF490C"/>
    <w:rsid w:val="00DF49C4"/>
    <w:rsid w:val="00DF4ACB"/>
    <w:rsid w:val="00DF4BE5"/>
    <w:rsid w:val="00DF4ED0"/>
    <w:rsid w:val="00DF4F0B"/>
    <w:rsid w:val="00DF4F0D"/>
    <w:rsid w:val="00DF4F23"/>
    <w:rsid w:val="00DF4F2C"/>
    <w:rsid w:val="00DF5017"/>
    <w:rsid w:val="00DF5099"/>
    <w:rsid w:val="00DF51BA"/>
    <w:rsid w:val="00DF51E5"/>
    <w:rsid w:val="00DF5335"/>
    <w:rsid w:val="00DF53F3"/>
    <w:rsid w:val="00DF57BF"/>
    <w:rsid w:val="00DF5A1F"/>
    <w:rsid w:val="00DF5D4A"/>
    <w:rsid w:val="00DF5EAF"/>
    <w:rsid w:val="00DF5F11"/>
    <w:rsid w:val="00DF6266"/>
    <w:rsid w:val="00DF62A5"/>
    <w:rsid w:val="00DF6379"/>
    <w:rsid w:val="00DF63A0"/>
    <w:rsid w:val="00DF6487"/>
    <w:rsid w:val="00DF6547"/>
    <w:rsid w:val="00DF672E"/>
    <w:rsid w:val="00DF67AA"/>
    <w:rsid w:val="00DF6960"/>
    <w:rsid w:val="00DF6AEA"/>
    <w:rsid w:val="00DF6AEB"/>
    <w:rsid w:val="00DF6B4F"/>
    <w:rsid w:val="00DF6DD6"/>
    <w:rsid w:val="00DF6E50"/>
    <w:rsid w:val="00DF6ED7"/>
    <w:rsid w:val="00DF6FF4"/>
    <w:rsid w:val="00DF7030"/>
    <w:rsid w:val="00DF7172"/>
    <w:rsid w:val="00DF72DE"/>
    <w:rsid w:val="00DF730F"/>
    <w:rsid w:val="00DF73C6"/>
    <w:rsid w:val="00DF751A"/>
    <w:rsid w:val="00DF7687"/>
    <w:rsid w:val="00DF76B2"/>
    <w:rsid w:val="00DF7858"/>
    <w:rsid w:val="00DF79C5"/>
    <w:rsid w:val="00DF7C62"/>
    <w:rsid w:val="00DF7DF3"/>
    <w:rsid w:val="00DF7DF4"/>
    <w:rsid w:val="00E00057"/>
    <w:rsid w:val="00E000A0"/>
    <w:rsid w:val="00E000EA"/>
    <w:rsid w:val="00E00164"/>
    <w:rsid w:val="00E0018F"/>
    <w:rsid w:val="00E003CC"/>
    <w:rsid w:val="00E005EF"/>
    <w:rsid w:val="00E00701"/>
    <w:rsid w:val="00E00894"/>
    <w:rsid w:val="00E008B4"/>
    <w:rsid w:val="00E00920"/>
    <w:rsid w:val="00E009BD"/>
    <w:rsid w:val="00E00B11"/>
    <w:rsid w:val="00E00B2D"/>
    <w:rsid w:val="00E00BD0"/>
    <w:rsid w:val="00E00D85"/>
    <w:rsid w:val="00E011E6"/>
    <w:rsid w:val="00E0136C"/>
    <w:rsid w:val="00E015DF"/>
    <w:rsid w:val="00E016E3"/>
    <w:rsid w:val="00E017D6"/>
    <w:rsid w:val="00E01839"/>
    <w:rsid w:val="00E019FB"/>
    <w:rsid w:val="00E01BFF"/>
    <w:rsid w:val="00E01C2D"/>
    <w:rsid w:val="00E01C45"/>
    <w:rsid w:val="00E01D71"/>
    <w:rsid w:val="00E01E2D"/>
    <w:rsid w:val="00E01F15"/>
    <w:rsid w:val="00E01F81"/>
    <w:rsid w:val="00E022DB"/>
    <w:rsid w:val="00E02497"/>
    <w:rsid w:val="00E024F3"/>
    <w:rsid w:val="00E02558"/>
    <w:rsid w:val="00E025C5"/>
    <w:rsid w:val="00E02932"/>
    <w:rsid w:val="00E02B9E"/>
    <w:rsid w:val="00E02C2B"/>
    <w:rsid w:val="00E02C4F"/>
    <w:rsid w:val="00E02D94"/>
    <w:rsid w:val="00E02DEE"/>
    <w:rsid w:val="00E030AB"/>
    <w:rsid w:val="00E030D3"/>
    <w:rsid w:val="00E03139"/>
    <w:rsid w:val="00E0325E"/>
    <w:rsid w:val="00E0330B"/>
    <w:rsid w:val="00E03325"/>
    <w:rsid w:val="00E03428"/>
    <w:rsid w:val="00E03890"/>
    <w:rsid w:val="00E03A99"/>
    <w:rsid w:val="00E03E9D"/>
    <w:rsid w:val="00E03EDE"/>
    <w:rsid w:val="00E040CE"/>
    <w:rsid w:val="00E04203"/>
    <w:rsid w:val="00E043DF"/>
    <w:rsid w:val="00E0470A"/>
    <w:rsid w:val="00E04831"/>
    <w:rsid w:val="00E0485A"/>
    <w:rsid w:val="00E04894"/>
    <w:rsid w:val="00E048E9"/>
    <w:rsid w:val="00E0494C"/>
    <w:rsid w:val="00E04958"/>
    <w:rsid w:val="00E04B21"/>
    <w:rsid w:val="00E04BA1"/>
    <w:rsid w:val="00E04C19"/>
    <w:rsid w:val="00E04D21"/>
    <w:rsid w:val="00E05050"/>
    <w:rsid w:val="00E05236"/>
    <w:rsid w:val="00E05679"/>
    <w:rsid w:val="00E057D1"/>
    <w:rsid w:val="00E05850"/>
    <w:rsid w:val="00E058BB"/>
    <w:rsid w:val="00E05943"/>
    <w:rsid w:val="00E059C6"/>
    <w:rsid w:val="00E05C07"/>
    <w:rsid w:val="00E05CC6"/>
    <w:rsid w:val="00E05E5A"/>
    <w:rsid w:val="00E0604C"/>
    <w:rsid w:val="00E06260"/>
    <w:rsid w:val="00E064C7"/>
    <w:rsid w:val="00E064C9"/>
    <w:rsid w:val="00E06606"/>
    <w:rsid w:val="00E06686"/>
    <w:rsid w:val="00E06783"/>
    <w:rsid w:val="00E06B36"/>
    <w:rsid w:val="00E06C4F"/>
    <w:rsid w:val="00E06F7B"/>
    <w:rsid w:val="00E07226"/>
    <w:rsid w:val="00E072BB"/>
    <w:rsid w:val="00E072D2"/>
    <w:rsid w:val="00E076A9"/>
    <w:rsid w:val="00E0793F"/>
    <w:rsid w:val="00E07CA2"/>
    <w:rsid w:val="00E07DD5"/>
    <w:rsid w:val="00E10019"/>
    <w:rsid w:val="00E10152"/>
    <w:rsid w:val="00E1015E"/>
    <w:rsid w:val="00E10372"/>
    <w:rsid w:val="00E105DA"/>
    <w:rsid w:val="00E10750"/>
    <w:rsid w:val="00E10908"/>
    <w:rsid w:val="00E10C0A"/>
    <w:rsid w:val="00E10DBC"/>
    <w:rsid w:val="00E10E5B"/>
    <w:rsid w:val="00E10E6B"/>
    <w:rsid w:val="00E1116F"/>
    <w:rsid w:val="00E11240"/>
    <w:rsid w:val="00E11389"/>
    <w:rsid w:val="00E113B9"/>
    <w:rsid w:val="00E114F2"/>
    <w:rsid w:val="00E11717"/>
    <w:rsid w:val="00E11782"/>
    <w:rsid w:val="00E118BD"/>
    <w:rsid w:val="00E11A06"/>
    <w:rsid w:val="00E11AD1"/>
    <w:rsid w:val="00E11C42"/>
    <w:rsid w:val="00E11CEF"/>
    <w:rsid w:val="00E11D04"/>
    <w:rsid w:val="00E11D6B"/>
    <w:rsid w:val="00E11DD2"/>
    <w:rsid w:val="00E11E52"/>
    <w:rsid w:val="00E1205E"/>
    <w:rsid w:val="00E1222A"/>
    <w:rsid w:val="00E1253E"/>
    <w:rsid w:val="00E12659"/>
    <w:rsid w:val="00E1267A"/>
    <w:rsid w:val="00E127A3"/>
    <w:rsid w:val="00E12973"/>
    <w:rsid w:val="00E12A5B"/>
    <w:rsid w:val="00E12A96"/>
    <w:rsid w:val="00E12B4A"/>
    <w:rsid w:val="00E12BD9"/>
    <w:rsid w:val="00E12E5E"/>
    <w:rsid w:val="00E12FC0"/>
    <w:rsid w:val="00E132EC"/>
    <w:rsid w:val="00E13400"/>
    <w:rsid w:val="00E13415"/>
    <w:rsid w:val="00E13616"/>
    <w:rsid w:val="00E13A85"/>
    <w:rsid w:val="00E13ABD"/>
    <w:rsid w:val="00E13B49"/>
    <w:rsid w:val="00E13BDB"/>
    <w:rsid w:val="00E13C55"/>
    <w:rsid w:val="00E13E67"/>
    <w:rsid w:val="00E13ED9"/>
    <w:rsid w:val="00E13F24"/>
    <w:rsid w:val="00E14027"/>
    <w:rsid w:val="00E14092"/>
    <w:rsid w:val="00E1423E"/>
    <w:rsid w:val="00E14252"/>
    <w:rsid w:val="00E142DB"/>
    <w:rsid w:val="00E144E8"/>
    <w:rsid w:val="00E14566"/>
    <w:rsid w:val="00E145C0"/>
    <w:rsid w:val="00E14634"/>
    <w:rsid w:val="00E1469C"/>
    <w:rsid w:val="00E14797"/>
    <w:rsid w:val="00E147BE"/>
    <w:rsid w:val="00E147E5"/>
    <w:rsid w:val="00E14892"/>
    <w:rsid w:val="00E148D3"/>
    <w:rsid w:val="00E149E2"/>
    <w:rsid w:val="00E14B3F"/>
    <w:rsid w:val="00E151C3"/>
    <w:rsid w:val="00E15217"/>
    <w:rsid w:val="00E1529D"/>
    <w:rsid w:val="00E15483"/>
    <w:rsid w:val="00E154A3"/>
    <w:rsid w:val="00E15501"/>
    <w:rsid w:val="00E1555B"/>
    <w:rsid w:val="00E15656"/>
    <w:rsid w:val="00E157A3"/>
    <w:rsid w:val="00E158F9"/>
    <w:rsid w:val="00E1591B"/>
    <w:rsid w:val="00E15933"/>
    <w:rsid w:val="00E159C3"/>
    <w:rsid w:val="00E159D9"/>
    <w:rsid w:val="00E15B49"/>
    <w:rsid w:val="00E15C4C"/>
    <w:rsid w:val="00E15CFC"/>
    <w:rsid w:val="00E15DA8"/>
    <w:rsid w:val="00E1603F"/>
    <w:rsid w:val="00E1618D"/>
    <w:rsid w:val="00E162CD"/>
    <w:rsid w:val="00E1640C"/>
    <w:rsid w:val="00E16470"/>
    <w:rsid w:val="00E164D6"/>
    <w:rsid w:val="00E164EB"/>
    <w:rsid w:val="00E165BC"/>
    <w:rsid w:val="00E165E0"/>
    <w:rsid w:val="00E16624"/>
    <w:rsid w:val="00E16632"/>
    <w:rsid w:val="00E166A7"/>
    <w:rsid w:val="00E166CD"/>
    <w:rsid w:val="00E16B1E"/>
    <w:rsid w:val="00E16BB2"/>
    <w:rsid w:val="00E16BE7"/>
    <w:rsid w:val="00E16C1E"/>
    <w:rsid w:val="00E16D29"/>
    <w:rsid w:val="00E16E71"/>
    <w:rsid w:val="00E16F22"/>
    <w:rsid w:val="00E16F27"/>
    <w:rsid w:val="00E16FA2"/>
    <w:rsid w:val="00E17094"/>
    <w:rsid w:val="00E171A4"/>
    <w:rsid w:val="00E17378"/>
    <w:rsid w:val="00E17382"/>
    <w:rsid w:val="00E1739E"/>
    <w:rsid w:val="00E1750A"/>
    <w:rsid w:val="00E1754D"/>
    <w:rsid w:val="00E17718"/>
    <w:rsid w:val="00E1792C"/>
    <w:rsid w:val="00E179EE"/>
    <w:rsid w:val="00E17A47"/>
    <w:rsid w:val="00E17C72"/>
    <w:rsid w:val="00E17CA6"/>
    <w:rsid w:val="00E17CE2"/>
    <w:rsid w:val="00E17ECE"/>
    <w:rsid w:val="00E200B2"/>
    <w:rsid w:val="00E200FA"/>
    <w:rsid w:val="00E201A6"/>
    <w:rsid w:val="00E204A5"/>
    <w:rsid w:val="00E204BF"/>
    <w:rsid w:val="00E20625"/>
    <w:rsid w:val="00E20721"/>
    <w:rsid w:val="00E20837"/>
    <w:rsid w:val="00E20865"/>
    <w:rsid w:val="00E20883"/>
    <w:rsid w:val="00E209AE"/>
    <w:rsid w:val="00E20AD9"/>
    <w:rsid w:val="00E20B77"/>
    <w:rsid w:val="00E20C45"/>
    <w:rsid w:val="00E20FC2"/>
    <w:rsid w:val="00E21053"/>
    <w:rsid w:val="00E21091"/>
    <w:rsid w:val="00E210A5"/>
    <w:rsid w:val="00E211D5"/>
    <w:rsid w:val="00E21228"/>
    <w:rsid w:val="00E2125E"/>
    <w:rsid w:val="00E21466"/>
    <w:rsid w:val="00E216A6"/>
    <w:rsid w:val="00E216CC"/>
    <w:rsid w:val="00E2177B"/>
    <w:rsid w:val="00E2186F"/>
    <w:rsid w:val="00E218A0"/>
    <w:rsid w:val="00E21969"/>
    <w:rsid w:val="00E21BF0"/>
    <w:rsid w:val="00E21C67"/>
    <w:rsid w:val="00E21C88"/>
    <w:rsid w:val="00E21D5E"/>
    <w:rsid w:val="00E21D95"/>
    <w:rsid w:val="00E21E05"/>
    <w:rsid w:val="00E21F43"/>
    <w:rsid w:val="00E220CE"/>
    <w:rsid w:val="00E22352"/>
    <w:rsid w:val="00E22762"/>
    <w:rsid w:val="00E229C9"/>
    <w:rsid w:val="00E229FA"/>
    <w:rsid w:val="00E22A15"/>
    <w:rsid w:val="00E22BAA"/>
    <w:rsid w:val="00E22D82"/>
    <w:rsid w:val="00E2301E"/>
    <w:rsid w:val="00E23743"/>
    <w:rsid w:val="00E2397E"/>
    <w:rsid w:val="00E23AAA"/>
    <w:rsid w:val="00E23B96"/>
    <w:rsid w:val="00E23C57"/>
    <w:rsid w:val="00E23CB2"/>
    <w:rsid w:val="00E23E04"/>
    <w:rsid w:val="00E23E22"/>
    <w:rsid w:val="00E23F0D"/>
    <w:rsid w:val="00E24303"/>
    <w:rsid w:val="00E24494"/>
    <w:rsid w:val="00E244DE"/>
    <w:rsid w:val="00E2451C"/>
    <w:rsid w:val="00E2468B"/>
    <w:rsid w:val="00E2488E"/>
    <w:rsid w:val="00E2491A"/>
    <w:rsid w:val="00E249EE"/>
    <w:rsid w:val="00E24BD9"/>
    <w:rsid w:val="00E24C93"/>
    <w:rsid w:val="00E24D03"/>
    <w:rsid w:val="00E24FB9"/>
    <w:rsid w:val="00E2505A"/>
    <w:rsid w:val="00E250CF"/>
    <w:rsid w:val="00E25197"/>
    <w:rsid w:val="00E251BE"/>
    <w:rsid w:val="00E2525E"/>
    <w:rsid w:val="00E25274"/>
    <w:rsid w:val="00E2536A"/>
    <w:rsid w:val="00E253B7"/>
    <w:rsid w:val="00E2542E"/>
    <w:rsid w:val="00E2553C"/>
    <w:rsid w:val="00E25548"/>
    <w:rsid w:val="00E258C0"/>
    <w:rsid w:val="00E258E6"/>
    <w:rsid w:val="00E25BA3"/>
    <w:rsid w:val="00E25CE6"/>
    <w:rsid w:val="00E25D40"/>
    <w:rsid w:val="00E25F2F"/>
    <w:rsid w:val="00E25F5D"/>
    <w:rsid w:val="00E2605D"/>
    <w:rsid w:val="00E26566"/>
    <w:rsid w:val="00E2673D"/>
    <w:rsid w:val="00E26916"/>
    <w:rsid w:val="00E26CE6"/>
    <w:rsid w:val="00E26CF4"/>
    <w:rsid w:val="00E26DD4"/>
    <w:rsid w:val="00E26ED5"/>
    <w:rsid w:val="00E2705B"/>
    <w:rsid w:val="00E27113"/>
    <w:rsid w:val="00E2719D"/>
    <w:rsid w:val="00E274D0"/>
    <w:rsid w:val="00E27673"/>
    <w:rsid w:val="00E276D8"/>
    <w:rsid w:val="00E27A67"/>
    <w:rsid w:val="00E27A92"/>
    <w:rsid w:val="00E27B61"/>
    <w:rsid w:val="00E27BBE"/>
    <w:rsid w:val="00E27C1C"/>
    <w:rsid w:val="00E27D68"/>
    <w:rsid w:val="00E27EB8"/>
    <w:rsid w:val="00E30031"/>
    <w:rsid w:val="00E300CC"/>
    <w:rsid w:val="00E301F3"/>
    <w:rsid w:val="00E30257"/>
    <w:rsid w:val="00E303DD"/>
    <w:rsid w:val="00E305BA"/>
    <w:rsid w:val="00E3075F"/>
    <w:rsid w:val="00E309C5"/>
    <w:rsid w:val="00E30C72"/>
    <w:rsid w:val="00E30D5D"/>
    <w:rsid w:val="00E30E54"/>
    <w:rsid w:val="00E31145"/>
    <w:rsid w:val="00E3127C"/>
    <w:rsid w:val="00E312A5"/>
    <w:rsid w:val="00E31477"/>
    <w:rsid w:val="00E315B9"/>
    <w:rsid w:val="00E3166F"/>
    <w:rsid w:val="00E317A3"/>
    <w:rsid w:val="00E318C9"/>
    <w:rsid w:val="00E31935"/>
    <w:rsid w:val="00E31A36"/>
    <w:rsid w:val="00E31ADE"/>
    <w:rsid w:val="00E31CC4"/>
    <w:rsid w:val="00E31DA0"/>
    <w:rsid w:val="00E31DB6"/>
    <w:rsid w:val="00E31F2D"/>
    <w:rsid w:val="00E31FA1"/>
    <w:rsid w:val="00E320A3"/>
    <w:rsid w:val="00E3219D"/>
    <w:rsid w:val="00E322B3"/>
    <w:rsid w:val="00E3262B"/>
    <w:rsid w:val="00E32837"/>
    <w:rsid w:val="00E32902"/>
    <w:rsid w:val="00E3290A"/>
    <w:rsid w:val="00E32963"/>
    <w:rsid w:val="00E32A8E"/>
    <w:rsid w:val="00E32B53"/>
    <w:rsid w:val="00E32B67"/>
    <w:rsid w:val="00E32E8A"/>
    <w:rsid w:val="00E32F3A"/>
    <w:rsid w:val="00E333A6"/>
    <w:rsid w:val="00E33427"/>
    <w:rsid w:val="00E33527"/>
    <w:rsid w:val="00E3367E"/>
    <w:rsid w:val="00E336F8"/>
    <w:rsid w:val="00E33712"/>
    <w:rsid w:val="00E337D3"/>
    <w:rsid w:val="00E337E6"/>
    <w:rsid w:val="00E339A3"/>
    <w:rsid w:val="00E33D50"/>
    <w:rsid w:val="00E34320"/>
    <w:rsid w:val="00E347FC"/>
    <w:rsid w:val="00E34833"/>
    <w:rsid w:val="00E34ACE"/>
    <w:rsid w:val="00E34C52"/>
    <w:rsid w:val="00E34D24"/>
    <w:rsid w:val="00E34DCA"/>
    <w:rsid w:val="00E34DE4"/>
    <w:rsid w:val="00E34E0B"/>
    <w:rsid w:val="00E34ED0"/>
    <w:rsid w:val="00E35016"/>
    <w:rsid w:val="00E351E5"/>
    <w:rsid w:val="00E352D6"/>
    <w:rsid w:val="00E353A3"/>
    <w:rsid w:val="00E3543A"/>
    <w:rsid w:val="00E354DE"/>
    <w:rsid w:val="00E357EE"/>
    <w:rsid w:val="00E35886"/>
    <w:rsid w:val="00E358A5"/>
    <w:rsid w:val="00E358B2"/>
    <w:rsid w:val="00E358D3"/>
    <w:rsid w:val="00E358D6"/>
    <w:rsid w:val="00E3591E"/>
    <w:rsid w:val="00E35930"/>
    <w:rsid w:val="00E35971"/>
    <w:rsid w:val="00E35980"/>
    <w:rsid w:val="00E35A64"/>
    <w:rsid w:val="00E35E7C"/>
    <w:rsid w:val="00E36090"/>
    <w:rsid w:val="00E3618B"/>
    <w:rsid w:val="00E362CD"/>
    <w:rsid w:val="00E36362"/>
    <w:rsid w:val="00E3637F"/>
    <w:rsid w:val="00E363B0"/>
    <w:rsid w:val="00E36462"/>
    <w:rsid w:val="00E364CF"/>
    <w:rsid w:val="00E36669"/>
    <w:rsid w:val="00E3680F"/>
    <w:rsid w:val="00E3687F"/>
    <w:rsid w:val="00E36A44"/>
    <w:rsid w:val="00E36AB0"/>
    <w:rsid w:val="00E36CB6"/>
    <w:rsid w:val="00E36D5D"/>
    <w:rsid w:val="00E3715F"/>
    <w:rsid w:val="00E37285"/>
    <w:rsid w:val="00E373BE"/>
    <w:rsid w:val="00E37572"/>
    <w:rsid w:val="00E377B4"/>
    <w:rsid w:val="00E37A84"/>
    <w:rsid w:val="00E37B24"/>
    <w:rsid w:val="00E37EE2"/>
    <w:rsid w:val="00E37F07"/>
    <w:rsid w:val="00E40090"/>
    <w:rsid w:val="00E400F8"/>
    <w:rsid w:val="00E40111"/>
    <w:rsid w:val="00E40273"/>
    <w:rsid w:val="00E402B1"/>
    <w:rsid w:val="00E40312"/>
    <w:rsid w:val="00E4032C"/>
    <w:rsid w:val="00E40480"/>
    <w:rsid w:val="00E404CE"/>
    <w:rsid w:val="00E406C6"/>
    <w:rsid w:val="00E4075D"/>
    <w:rsid w:val="00E40768"/>
    <w:rsid w:val="00E407F2"/>
    <w:rsid w:val="00E40A07"/>
    <w:rsid w:val="00E40B1E"/>
    <w:rsid w:val="00E40B6D"/>
    <w:rsid w:val="00E40C21"/>
    <w:rsid w:val="00E41056"/>
    <w:rsid w:val="00E4133C"/>
    <w:rsid w:val="00E413BE"/>
    <w:rsid w:val="00E41610"/>
    <w:rsid w:val="00E416EF"/>
    <w:rsid w:val="00E41944"/>
    <w:rsid w:val="00E41987"/>
    <w:rsid w:val="00E41A18"/>
    <w:rsid w:val="00E41B79"/>
    <w:rsid w:val="00E41C24"/>
    <w:rsid w:val="00E41FC2"/>
    <w:rsid w:val="00E42099"/>
    <w:rsid w:val="00E42132"/>
    <w:rsid w:val="00E42801"/>
    <w:rsid w:val="00E42B3D"/>
    <w:rsid w:val="00E42B51"/>
    <w:rsid w:val="00E42BAF"/>
    <w:rsid w:val="00E42D2B"/>
    <w:rsid w:val="00E42E9F"/>
    <w:rsid w:val="00E42EA2"/>
    <w:rsid w:val="00E42FAE"/>
    <w:rsid w:val="00E43006"/>
    <w:rsid w:val="00E43012"/>
    <w:rsid w:val="00E43032"/>
    <w:rsid w:val="00E431AE"/>
    <w:rsid w:val="00E431BF"/>
    <w:rsid w:val="00E43283"/>
    <w:rsid w:val="00E432DB"/>
    <w:rsid w:val="00E43312"/>
    <w:rsid w:val="00E433BC"/>
    <w:rsid w:val="00E436F6"/>
    <w:rsid w:val="00E437E7"/>
    <w:rsid w:val="00E43F2B"/>
    <w:rsid w:val="00E43F5B"/>
    <w:rsid w:val="00E443B3"/>
    <w:rsid w:val="00E4471F"/>
    <w:rsid w:val="00E44804"/>
    <w:rsid w:val="00E44813"/>
    <w:rsid w:val="00E4488A"/>
    <w:rsid w:val="00E448E4"/>
    <w:rsid w:val="00E44A36"/>
    <w:rsid w:val="00E44FEE"/>
    <w:rsid w:val="00E454DF"/>
    <w:rsid w:val="00E455C5"/>
    <w:rsid w:val="00E45823"/>
    <w:rsid w:val="00E4599D"/>
    <w:rsid w:val="00E45AC7"/>
    <w:rsid w:val="00E45C22"/>
    <w:rsid w:val="00E45ECA"/>
    <w:rsid w:val="00E46039"/>
    <w:rsid w:val="00E460E9"/>
    <w:rsid w:val="00E46102"/>
    <w:rsid w:val="00E46141"/>
    <w:rsid w:val="00E4624B"/>
    <w:rsid w:val="00E462A4"/>
    <w:rsid w:val="00E4638C"/>
    <w:rsid w:val="00E463A3"/>
    <w:rsid w:val="00E465F2"/>
    <w:rsid w:val="00E46AF5"/>
    <w:rsid w:val="00E46C08"/>
    <w:rsid w:val="00E46DFB"/>
    <w:rsid w:val="00E46E9B"/>
    <w:rsid w:val="00E46ECE"/>
    <w:rsid w:val="00E47040"/>
    <w:rsid w:val="00E47077"/>
    <w:rsid w:val="00E47147"/>
    <w:rsid w:val="00E47413"/>
    <w:rsid w:val="00E47451"/>
    <w:rsid w:val="00E4745A"/>
    <w:rsid w:val="00E474B5"/>
    <w:rsid w:val="00E474F9"/>
    <w:rsid w:val="00E47563"/>
    <w:rsid w:val="00E476AE"/>
    <w:rsid w:val="00E47819"/>
    <w:rsid w:val="00E47896"/>
    <w:rsid w:val="00E479D0"/>
    <w:rsid w:val="00E47ADE"/>
    <w:rsid w:val="00E47B52"/>
    <w:rsid w:val="00E47ECD"/>
    <w:rsid w:val="00E47F25"/>
    <w:rsid w:val="00E5016D"/>
    <w:rsid w:val="00E50342"/>
    <w:rsid w:val="00E50390"/>
    <w:rsid w:val="00E50497"/>
    <w:rsid w:val="00E504AD"/>
    <w:rsid w:val="00E50546"/>
    <w:rsid w:val="00E50AF9"/>
    <w:rsid w:val="00E50C05"/>
    <w:rsid w:val="00E50D19"/>
    <w:rsid w:val="00E50D74"/>
    <w:rsid w:val="00E50E4D"/>
    <w:rsid w:val="00E50F30"/>
    <w:rsid w:val="00E510B1"/>
    <w:rsid w:val="00E51132"/>
    <w:rsid w:val="00E51180"/>
    <w:rsid w:val="00E51241"/>
    <w:rsid w:val="00E51473"/>
    <w:rsid w:val="00E516BB"/>
    <w:rsid w:val="00E51714"/>
    <w:rsid w:val="00E51774"/>
    <w:rsid w:val="00E51786"/>
    <w:rsid w:val="00E517A6"/>
    <w:rsid w:val="00E5197B"/>
    <w:rsid w:val="00E519CF"/>
    <w:rsid w:val="00E51A65"/>
    <w:rsid w:val="00E51C7A"/>
    <w:rsid w:val="00E51E01"/>
    <w:rsid w:val="00E51E4B"/>
    <w:rsid w:val="00E51F98"/>
    <w:rsid w:val="00E5201E"/>
    <w:rsid w:val="00E521A8"/>
    <w:rsid w:val="00E52277"/>
    <w:rsid w:val="00E524DE"/>
    <w:rsid w:val="00E525D0"/>
    <w:rsid w:val="00E5268B"/>
    <w:rsid w:val="00E528AF"/>
    <w:rsid w:val="00E528D2"/>
    <w:rsid w:val="00E529F8"/>
    <w:rsid w:val="00E52ABA"/>
    <w:rsid w:val="00E52AEF"/>
    <w:rsid w:val="00E52BCF"/>
    <w:rsid w:val="00E52E70"/>
    <w:rsid w:val="00E53194"/>
    <w:rsid w:val="00E53207"/>
    <w:rsid w:val="00E53276"/>
    <w:rsid w:val="00E53685"/>
    <w:rsid w:val="00E53711"/>
    <w:rsid w:val="00E5374F"/>
    <w:rsid w:val="00E53BCE"/>
    <w:rsid w:val="00E53E55"/>
    <w:rsid w:val="00E53E5B"/>
    <w:rsid w:val="00E53E7B"/>
    <w:rsid w:val="00E53F07"/>
    <w:rsid w:val="00E5429B"/>
    <w:rsid w:val="00E543DB"/>
    <w:rsid w:val="00E5447F"/>
    <w:rsid w:val="00E54762"/>
    <w:rsid w:val="00E5491D"/>
    <w:rsid w:val="00E54931"/>
    <w:rsid w:val="00E54A83"/>
    <w:rsid w:val="00E54BA5"/>
    <w:rsid w:val="00E54D09"/>
    <w:rsid w:val="00E54D33"/>
    <w:rsid w:val="00E54E75"/>
    <w:rsid w:val="00E54F13"/>
    <w:rsid w:val="00E54F99"/>
    <w:rsid w:val="00E55001"/>
    <w:rsid w:val="00E55067"/>
    <w:rsid w:val="00E5576F"/>
    <w:rsid w:val="00E557D7"/>
    <w:rsid w:val="00E559D1"/>
    <w:rsid w:val="00E55BF3"/>
    <w:rsid w:val="00E55C9B"/>
    <w:rsid w:val="00E55DE3"/>
    <w:rsid w:val="00E55E79"/>
    <w:rsid w:val="00E561B3"/>
    <w:rsid w:val="00E5628B"/>
    <w:rsid w:val="00E56784"/>
    <w:rsid w:val="00E567D1"/>
    <w:rsid w:val="00E568CE"/>
    <w:rsid w:val="00E5691F"/>
    <w:rsid w:val="00E56923"/>
    <w:rsid w:val="00E56B8D"/>
    <w:rsid w:val="00E56C0F"/>
    <w:rsid w:val="00E56C65"/>
    <w:rsid w:val="00E56D51"/>
    <w:rsid w:val="00E56D63"/>
    <w:rsid w:val="00E56EA7"/>
    <w:rsid w:val="00E56F05"/>
    <w:rsid w:val="00E57583"/>
    <w:rsid w:val="00E577D7"/>
    <w:rsid w:val="00E57907"/>
    <w:rsid w:val="00E57AFC"/>
    <w:rsid w:val="00E57B02"/>
    <w:rsid w:val="00E57BF4"/>
    <w:rsid w:val="00E57C84"/>
    <w:rsid w:val="00E57CEA"/>
    <w:rsid w:val="00E57E7B"/>
    <w:rsid w:val="00E60072"/>
    <w:rsid w:val="00E60114"/>
    <w:rsid w:val="00E6031C"/>
    <w:rsid w:val="00E603DB"/>
    <w:rsid w:val="00E604C9"/>
    <w:rsid w:val="00E6097D"/>
    <w:rsid w:val="00E60ADA"/>
    <w:rsid w:val="00E60E33"/>
    <w:rsid w:val="00E60EF6"/>
    <w:rsid w:val="00E60F0B"/>
    <w:rsid w:val="00E611B5"/>
    <w:rsid w:val="00E6136C"/>
    <w:rsid w:val="00E61426"/>
    <w:rsid w:val="00E614EB"/>
    <w:rsid w:val="00E618CE"/>
    <w:rsid w:val="00E618E3"/>
    <w:rsid w:val="00E61BD3"/>
    <w:rsid w:val="00E61C17"/>
    <w:rsid w:val="00E61C2C"/>
    <w:rsid w:val="00E61C87"/>
    <w:rsid w:val="00E61CF2"/>
    <w:rsid w:val="00E61DF6"/>
    <w:rsid w:val="00E61EB5"/>
    <w:rsid w:val="00E61FBD"/>
    <w:rsid w:val="00E6201B"/>
    <w:rsid w:val="00E620BD"/>
    <w:rsid w:val="00E6212E"/>
    <w:rsid w:val="00E62147"/>
    <w:rsid w:val="00E6225C"/>
    <w:rsid w:val="00E62285"/>
    <w:rsid w:val="00E62374"/>
    <w:rsid w:val="00E623C3"/>
    <w:rsid w:val="00E62491"/>
    <w:rsid w:val="00E624FB"/>
    <w:rsid w:val="00E62546"/>
    <w:rsid w:val="00E62611"/>
    <w:rsid w:val="00E62B23"/>
    <w:rsid w:val="00E62B69"/>
    <w:rsid w:val="00E62B86"/>
    <w:rsid w:val="00E62BD2"/>
    <w:rsid w:val="00E62BDB"/>
    <w:rsid w:val="00E62C2C"/>
    <w:rsid w:val="00E62ECA"/>
    <w:rsid w:val="00E62FB2"/>
    <w:rsid w:val="00E63005"/>
    <w:rsid w:val="00E63666"/>
    <w:rsid w:val="00E63828"/>
    <w:rsid w:val="00E63A85"/>
    <w:rsid w:val="00E63B84"/>
    <w:rsid w:val="00E63C01"/>
    <w:rsid w:val="00E63DB2"/>
    <w:rsid w:val="00E63E75"/>
    <w:rsid w:val="00E64083"/>
    <w:rsid w:val="00E64185"/>
    <w:rsid w:val="00E642E3"/>
    <w:rsid w:val="00E642E4"/>
    <w:rsid w:val="00E64456"/>
    <w:rsid w:val="00E645D7"/>
    <w:rsid w:val="00E6498C"/>
    <w:rsid w:val="00E64A11"/>
    <w:rsid w:val="00E64B32"/>
    <w:rsid w:val="00E64EBC"/>
    <w:rsid w:val="00E64FAD"/>
    <w:rsid w:val="00E65024"/>
    <w:rsid w:val="00E6505D"/>
    <w:rsid w:val="00E650A8"/>
    <w:rsid w:val="00E650F8"/>
    <w:rsid w:val="00E6514C"/>
    <w:rsid w:val="00E65757"/>
    <w:rsid w:val="00E65980"/>
    <w:rsid w:val="00E65A13"/>
    <w:rsid w:val="00E65BC1"/>
    <w:rsid w:val="00E65D2A"/>
    <w:rsid w:val="00E65DD7"/>
    <w:rsid w:val="00E65F15"/>
    <w:rsid w:val="00E66028"/>
    <w:rsid w:val="00E66136"/>
    <w:rsid w:val="00E662B2"/>
    <w:rsid w:val="00E66334"/>
    <w:rsid w:val="00E66588"/>
    <w:rsid w:val="00E66662"/>
    <w:rsid w:val="00E6675B"/>
    <w:rsid w:val="00E6689A"/>
    <w:rsid w:val="00E668CB"/>
    <w:rsid w:val="00E668DF"/>
    <w:rsid w:val="00E66A7F"/>
    <w:rsid w:val="00E66B78"/>
    <w:rsid w:val="00E66DE9"/>
    <w:rsid w:val="00E66E6D"/>
    <w:rsid w:val="00E6715E"/>
    <w:rsid w:val="00E671C3"/>
    <w:rsid w:val="00E671C7"/>
    <w:rsid w:val="00E6722B"/>
    <w:rsid w:val="00E672C4"/>
    <w:rsid w:val="00E67305"/>
    <w:rsid w:val="00E67399"/>
    <w:rsid w:val="00E67523"/>
    <w:rsid w:val="00E67561"/>
    <w:rsid w:val="00E6778B"/>
    <w:rsid w:val="00E67B2D"/>
    <w:rsid w:val="00E67F3C"/>
    <w:rsid w:val="00E67F68"/>
    <w:rsid w:val="00E67F75"/>
    <w:rsid w:val="00E67F8E"/>
    <w:rsid w:val="00E700BE"/>
    <w:rsid w:val="00E705AB"/>
    <w:rsid w:val="00E70671"/>
    <w:rsid w:val="00E7067C"/>
    <w:rsid w:val="00E7077D"/>
    <w:rsid w:val="00E70831"/>
    <w:rsid w:val="00E7083D"/>
    <w:rsid w:val="00E70935"/>
    <w:rsid w:val="00E70AE6"/>
    <w:rsid w:val="00E70B09"/>
    <w:rsid w:val="00E70E05"/>
    <w:rsid w:val="00E70F62"/>
    <w:rsid w:val="00E70F7A"/>
    <w:rsid w:val="00E71019"/>
    <w:rsid w:val="00E71138"/>
    <w:rsid w:val="00E71140"/>
    <w:rsid w:val="00E711C3"/>
    <w:rsid w:val="00E712C7"/>
    <w:rsid w:val="00E71965"/>
    <w:rsid w:val="00E71976"/>
    <w:rsid w:val="00E71E1A"/>
    <w:rsid w:val="00E71FD3"/>
    <w:rsid w:val="00E72057"/>
    <w:rsid w:val="00E720B5"/>
    <w:rsid w:val="00E7225A"/>
    <w:rsid w:val="00E72412"/>
    <w:rsid w:val="00E7254A"/>
    <w:rsid w:val="00E725EF"/>
    <w:rsid w:val="00E7265F"/>
    <w:rsid w:val="00E7290D"/>
    <w:rsid w:val="00E7297D"/>
    <w:rsid w:val="00E72B12"/>
    <w:rsid w:val="00E72B51"/>
    <w:rsid w:val="00E72C6B"/>
    <w:rsid w:val="00E72CE6"/>
    <w:rsid w:val="00E72D16"/>
    <w:rsid w:val="00E72D3A"/>
    <w:rsid w:val="00E72E5A"/>
    <w:rsid w:val="00E72F85"/>
    <w:rsid w:val="00E73068"/>
    <w:rsid w:val="00E7323A"/>
    <w:rsid w:val="00E7328B"/>
    <w:rsid w:val="00E7364B"/>
    <w:rsid w:val="00E7372F"/>
    <w:rsid w:val="00E73B6A"/>
    <w:rsid w:val="00E73B76"/>
    <w:rsid w:val="00E73DC3"/>
    <w:rsid w:val="00E73EC5"/>
    <w:rsid w:val="00E74088"/>
    <w:rsid w:val="00E741DD"/>
    <w:rsid w:val="00E74233"/>
    <w:rsid w:val="00E74270"/>
    <w:rsid w:val="00E74279"/>
    <w:rsid w:val="00E7427C"/>
    <w:rsid w:val="00E74402"/>
    <w:rsid w:val="00E74473"/>
    <w:rsid w:val="00E7455C"/>
    <w:rsid w:val="00E7466A"/>
    <w:rsid w:val="00E746E4"/>
    <w:rsid w:val="00E747A5"/>
    <w:rsid w:val="00E7483E"/>
    <w:rsid w:val="00E748E8"/>
    <w:rsid w:val="00E74B42"/>
    <w:rsid w:val="00E74C1D"/>
    <w:rsid w:val="00E74C44"/>
    <w:rsid w:val="00E74D6E"/>
    <w:rsid w:val="00E74D8A"/>
    <w:rsid w:val="00E74DE7"/>
    <w:rsid w:val="00E74F1D"/>
    <w:rsid w:val="00E74F5E"/>
    <w:rsid w:val="00E74F81"/>
    <w:rsid w:val="00E751A7"/>
    <w:rsid w:val="00E754F6"/>
    <w:rsid w:val="00E7555B"/>
    <w:rsid w:val="00E7585B"/>
    <w:rsid w:val="00E758A0"/>
    <w:rsid w:val="00E7599F"/>
    <w:rsid w:val="00E75AA3"/>
    <w:rsid w:val="00E75AA4"/>
    <w:rsid w:val="00E75BFC"/>
    <w:rsid w:val="00E75ED0"/>
    <w:rsid w:val="00E761CC"/>
    <w:rsid w:val="00E76409"/>
    <w:rsid w:val="00E7650F"/>
    <w:rsid w:val="00E76583"/>
    <w:rsid w:val="00E7667D"/>
    <w:rsid w:val="00E766CF"/>
    <w:rsid w:val="00E76799"/>
    <w:rsid w:val="00E767D8"/>
    <w:rsid w:val="00E7691F"/>
    <w:rsid w:val="00E76D9F"/>
    <w:rsid w:val="00E77036"/>
    <w:rsid w:val="00E77039"/>
    <w:rsid w:val="00E771CA"/>
    <w:rsid w:val="00E7742A"/>
    <w:rsid w:val="00E77754"/>
    <w:rsid w:val="00E7785F"/>
    <w:rsid w:val="00E77A66"/>
    <w:rsid w:val="00E77E9C"/>
    <w:rsid w:val="00E77F16"/>
    <w:rsid w:val="00E77F5B"/>
    <w:rsid w:val="00E8033C"/>
    <w:rsid w:val="00E804C8"/>
    <w:rsid w:val="00E809B6"/>
    <w:rsid w:val="00E80A7D"/>
    <w:rsid w:val="00E80C2B"/>
    <w:rsid w:val="00E80DB4"/>
    <w:rsid w:val="00E80DC9"/>
    <w:rsid w:val="00E81339"/>
    <w:rsid w:val="00E81358"/>
    <w:rsid w:val="00E813E9"/>
    <w:rsid w:val="00E813ED"/>
    <w:rsid w:val="00E814F9"/>
    <w:rsid w:val="00E8167B"/>
    <w:rsid w:val="00E81795"/>
    <w:rsid w:val="00E81857"/>
    <w:rsid w:val="00E8194A"/>
    <w:rsid w:val="00E819C9"/>
    <w:rsid w:val="00E81A4D"/>
    <w:rsid w:val="00E81AC3"/>
    <w:rsid w:val="00E81BBD"/>
    <w:rsid w:val="00E81CB7"/>
    <w:rsid w:val="00E81CE0"/>
    <w:rsid w:val="00E81F5A"/>
    <w:rsid w:val="00E81FDA"/>
    <w:rsid w:val="00E820B3"/>
    <w:rsid w:val="00E822C9"/>
    <w:rsid w:val="00E82613"/>
    <w:rsid w:val="00E8264A"/>
    <w:rsid w:val="00E826EE"/>
    <w:rsid w:val="00E82920"/>
    <w:rsid w:val="00E82B97"/>
    <w:rsid w:val="00E83283"/>
    <w:rsid w:val="00E8335D"/>
    <w:rsid w:val="00E833A9"/>
    <w:rsid w:val="00E834D1"/>
    <w:rsid w:val="00E8354C"/>
    <w:rsid w:val="00E835D8"/>
    <w:rsid w:val="00E8361E"/>
    <w:rsid w:val="00E836C0"/>
    <w:rsid w:val="00E837B2"/>
    <w:rsid w:val="00E839A9"/>
    <w:rsid w:val="00E83AF3"/>
    <w:rsid w:val="00E83C09"/>
    <w:rsid w:val="00E83C64"/>
    <w:rsid w:val="00E83D0E"/>
    <w:rsid w:val="00E83FA0"/>
    <w:rsid w:val="00E84040"/>
    <w:rsid w:val="00E84149"/>
    <w:rsid w:val="00E842EA"/>
    <w:rsid w:val="00E84314"/>
    <w:rsid w:val="00E84336"/>
    <w:rsid w:val="00E84368"/>
    <w:rsid w:val="00E84379"/>
    <w:rsid w:val="00E844ED"/>
    <w:rsid w:val="00E84724"/>
    <w:rsid w:val="00E84931"/>
    <w:rsid w:val="00E849CF"/>
    <w:rsid w:val="00E84A64"/>
    <w:rsid w:val="00E84D7F"/>
    <w:rsid w:val="00E8506C"/>
    <w:rsid w:val="00E8516D"/>
    <w:rsid w:val="00E851FD"/>
    <w:rsid w:val="00E85487"/>
    <w:rsid w:val="00E85541"/>
    <w:rsid w:val="00E85586"/>
    <w:rsid w:val="00E857C1"/>
    <w:rsid w:val="00E85944"/>
    <w:rsid w:val="00E85A33"/>
    <w:rsid w:val="00E85AB5"/>
    <w:rsid w:val="00E85B0F"/>
    <w:rsid w:val="00E85B62"/>
    <w:rsid w:val="00E85B80"/>
    <w:rsid w:val="00E85C3D"/>
    <w:rsid w:val="00E85CC0"/>
    <w:rsid w:val="00E85D88"/>
    <w:rsid w:val="00E85DB7"/>
    <w:rsid w:val="00E85EFC"/>
    <w:rsid w:val="00E85F4B"/>
    <w:rsid w:val="00E8605F"/>
    <w:rsid w:val="00E86181"/>
    <w:rsid w:val="00E86395"/>
    <w:rsid w:val="00E86554"/>
    <w:rsid w:val="00E86625"/>
    <w:rsid w:val="00E8664A"/>
    <w:rsid w:val="00E86715"/>
    <w:rsid w:val="00E86A24"/>
    <w:rsid w:val="00E86B03"/>
    <w:rsid w:val="00E86CBE"/>
    <w:rsid w:val="00E86E35"/>
    <w:rsid w:val="00E86FBB"/>
    <w:rsid w:val="00E870CE"/>
    <w:rsid w:val="00E87123"/>
    <w:rsid w:val="00E871B6"/>
    <w:rsid w:val="00E871E6"/>
    <w:rsid w:val="00E875E2"/>
    <w:rsid w:val="00E87A4F"/>
    <w:rsid w:val="00E87AB7"/>
    <w:rsid w:val="00E87B4B"/>
    <w:rsid w:val="00E87CFC"/>
    <w:rsid w:val="00E87E26"/>
    <w:rsid w:val="00E87E70"/>
    <w:rsid w:val="00E87FEE"/>
    <w:rsid w:val="00E900AE"/>
    <w:rsid w:val="00E9024E"/>
    <w:rsid w:val="00E9028E"/>
    <w:rsid w:val="00E90315"/>
    <w:rsid w:val="00E903CF"/>
    <w:rsid w:val="00E90499"/>
    <w:rsid w:val="00E904A7"/>
    <w:rsid w:val="00E905EB"/>
    <w:rsid w:val="00E906AA"/>
    <w:rsid w:val="00E908C9"/>
    <w:rsid w:val="00E90ADC"/>
    <w:rsid w:val="00E90AF3"/>
    <w:rsid w:val="00E90C2F"/>
    <w:rsid w:val="00E90C6C"/>
    <w:rsid w:val="00E90FEC"/>
    <w:rsid w:val="00E91068"/>
    <w:rsid w:val="00E9109B"/>
    <w:rsid w:val="00E910B1"/>
    <w:rsid w:val="00E910CB"/>
    <w:rsid w:val="00E911A4"/>
    <w:rsid w:val="00E912E1"/>
    <w:rsid w:val="00E91301"/>
    <w:rsid w:val="00E91762"/>
    <w:rsid w:val="00E9178D"/>
    <w:rsid w:val="00E919A0"/>
    <w:rsid w:val="00E91B81"/>
    <w:rsid w:val="00E91BF8"/>
    <w:rsid w:val="00E91C25"/>
    <w:rsid w:val="00E91E2B"/>
    <w:rsid w:val="00E91E78"/>
    <w:rsid w:val="00E92053"/>
    <w:rsid w:val="00E920AB"/>
    <w:rsid w:val="00E922E8"/>
    <w:rsid w:val="00E92534"/>
    <w:rsid w:val="00E9253C"/>
    <w:rsid w:val="00E9262C"/>
    <w:rsid w:val="00E92ACE"/>
    <w:rsid w:val="00E92AFF"/>
    <w:rsid w:val="00E92C10"/>
    <w:rsid w:val="00E92C6D"/>
    <w:rsid w:val="00E92D75"/>
    <w:rsid w:val="00E92EB9"/>
    <w:rsid w:val="00E9314D"/>
    <w:rsid w:val="00E931DE"/>
    <w:rsid w:val="00E932AF"/>
    <w:rsid w:val="00E9331A"/>
    <w:rsid w:val="00E93455"/>
    <w:rsid w:val="00E9370B"/>
    <w:rsid w:val="00E93728"/>
    <w:rsid w:val="00E937B9"/>
    <w:rsid w:val="00E9392B"/>
    <w:rsid w:val="00E93BA9"/>
    <w:rsid w:val="00E93BD0"/>
    <w:rsid w:val="00E93DAF"/>
    <w:rsid w:val="00E93E7D"/>
    <w:rsid w:val="00E93EC7"/>
    <w:rsid w:val="00E93F29"/>
    <w:rsid w:val="00E93F53"/>
    <w:rsid w:val="00E9454C"/>
    <w:rsid w:val="00E94600"/>
    <w:rsid w:val="00E94674"/>
    <w:rsid w:val="00E949F3"/>
    <w:rsid w:val="00E94B4C"/>
    <w:rsid w:val="00E94DCA"/>
    <w:rsid w:val="00E94DD7"/>
    <w:rsid w:val="00E94F2A"/>
    <w:rsid w:val="00E9530E"/>
    <w:rsid w:val="00E9550D"/>
    <w:rsid w:val="00E95589"/>
    <w:rsid w:val="00E9564D"/>
    <w:rsid w:val="00E956C8"/>
    <w:rsid w:val="00E95876"/>
    <w:rsid w:val="00E95982"/>
    <w:rsid w:val="00E95A38"/>
    <w:rsid w:val="00E95AB8"/>
    <w:rsid w:val="00E95B15"/>
    <w:rsid w:val="00E95B31"/>
    <w:rsid w:val="00E9610E"/>
    <w:rsid w:val="00E961F5"/>
    <w:rsid w:val="00E96232"/>
    <w:rsid w:val="00E962AF"/>
    <w:rsid w:val="00E96315"/>
    <w:rsid w:val="00E963F8"/>
    <w:rsid w:val="00E96451"/>
    <w:rsid w:val="00E96487"/>
    <w:rsid w:val="00E96619"/>
    <w:rsid w:val="00E96700"/>
    <w:rsid w:val="00E967AD"/>
    <w:rsid w:val="00E96848"/>
    <w:rsid w:val="00E96C18"/>
    <w:rsid w:val="00E96E05"/>
    <w:rsid w:val="00E96F54"/>
    <w:rsid w:val="00E971AE"/>
    <w:rsid w:val="00E971C0"/>
    <w:rsid w:val="00E97209"/>
    <w:rsid w:val="00E9744C"/>
    <w:rsid w:val="00E97AC5"/>
    <w:rsid w:val="00E97AE6"/>
    <w:rsid w:val="00E97C16"/>
    <w:rsid w:val="00E97D30"/>
    <w:rsid w:val="00E97E4B"/>
    <w:rsid w:val="00E97FE2"/>
    <w:rsid w:val="00EA0012"/>
    <w:rsid w:val="00EA00C8"/>
    <w:rsid w:val="00EA00D3"/>
    <w:rsid w:val="00EA0385"/>
    <w:rsid w:val="00EA0399"/>
    <w:rsid w:val="00EA0673"/>
    <w:rsid w:val="00EA069B"/>
    <w:rsid w:val="00EA09F0"/>
    <w:rsid w:val="00EA0A77"/>
    <w:rsid w:val="00EA0BBE"/>
    <w:rsid w:val="00EA0D68"/>
    <w:rsid w:val="00EA0E09"/>
    <w:rsid w:val="00EA10B9"/>
    <w:rsid w:val="00EA1235"/>
    <w:rsid w:val="00EA123E"/>
    <w:rsid w:val="00EA1574"/>
    <w:rsid w:val="00EA1695"/>
    <w:rsid w:val="00EA18A6"/>
    <w:rsid w:val="00EA1A23"/>
    <w:rsid w:val="00EA1A77"/>
    <w:rsid w:val="00EA1AEF"/>
    <w:rsid w:val="00EA1B66"/>
    <w:rsid w:val="00EA1DFD"/>
    <w:rsid w:val="00EA1F42"/>
    <w:rsid w:val="00EA1FC0"/>
    <w:rsid w:val="00EA20F6"/>
    <w:rsid w:val="00EA223F"/>
    <w:rsid w:val="00EA24F7"/>
    <w:rsid w:val="00EA253F"/>
    <w:rsid w:val="00EA2725"/>
    <w:rsid w:val="00EA293E"/>
    <w:rsid w:val="00EA2BB2"/>
    <w:rsid w:val="00EA2DC0"/>
    <w:rsid w:val="00EA2FC7"/>
    <w:rsid w:val="00EA3111"/>
    <w:rsid w:val="00EA323C"/>
    <w:rsid w:val="00EA32AD"/>
    <w:rsid w:val="00EA3336"/>
    <w:rsid w:val="00EA342B"/>
    <w:rsid w:val="00EA34FC"/>
    <w:rsid w:val="00EA35CC"/>
    <w:rsid w:val="00EA36AA"/>
    <w:rsid w:val="00EA373A"/>
    <w:rsid w:val="00EA3A70"/>
    <w:rsid w:val="00EA3BC8"/>
    <w:rsid w:val="00EA3C57"/>
    <w:rsid w:val="00EA3C9C"/>
    <w:rsid w:val="00EA3CDF"/>
    <w:rsid w:val="00EA3DAE"/>
    <w:rsid w:val="00EA4370"/>
    <w:rsid w:val="00EA445F"/>
    <w:rsid w:val="00EA45DA"/>
    <w:rsid w:val="00EA4926"/>
    <w:rsid w:val="00EA4957"/>
    <w:rsid w:val="00EA4A92"/>
    <w:rsid w:val="00EA4AF3"/>
    <w:rsid w:val="00EA4D65"/>
    <w:rsid w:val="00EA50B1"/>
    <w:rsid w:val="00EA5108"/>
    <w:rsid w:val="00EA522E"/>
    <w:rsid w:val="00EA5267"/>
    <w:rsid w:val="00EA551E"/>
    <w:rsid w:val="00EA570F"/>
    <w:rsid w:val="00EA577A"/>
    <w:rsid w:val="00EA585B"/>
    <w:rsid w:val="00EA585E"/>
    <w:rsid w:val="00EA5890"/>
    <w:rsid w:val="00EA5D94"/>
    <w:rsid w:val="00EA5D9F"/>
    <w:rsid w:val="00EA5DCE"/>
    <w:rsid w:val="00EA5E53"/>
    <w:rsid w:val="00EA6058"/>
    <w:rsid w:val="00EA60BF"/>
    <w:rsid w:val="00EA61DC"/>
    <w:rsid w:val="00EA6395"/>
    <w:rsid w:val="00EA659F"/>
    <w:rsid w:val="00EA66CF"/>
    <w:rsid w:val="00EA6A48"/>
    <w:rsid w:val="00EA6AB1"/>
    <w:rsid w:val="00EA6B37"/>
    <w:rsid w:val="00EA6D2D"/>
    <w:rsid w:val="00EA6F52"/>
    <w:rsid w:val="00EA6F61"/>
    <w:rsid w:val="00EA6FAD"/>
    <w:rsid w:val="00EA71A3"/>
    <w:rsid w:val="00EA729C"/>
    <w:rsid w:val="00EA7525"/>
    <w:rsid w:val="00EA754D"/>
    <w:rsid w:val="00EA75F4"/>
    <w:rsid w:val="00EA771A"/>
    <w:rsid w:val="00EA79BA"/>
    <w:rsid w:val="00EA7AD8"/>
    <w:rsid w:val="00EA7C43"/>
    <w:rsid w:val="00EA7CFB"/>
    <w:rsid w:val="00EB0037"/>
    <w:rsid w:val="00EB01C0"/>
    <w:rsid w:val="00EB0323"/>
    <w:rsid w:val="00EB046A"/>
    <w:rsid w:val="00EB04F2"/>
    <w:rsid w:val="00EB070B"/>
    <w:rsid w:val="00EB0883"/>
    <w:rsid w:val="00EB0BB5"/>
    <w:rsid w:val="00EB0F5F"/>
    <w:rsid w:val="00EB12B8"/>
    <w:rsid w:val="00EB1353"/>
    <w:rsid w:val="00EB1624"/>
    <w:rsid w:val="00EB1715"/>
    <w:rsid w:val="00EB19D0"/>
    <w:rsid w:val="00EB1A5F"/>
    <w:rsid w:val="00EB1B33"/>
    <w:rsid w:val="00EB1B70"/>
    <w:rsid w:val="00EB1D3A"/>
    <w:rsid w:val="00EB1D48"/>
    <w:rsid w:val="00EB1D6D"/>
    <w:rsid w:val="00EB1EFD"/>
    <w:rsid w:val="00EB20BE"/>
    <w:rsid w:val="00EB21DE"/>
    <w:rsid w:val="00EB2309"/>
    <w:rsid w:val="00EB2430"/>
    <w:rsid w:val="00EB2480"/>
    <w:rsid w:val="00EB255F"/>
    <w:rsid w:val="00EB25B3"/>
    <w:rsid w:val="00EB29FC"/>
    <w:rsid w:val="00EB2BD5"/>
    <w:rsid w:val="00EB2CAC"/>
    <w:rsid w:val="00EB2CBF"/>
    <w:rsid w:val="00EB2CDB"/>
    <w:rsid w:val="00EB2E69"/>
    <w:rsid w:val="00EB2EC2"/>
    <w:rsid w:val="00EB2ECB"/>
    <w:rsid w:val="00EB3146"/>
    <w:rsid w:val="00EB3266"/>
    <w:rsid w:val="00EB32C3"/>
    <w:rsid w:val="00EB331D"/>
    <w:rsid w:val="00EB3417"/>
    <w:rsid w:val="00EB3496"/>
    <w:rsid w:val="00EB3866"/>
    <w:rsid w:val="00EB3C7A"/>
    <w:rsid w:val="00EB4042"/>
    <w:rsid w:val="00EB41AB"/>
    <w:rsid w:val="00EB41D1"/>
    <w:rsid w:val="00EB43B9"/>
    <w:rsid w:val="00EB43DF"/>
    <w:rsid w:val="00EB44D3"/>
    <w:rsid w:val="00EB4694"/>
    <w:rsid w:val="00EB46A3"/>
    <w:rsid w:val="00EB477A"/>
    <w:rsid w:val="00EB47BE"/>
    <w:rsid w:val="00EB4909"/>
    <w:rsid w:val="00EB49A2"/>
    <w:rsid w:val="00EB49F9"/>
    <w:rsid w:val="00EB4C3B"/>
    <w:rsid w:val="00EB4CB0"/>
    <w:rsid w:val="00EB4D29"/>
    <w:rsid w:val="00EB4DB3"/>
    <w:rsid w:val="00EB4ECB"/>
    <w:rsid w:val="00EB4F1F"/>
    <w:rsid w:val="00EB50D9"/>
    <w:rsid w:val="00EB51CE"/>
    <w:rsid w:val="00EB5261"/>
    <w:rsid w:val="00EB53E0"/>
    <w:rsid w:val="00EB5483"/>
    <w:rsid w:val="00EB5701"/>
    <w:rsid w:val="00EB57CD"/>
    <w:rsid w:val="00EB5970"/>
    <w:rsid w:val="00EB5A8A"/>
    <w:rsid w:val="00EB5D38"/>
    <w:rsid w:val="00EB5D41"/>
    <w:rsid w:val="00EB5EC9"/>
    <w:rsid w:val="00EB5EEE"/>
    <w:rsid w:val="00EB5EFF"/>
    <w:rsid w:val="00EB5FE8"/>
    <w:rsid w:val="00EB6078"/>
    <w:rsid w:val="00EB61D6"/>
    <w:rsid w:val="00EB657D"/>
    <w:rsid w:val="00EB6707"/>
    <w:rsid w:val="00EB6803"/>
    <w:rsid w:val="00EB681E"/>
    <w:rsid w:val="00EB68E2"/>
    <w:rsid w:val="00EB69AF"/>
    <w:rsid w:val="00EB6A90"/>
    <w:rsid w:val="00EB6B70"/>
    <w:rsid w:val="00EB6B9C"/>
    <w:rsid w:val="00EB6BC1"/>
    <w:rsid w:val="00EB718C"/>
    <w:rsid w:val="00EB71AD"/>
    <w:rsid w:val="00EB7271"/>
    <w:rsid w:val="00EB738C"/>
    <w:rsid w:val="00EB73B5"/>
    <w:rsid w:val="00EB75BA"/>
    <w:rsid w:val="00EB7624"/>
    <w:rsid w:val="00EB76F1"/>
    <w:rsid w:val="00EB770C"/>
    <w:rsid w:val="00EB77F2"/>
    <w:rsid w:val="00EB7AD5"/>
    <w:rsid w:val="00EB7BF9"/>
    <w:rsid w:val="00EB7CD3"/>
    <w:rsid w:val="00EB7DCA"/>
    <w:rsid w:val="00EB7E45"/>
    <w:rsid w:val="00EC0204"/>
    <w:rsid w:val="00EC0545"/>
    <w:rsid w:val="00EC05A4"/>
    <w:rsid w:val="00EC06CE"/>
    <w:rsid w:val="00EC0965"/>
    <w:rsid w:val="00EC0ADF"/>
    <w:rsid w:val="00EC1007"/>
    <w:rsid w:val="00EC12B1"/>
    <w:rsid w:val="00EC13B5"/>
    <w:rsid w:val="00EC158C"/>
    <w:rsid w:val="00EC15FB"/>
    <w:rsid w:val="00EC173C"/>
    <w:rsid w:val="00EC1956"/>
    <w:rsid w:val="00EC1BA5"/>
    <w:rsid w:val="00EC1BC6"/>
    <w:rsid w:val="00EC1D31"/>
    <w:rsid w:val="00EC1D45"/>
    <w:rsid w:val="00EC1DA1"/>
    <w:rsid w:val="00EC2018"/>
    <w:rsid w:val="00EC2112"/>
    <w:rsid w:val="00EC2278"/>
    <w:rsid w:val="00EC22F4"/>
    <w:rsid w:val="00EC24B0"/>
    <w:rsid w:val="00EC2547"/>
    <w:rsid w:val="00EC2557"/>
    <w:rsid w:val="00EC25B9"/>
    <w:rsid w:val="00EC2665"/>
    <w:rsid w:val="00EC2817"/>
    <w:rsid w:val="00EC2904"/>
    <w:rsid w:val="00EC29DB"/>
    <w:rsid w:val="00EC2B95"/>
    <w:rsid w:val="00EC2CA8"/>
    <w:rsid w:val="00EC2FD2"/>
    <w:rsid w:val="00EC31C2"/>
    <w:rsid w:val="00EC3439"/>
    <w:rsid w:val="00EC3486"/>
    <w:rsid w:val="00EC3564"/>
    <w:rsid w:val="00EC364D"/>
    <w:rsid w:val="00EC365D"/>
    <w:rsid w:val="00EC3C9E"/>
    <w:rsid w:val="00EC3CBE"/>
    <w:rsid w:val="00EC3CC9"/>
    <w:rsid w:val="00EC3CE9"/>
    <w:rsid w:val="00EC3CEC"/>
    <w:rsid w:val="00EC3E6B"/>
    <w:rsid w:val="00EC3EFD"/>
    <w:rsid w:val="00EC3F61"/>
    <w:rsid w:val="00EC41E8"/>
    <w:rsid w:val="00EC4379"/>
    <w:rsid w:val="00EC4509"/>
    <w:rsid w:val="00EC4524"/>
    <w:rsid w:val="00EC4581"/>
    <w:rsid w:val="00EC45A0"/>
    <w:rsid w:val="00EC467D"/>
    <w:rsid w:val="00EC477D"/>
    <w:rsid w:val="00EC4844"/>
    <w:rsid w:val="00EC4903"/>
    <w:rsid w:val="00EC49B4"/>
    <w:rsid w:val="00EC4A2C"/>
    <w:rsid w:val="00EC4A46"/>
    <w:rsid w:val="00EC4A4A"/>
    <w:rsid w:val="00EC4B30"/>
    <w:rsid w:val="00EC4B38"/>
    <w:rsid w:val="00EC4F89"/>
    <w:rsid w:val="00EC5020"/>
    <w:rsid w:val="00EC50DA"/>
    <w:rsid w:val="00EC5153"/>
    <w:rsid w:val="00EC52AF"/>
    <w:rsid w:val="00EC52EC"/>
    <w:rsid w:val="00EC5334"/>
    <w:rsid w:val="00EC53C3"/>
    <w:rsid w:val="00EC5461"/>
    <w:rsid w:val="00EC54DE"/>
    <w:rsid w:val="00EC57F2"/>
    <w:rsid w:val="00EC5966"/>
    <w:rsid w:val="00EC599B"/>
    <w:rsid w:val="00EC59A9"/>
    <w:rsid w:val="00EC5B26"/>
    <w:rsid w:val="00EC5D2C"/>
    <w:rsid w:val="00EC60A9"/>
    <w:rsid w:val="00EC6243"/>
    <w:rsid w:val="00EC6343"/>
    <w:rsid w:val="00EC6412"/>
    <w:rsid w:val="00EC666A"/>
    <w:rsid w:val="00EC668E"/>
    <w:rsid w:val="00EC6711"/>
    <w:rsid w:val="00EC6938"/>
    <w:rsid w:val="00EC6AF2"/>
    <w:rsid w:val="00EC6B23"/>
    <w:rsid w:val="00EC6C6D"/>
    <w:rsid w:val="00EC6E55"/>
    <w:rsid w:val="00EC6E91"/>
    <w:rsid w:val="00EC6F85"/>
    <w:rsid w:val="00EC704D"/>
    <w:rsid w:val="00EC718F"/>
    <w:rsid w:val="00EC719D"/>
    <w:rsid w:val="00EC74B4"/>
    <w:rsid w:val="00EC7529"/>
    <w:rsid w:val="00EC7532"/>
    <w:rsid w:val="00EC7597"/>
    <w:rsid w:val="00EC75A3"/>
    <w:rsid w:val="00EC7647"/>
    <w:rsid w:val="00EC7666"/>
    <w:rsid w:val="00EC774E"/>
    <w:rsid w:val="00EC7936"/>
    <w:rsid w:val="00EC7B57"/>
    <w:rsid w:val="00EC7BD6"/>
    <w:rsid w:val="00EC7CD8"/>
    <w:rsid w:val="00EC7DD5"/>
    <w:rsid w:val="00EC7DE2"/>
    <w:rsid w:val="00EC7E6C"/>
    <w:rsid w:val="00EC7E9B"/>
    <w:rsid w:val="00EC7F39"/>
    <w:rsid w:val="00ED0062"/>
    <w:rsid w:val="00ED01EB"/>
    <w:rsid w:val="00ED03D2"/>
    <w:rsid w:val="00ED05D7"/>
    <w:rsid w:val="00ED073D"/>
    <w:rsid w:val="00ED0839"/>
    <w:rsid w:val="00ED0B99"/>
    <w:rsid w:val="00ED0EAE"/>
    <w:rsid w:val="00ED1223"/>
    <w:rsid w:val="00ED1252"/>
    <w:rsid w:val="00ED129B"/>
    <w:rsid w:val="00ED1538"/>
    <w:rsid w:val="00ED15D2"/>
    <w:rsid w:val="00ED1637"/>
    <w:rsid w:val="00ED1705"/>
    <w:rsid w:val="00ED1AC2"/>
    <w:rsid w:val="00ED1F1F"/>
    <w:rsid w:val="00ED1FF8"/>
    <w:rsid w:val="00ED228A"/>
    <w:rsid w:val="00ED233D"/>
    <w:rsid w:val="00ED272E"/>
    <w:rsid w:val="00ED2730"/>
    <w:rsid w:val="00ED2A90"/>
    <w:rsid w:val="00ED2ACA"/>
    <w:rsid w:val="00ED2E55"/>
    <w:rsid w:val="00ED2E84"/>
    <w:rsid w:val="00ED2ECA"/>
    <w:rsid w:val="00ED2EF3"/>
    <w:rsid w:val="00ED2F23"/>
    <w:rsid w:val="00ED2FD2"/>
    <w:rsid w:val="00ED3047"/>
    <w:rsid w:val="00ED3657"/>
    <w:rsid w:val="00ED3727"/>
    <w:rsid w:val="00ED372F"/>
    <w:rsid w:val="00ED377B"/>
    <w:rsid w:val="00ED3797"/>
    <w:rsid w:val="00ED389C"/>
    <w:rsid w:val="00ED38FA"/>
    <w:rsid w:val="00ED3B7F"/>
    <w:rsid w:val="00ED3B8A"/>
    <w:rsid w:val="00ED3B98"/>
    <w:rsid w:val="00ED3D00"/>
    <w:rsid w:val="00ED3E87"/>
    <w:rsid w:val="00ED3FF1"/>
    <w:rsid w:val="00ED4299"/>
    <w:rsid w:val="00ED4318"/>
    <w:rsid w:val="00ED43FE"/>
    <w:rsid w:val="00ED447E"/>
    <w:rsid w:val="00ED4501"/>
    <w:rsid w:val="00ED4607"/>
    <w:rsid w:val="00ED463D"/>
    <w:rsid w:val="00ED471A"/>
    <w:rsid w:val="00ED48AC"/>
    <w:rsid w:val="00ED48FE"/>
    <w:rsid w:val="00ED4959"/>
    <w:rsid w:val="00ED4ACB"/>
    <w:rsid w:val="00ED4AF3"/>
    <w:rsid w:val="00ED4B39"/>
    <w:rsid w:val="00ED4BA2"/>
    <w:rsid w:val="00ED4BBC"/>
    <w:rsid w:val="00ED4D9C"/>
    <w:rsid w:val="00ED4DCD"/>
    <w:rsid w:val="00ED4F26"/>
    <w:rsid w:val="00ED5114"/>
    <w:rsid w:val="00ED5116"/>
    <w:rsid w:val="00ED518E"/>
    <w:rsid w:val="00ED524A"/>
    <w:rsid w:val="00ED53AC"/>
    <w:rsid w:val="00ED554F"/>
    <w:rsid w:val="00ED5646"/>
    <w:rsid w:val="00ED56AC"/>
    <w:rsid w:val="00ED58E1"/>
    <w:rsid w:val="00ED5949"/>
    <w:rsid w:val="00ED59A7"/>
    <w:rsid w:val="00ED5C00"/>
    <w:rsid w:val="00ED60B7"/>
    <w:rsid w:val="00ED60F1"/>
    <w:rsid w:val="00ED61FF"/>
    <w:rsid w:val="00ED62AB"/>
    <w:rsid w:val="00ED63BE"/>
    <w:rsid w:val="00ED6951"/>
    <w:rsid w:val="00ED6B08"/>
    <w:rsid w:val="00ED6C1B"/>
    <w:rsid w:val="00ED6D2D"/>
    <w:rsid w:val="00ED701D"/>
    <w:rsid w:val="00ED7020"/>
    <w:rsid w:val="00ED7371"/>
    <w:rsid w:val="00ED7CDD"/>
    <w:rsid w:val="00ED7EFB"/>
    <w:rsid w:val="00ED7F86"/>
    <w:rsid w:val="00EE00A1"/>
    <w:rsid w:val="00EE00F7"/>
    <w:rsid w:val="00EE021F"/>
    <w:rsid w:val="00EE037D"/>
    <w:rsid w:val="00EE0409"/>
    <w:rsid w:val="00EE051E"/>
    <w:rsid w:val="00EE068E"/>
    <w:rsid w:val="00EE076E"/>
    <w:rsid w:val="00EE0880"/>
    <w:rsid w:val="00EE0D69"/>
    <w:rsid w:val="00EE0E26"/>
    <w:rsid w:val="00EE0EF0"/>
    <w:rsid w:val="00EE1069"/>
    <w:rsid w:val="00EE1089"/>
    <w:rsid w:val="00EE12BA"/>
    <w:rsid w:val="00EE14D5"/>
    <w:rsid w:val="00EE181D"/>
    <w:rsid w:val="00EE18F5"/>
    <w:rsid w:val="00EE191D"/>
    <w:rsid w:val="00EE19F9"/>
    <w:rsid w:val="00EE1A00"/>
    <w:rsid w:val="00EE1A2A"/>
    <w:rsid w:val="00EE1B32"/>
    <w:rsid w:val="00EE1E5B"/>
    <w:rsid w:val="00EE1EC5"/>
    <w:rsid w:val="00EE20CB"/>
    <w:rsid w:val="00EE235E"/>
    <w:rsid w:val="00EE257D"/>
    <w:rsid w:val="00EE28A6"/>
    <w:rsid w:val="00EE2C7A"/>
    <w:rsid w:val="00EE2CA2"/>
    <w:rsid w:val="00EE3137"/>
    <w:rsid w:val="00EE3142"/>
    <w:rsid w:val="00EE36B8"/>
    <w:rsid w:val="00EE3795"/>
    <w:rsid w:val="00EE3B0B"/>
    <w:rsid w:val="00EE3D1C"/>
    <w:rsid w:val="00EE3F0E"/>
    <w:rsid w:val="00EE409C"/>
    <w:rsid w:val="00EE40DB"/>
    <w:rsid w:val="00EE4179"/>
    <w:rsid w:val="00EE4315"/>
    <w:rsid w:val="00EE4439"/>
    <w:rsid w:val="00EE4645"/>
    <w:rsid w:val="00EE482A"/>
    <w:rsid w:val="00EE498F"/>
    <w:rsid w:val="00EE4BDB"/>
    <w:rsid w:val="00EE50BC"/>
    <w:rsid w:val="00EE52F2"/>
    <w:rsid w:val="00EE5554"/>
    <w:rsid w:val="00EE5997"/>
    <w:rsid w:val="00EE5C9F"/>
    <w:rsid w:val="00EE5F07"/>
    <w:rsid w:val="00EE5F8F"/>
    <w:rsid w:val="00EE611A"/>
    <w:rsid w:val="00EE6258"/>
    <w:rsid w:val="00EE6439"/>
    <w:rsid w:val="00EE646C"/>
    <w:rsid w:val="00EE6524"/>
    <w:rsid w:val="00EE6743"/>
    <w:rsid w:val="00EE6F39"/>
    <w:rsid w:val="00EE7001"/>
    <w:rsid w:val="00EE7094"/>
    <w:rsid w:val="00EE7110"/>
    <w:rsid w:val="00EE71FA"/>
    <w:rsid w:val="00EE720F"/>
    <w:rsid w:val="00EE73F6"/>
    <w:rsid w:val="00EE76F0"/>
    <w:rsid w:val="00EE78F4"/>
    <w:rsid w:val="00EE7C90"/>
    <w:rsid w:val="00EE7D91"/>
    <w:rsid w:val="00EE7F14"/>
    <w:rsid w:val="00EF001D"/>
    <w:rsid w:val="00EF0395"/>
    <w:rsid w:val="00EF0425"/>
    <w:rsid w:val="00EF081C"/>
    <w:rsid w:val="00EF0836"/>
    <w:rsid w:val="00EF0959"/>
    <w:rsid w:val="00EF09C3"/>
    <w:rsid w:val="00EF0A32"/>
    <w:rsid w:val="00EF0BFF"/>
    <w:rsid w:val="00EF0E12"/>
    <w:rsid w:val="00EF0E73"/>
    <w:rsid w:val="00EF105F"/>
    <w:rsid w:val="00EF1283"/>
    <w:rsid w:val="00EF1286"/>
    <w:rsid w:val="00EF132F"/>
    <w:rsid w:val="00EF1349"/>
    <w:rsid w:val="00EF1474"/>
    <w:rsid w:val="00EF1620"/>
    <w:rsid w:val="00EF182F"/>
    <w:rsid w:val="00EF1856"/>
    <w:rsid w:val="00EF1988"/>
    <w:rsid w:val="00EF1BDC"/>
    <w:rsid w:val="00EF1C26"/>
    <w:rsid w:val="00EF1E43"/>
    <w:rsid w:val="00EF1ECA"/>
    <w:rsid w:val="00EF20C9"/>
    <w:rsid w:val="00EF2111"/>
    <w:rsid w:val="00EF2485"/>
    <w:rsid w:val="00EF2511"/>
    <w:rsid w:val="00EF2540"/>
    <w:rsid w:val="00EF2561"/>
    <w:rsid w:val="00EF27BF"/>
    <w:rsid w:val="00EF2842"/>
    <w:rsid w:val="00EF296D"/>
    <w:rsid w:val="00EF2970"/>
    <w:rsid w:val="00EF2A88"/>
    <w:rsid w:val="00EF2DFB"/>
    <w:rsid w:val="00EF2E5E"/>
    <w:rsid w:val="00EF2FFF"/>
    <w:rsid w:val="00EF323D"/>
    <w:rsid w:val="00EF3342"/>
    <w:rsid w:val="00EF3551"/>
    <w:rsid w:val="00EF35ED"/>
    <w:rsid w:val="00EF3660"/>
    <w:rsid w:val="00EF37F8"/>
    <w:rsid w:val="00EF391D"/>
    <w:rsid w:val="00EF3A55"/>
    <w:rsid w:val="00EF3B2A"/>
    <w:rsid w:val="00EF3F26"/>
    <w:rsid w:val="00EF3FB4"/>
    <w:rsid w:val="00EF40C6"/>
    <w:rsid w:val="00EF41A2"/>
    <w:rsid w:val="00EF421D"/>
    <w:rsid w:val="00EF47C4"/>
    <w:rsid w:val="00EF4841"/>
    <w:rsid w:val="00EF4885"/>
    <w:rsid w:val="00EF49D0"/>
    <w:rsid w:val="00EF4A89"/>
    <w:rsid w:val="00EF4B40"/>
    <w:rsid w:val="00EF4B4A"/>
    <w:rsid w:val="00EF4D61"/>
    <w:rsid w:val="00EF4E2B"/>
    <w:rsid w:val="00EF4F4D"/>
    <w:rsid w:val="00EF54F5"/>
    <w:rsid w:val="00EF5548"/>
    <w:rsid w:val="00EF567D"/>
    <w:rsid w:val="00EF5839"/>
    <w:rsid w:val="00EF583C"/>
    <w:rsid w:val="00EF59CA"/>
    <w:rsid w:val="00EF5CC3"/>
    <w:rsid w:val="00EF5DB9"/>
    <w:rsid w:val="00EF5EF9"/>
    <w:rsid w:val="00EF5FBB"/>
    <w:rsid w:val="00EF6113"/>
    <w:rsid w:val="00EF6288"/>
    <w:rsid w:val="00EF62FB"/>
    <w:rsid w:val="00EF64C6"/>
    <w:rsid w:val="00EF661A"/>
    <w:rsid w:val="00EF6632"/>
    <w:rsid w:val="00EF66EA"/>
    <w:rsid w:val="00EF676D"/>
    <w:rsid w:val="00EF69CA"/>
    <w:rsid w:val="00EF6A38"/>
    <w:rsid w:val="00EF6BDA"/>
    <w:rsid w:val="00EF6BE5"/>
    <w:rsid w:val="00EF6DA6"/>
    <w:rsid w:val="00EF6DEA"/>
    <w:rsid w:val="00EF6E01"/>
    <w:rsid w:val="00EF6E03"/>
    <w:rsid w:val="00EF6F2F"/>
    <w:rsid w:val="00EF6FA6"/>
    <w:rsid w:val="00EF7007"/>
    <w:rsid w:val="00EF70A8"/>
    <w:rsid w:val="00EF7346"/>
    <w:rsid w:val="00EF7478"/>
    <w:rsid w:val="00EF7527"/>
    <w:rsid w:val="00EF75B8"/>
    <w:rsid w:val="00EF7732"/>
    <w:rsid w:val="00EF77F3"/>
    <w:rsid w:val="00EF7AA8"/>
    <w:rsid w:val="00EF7C6B"/>
    <w:rsid w:val="00EF7E0D"/>
    <w:rsid w:val="00EF7EFD"/>
    <w:rsid w:val="00EF7F0A"/>
    <w:rsid w:val="00F0003C"/>
    <w:rsid w:val="00F0007E"/>
    <w:rsid w:val="00F003F7"/>
    <w:rsid w:val="00F004E7"/>
    <w:rsid w:val="00F00624"/>
    <w:rsid w:val="00F006C3"/>
    <w:rsid w:val="00F0073B"/>
    <w:rsid w:val="00F00758"/>
    <w:rsid w:val="00F00787"/>
    <w:rsid w:val="00F00B4A"/>
    <w:rsid w:val="00F00C28"/>
    <w:rsid w:val="00F00DDA"/>
    <w:rsid w:val="00F00E3B"/>
    <w:rsid w:val="00F01364"/>
    <w:rsid w:val="00F013EF"/>
    <w:rsid w:val="00F01589"/>
    <w:rsid w:val="00F0166D"/>
    <w:rsid w:val="00F01999"/>
    <w:rsid w:val="00F01EA9"/>
    <w:rsid w:val="00F0204A"/>
    <w:rsid w:val="00F021AE"/>
    <w:rsid w:val="00F0225B"/>
    <w:rsid w:val="00F02417"/>
    <w:rsid w:val="00F02727"/>
    <w:rsid w:val="00F02742"/>
    <w:rsid w:val="00F0281F"/>
    <w:rsid w:val="00F0282E"/>
    <w:rsid w:val="00F02992"/>
    <w:rsid w:val="00F02A02"/>
    <w:rsid w:val="00F02AB2"/>
    <w:rsid w:val="00F02AC4"/>
    <w:rsid w:val="00F02C49"/>
    <w:rsid w:val="00F02C4E"/>
    <w:rsid w:val="00F02CC0"/>
    <w:rsid w:val="00F02D02"/>
    <w:rsid w:val="00F02DEE"/>
    <w:rsid w:val="00F02F4C"/>
    <w:rsid w:val="00F03189"/>
    <w:rsid w:val="00F032E0"/>
    <w:rsid w:val="00F034CD"/>
    <w:rsid w:val="00F0350F"/>
    <w:rsid w:val="00F035A6"/>
    <w:rsid w:val="00F03831"/>
    <w:rsid w:val="00F038AB"/>
    <w:rsid w:val="00F0396D"/>
    <w:rsid w:val="00F03A78"/>
    <w:rsid w:val="00F03BB1"/>
    <w:rsid w:val="00F040F6"/>
    <w:rsid w:val="00F04146"/>
    <w:rsid w:val="00F04651"/>
    <w:rsid w:val="00F046B7"/>
    <w:rsid w:val="00F047EA"/>
    <w:rsid w:val="00F049F2"/>
    <w:rsid w:val="00F04ABD"/>
    <w:rsid w:val="00F04C6D"/>
    <w:rsid w:val="00F04DB9"/>
    <w:rsid w:val="00F04DFD"/>
    <w:rsid w:val="00F04F0A"/>
    <w:rsid w:val="00F04F97"/>
    <w:rsid w:val="00F04FA9"/>
    <w:rsid w:val="00F051AA"/>
    <w:rsid w:val="00F0527C"/>
    <w:rsid w:val="00F0538F"/>
    <w:rsid w:val="00F053FD"/>
    <w:rsid w:val="00F0550E"/>
    <w:rsid w:val="00F055CA"/>
    <w:rsid w:val="00F0583E"/>
    <w:rsid w:val="00F05A39"/>
    <w:rsid w:val="00F05B2E"/>
    <w:rsid w:val="00F05B62"/>
    <w:rsid w:val="00F05BB4"/>
    <w:rsid w:val="00F05C20"/>
    <w:rsid w:val="00F05DB6"/>
    <w:rsid w:val="00F05FFB"/>
    <w:rsid w:val="00F06005"/>
    <w:rsid w:val="00F06025"/>
    <w:rsid w:val="00F06070"/>
    <w:rsid w:val="00F062ED"/>
    <w:rsid w:val="00F06389"/>
    <w:rsid w:val="00F064A5"/>
    <w:rsid w:val="00F06673"/>
    <w:rsid w:val="00F066FC"/>
    <w:rsid w:val="00F068E1"/>
    <w:rsid w:val="00F06CB2"/>
    <w:rsid w:val="00F06D5D"/>
    <w:rsid w:val="00F06FE4"/>
    <w:rsid w:val="00F07228"/>
    <w:rsid w:val="00F074B4"/>
    <w:rsid w:val="00F075CA"/>
    <w:rsid w:val="00F077AD"/>
    <w:rsid w:val="00F07A67"/>
    <w:rsid w:val="00F100C4"/>
    <w:rsid w:val="00F1040C"/>
    <w:rsid w:val="00F105AA"/>
    <w:rsid w:val="00F105F0"/>
    <w:rsid w:val="00F106D3"/>
    <w:rsid w:val="00F10746"/>
    <w:rsid w:val="00F1086E"/>
    <w:rsid w:val="00F108B6"/>
    <w:rsid w:val="00F1095B"/>
    <w:rsid w:val="00F10A0D"/>
    <w:rsid w:val="00F10A9D"/>
    <w:rsid w:val="00F10CB8"/>
    <w:rsid w:val="00F1103E"/>
    <w:rsid w:val="00F11292"/>
    <w:rsid w:val="00F112E4"/>
    <w:rsid w:val="00F114C6"/>
    <w:rsid w:val="00F11552"/>
    <w:rsid w:val="00F11622"/>
    <w:rsid w:val="00F117C3"/>
    <w:rsid w:val="00F11A0C"/>
    <w:rsid w:val="00F11A27"/>
    <w:rsid w:val="00F11D22"/>
    <w:rsid w:val="00F11E5F"/>
    <w:rsid w:val="00F11F45"/>
    <w:rsid w:val="00F12090"/>
    <w:rsid w:val="00F120ED"/>
    <w:rsid w:val="00F120F1"/>
    <w:rsid w:val="00F120F9"/>
    <w:rsid w:val="00F12139"/>
    <w:rsid w:val="00F1219B"/>
    <w:rsid w:val="00F123A9"/>
    <w:rsid w:val="00F1247C"/>
    <w:rsid w:val="00F124F1"/>
    <w:rsid w:val="00F12535"/>
    <w:rsid w:val="00F12686"/>
    <w:rsid w:val="00F12A47"/>
    <w:rsid w:val="00F12B75"/>
    <w:rsid w:val="00F12E75"/>
    <w:rsid w:val="00F13072"/>
    <w:rsid w:val="00F130BA"/>
    <w:rsid w:val="00F130CE"/>
    <w:rsid w:val="00F13254"/>
    <w:rsid w:val="00F13339"/>
    <w:rsid w:val="00F1383D"/>
    <w:rsid w:val="00F138D9"/>
    <w:rsid w:val="00F139EF"/>
    <w:rsid w:val="00F13A99"/>
    <w:rsid w:val="00F13AAA"/>
    <w:rsid w:val="00F13CBB"/>
    <w:rsid w:val="00F13D12"/>
    <w:rsid w:val="00F13D41"/>
    <w:rsid w:val="00F13F93"/>
    <w:rsid w:val="00F13FFB"/>
    <w:rsid w:val="00F14169"/>
    <w:rsid w:val="00F1416A"/>
    <w:rsid w:val="00F143DA"/>
    <w:rsid w:val="00F144A5"/>
    <w:rsid w:val="00F147FA"/>
    <w:rsid w:val="00F14846"/>
    <w:rsid w:val="00F148C3"/>
    <w:rsid w:val="00F149BA"/>
    <w:rsid w:val="00F14B53"/>
    <w:rsid w:val="00F14E51"/>
    <w:rsid w:val="00F15138"/>
    <w:rsid w:val="00F15222"/>
    <w:rsid w:val="00F1554D"/>
    <w:rsid w:val="00F156C0"/>
    <w:rsid w:val="00F15765"/>
    <w:rsid w:val="00F15A8A"/>
    <w:rsid w:val="00F15B8A"/>
    <w:rsid w:val="00F15C60"/>
    <w:rsid w:val="00F15C73"/>
    <w:rsid w:val="00F15DC3"/>
    <w:rsid w:val="00F15E14"/>
    <w:rsid w:val="00F15EBE"/>
    <w:rsid w:val="00F15F74"/>
    <w:rsid w:val="00F160F8"/>
    <w:rsid w:val="00F16148"/>
    <w:rsid w:val="00F1620E"/>
    <w:rsid w:val="00F16214"/>
    <w:rsid w:val="00F16306"/>
    <w:rsid w:val="00F16435"/>
    <w:rsid w:val="00F1647F"/>
    <w:rsid w:val="00F1653A"/>
    <w:rsid w:val="00F166AC"/>
    <w:rsid w:val="00F167AC"/>
    <w:rsid w:val="00F167E9"/>
    <w:rsid w:val="00F1688D"/>
    <w:rsid w:val="00F169BF"/>
    <w:rsid w:val="00F16A29"/>
    <w:rsid w:val="00F16AC5"/>
    <w:rsid w:val="00F16CD3"/>
    <w:rsid w:val="00F16E25"/>
    <w:rsid w:val="00F16F82"/>
    <w:rsid w:val="00F17284"/>
    <w:rsid w:val="00F173E4"/>
    <w:rsid w:val="00F177CA"/>
    <w:rsid w:val="00F179AF"/>
    <w:rsid w:val="00F179B3"/>
    <w:rsid w:val="00F17A87"/>
    <w:rsid w:val="00F17B15"/>
    <w:rsid w:val="00F17C67"/>
    <w:rsid w:val="00F17CCC"/>
    <w:rsid w:val="00F17D75"/>
    <w:rsid w:val="00F20083"/>
    <w:rsid w:val="00F200A4"/>
    <w:rsid w:val="00F200C3"/>
    <w:rsid w:val="00F2011B"/>
    <w:rsid w:val="00F2038C"/>
    <w:rsid w:val="00F2091D"/>
    <w:rsid w:val="00F2096B"/>
    <w:rsid w:val="00F20BE5"/>
    <w:rsid w:val="00F20C79"/>
    <w:rsid w:val="00F20D26"/>
    <w:rsid w:val="00F20D2E"/>
    <w:rsid w:val="00F20D8E"/>
    <w:rsid w:val="00F20E1B"/>
    <w:rsid w:val="00F20E57"/>
    <w:rsid w:val="00F20EBA"/>
    <w:rsid w:val="00F20F65"/>
    <w:rsid w:val="00F20FC8"/>
    <w:rsid w:val="00F211B7"/>
    <w:rsid w:val="00F2143E"/>
    <w:rsid w:val="00F214BF"/>
    <w:rsid w:val="00F216D5"/>
    <w:rsid w:val="00F21856"/>
    <w:rsid w:val="00F218BA"/>
    <w:rsid w:val="00F21A79"/>
    <w:rsid w:val="00F21BEF"/>
    <w:rsid w:val="00F21C3A"/>
    <w:rsid w:val="00F21CE1"/>
    <w:rsid w:val="00F21DD9"/>
    <w:rsid w:val="00F21F70"/>
    <w:rsid w:val="00F2221D"/>
    <w:rsid w:val="00F22238"/>
    <w:rsid w:val="00F227BF"/>
    <w:rsid w:val="00F227D0"/>
    <w:rsid w:val="00F2283F"/>
    <w:rsid w:val="00F228BA"/>
    <w:rsid w:val="00F2294F"/>
    <w:rsid w:val="00F22C2F"/>
    <w:rsid w:val="00F22D78"/>
    <w:rsid w:val="00F22DE8"/>
    <w:rsid w:val="00F23023"/>
    <w:rsid w:val="00F2312B"/>
    <w:rsid w:val="00F233A2"/>
    <w:rsid w:val="00F23669"/>
    <w:rsid w:val="00F23773"/>
    <w:rsid w:val="00F23935"/>
    <w:rsid w:val="00F239CF"/>
    <w:rsid w:val="00F23B00"/>
    <w:rsid w:val="00F23DB3"/>
    <w:rsid w:val="00F2437A"/>
    <w:rsid w:val="00F2437D"/>
    <w:rsid w:val="00F244B8"/>
    <w:rsid w:val="00F24698"/>
    <w:rsid w:val="00F2474A"/>
    <w:rsid w:val="00F24851"/>
    <w:rsid w:val="00F24932"/>
    <w:rsid w:val="00F2497E"/>
    <w:rsid w:val="00F249AB"/>
    <w:rsid w:val="00F24BCE"/>
    <w:rsid w:val="00F24D9A"/>
    <w:rsid w:val="00F24E2D"/>
    <w:rsid w:val="00F24FFB"/>
    <w:rsid w:val="00F25053"/>
    <w:rsid w:val="00F250C4"/>
    <w:rsid w:val="00F251A6"/>
    <w:rsid w:val="00F251E0"/>
    <w:rsid w:val="00F2556C"/>
    <w:rsid w:val="00F25582"/>
    <w:rsid w:val="00F25725"/>
    <w:rsid w:val="00F25AB1"/>
    <w:rsid w:val="00F25BEE"/>
    <w:rsid w:val="00F25BFA"/>
    <w:rsid w:val="00F25C10"/>
    <w:rsid w:val="00F25D54"/>
    <w:rsid w:val="00F25EC9"/>
    <w:rsid w:val="00F263B8"/>
    <w:rsid w:val="00F264C0"/>
    <w:rsid w:val="00F266FD"/>
    <w:rsid w:val="00F2677F"/>
    <w:rsid w:val="00F26797"/>
    <w:rsid w:val="00F267F4"/>
    <w:rsid w:val="00F26921"/>
    <w:rsid w:val="00F269DB"/>
    <w:rsid w:val="00F26ABF"/>
    <w:rsid w:val="00F26C90"/>
    <w:rsid w:val="00F26FA4"/>
    <w:rsid w:val="00F26FC7"/>
    <w:rsid w:val="00F270D2"/>
    <w:rsid w:val="00F27254"/>
    <w:rsid w:val="00F273F4"/>
    <w:rsid w:val="00F27417"/>
    <w:rsid w:val="00F2743D"/>
    <w:rsid w:val="00F2749E"/>
    <w:rsid w:val="00F274C8"/>
    <w:rsid w:val="00F276BB"/>
    <w:rsid w:val="00F2794C"/>
    <w:rsid w:val="00F27A98"/>
    <w:rsid w:val="00F27ABD"/>
    <w:rsid w:val="00F27CE1"/>
    <w:rsid w:val="00F27DCB"/>
    <w:rsid w:val="00F30028"/>
    <w:rsid w:val="00F301B0"/>
    <w:rsid w:val="00F30263"/>
    <w:rsid w:val="00F302B4"/>
    <w:rsid w:val="00F303DC"/>
    <w:rsid w:val="00F3049C"/>
    <w:rsid w:val="00F30574"/>
    <w:rsid w:val="00F30592"/>
    <w:rsid w:val="00F30670"/>
    <w:rsid w:val="00F306A8"/>
    <w:rsid w:val="00F30739"/>
    <w:rsid w:val="00F30744"/>
    <w:rsid w:val="00F307DD"/>
    <w:rsid w:val="00F30B04"/>
    <w:rsid w:val="00F30B8A"/>
    <w:rsid w:val="00F30BB1"/>
    <w:rsid w:val="00F30CDA"/>
    <w:rsid w:val="00F30DC3"/>
    <w:rsid w:val="00F31225"/>
    <w:rsid w:val="00F31333"/>
    <w:rsid w:val="00F314FE"/>
    <w:rsid w:val="00F31704"/>
    <w:rsid w:val="00F31892"/>
    <w:rsid w:val="00F31CA4"/>
    <w:rsid w:val="00F31D16"/>
    <w:rsid w:val="00F31D8A"/>
    <w:rsid w:val="00F31EB1"/>
    <w:rsid w:val="00F31FA2"/>
    <w:rsid w:val="00F322E9"/>
    <w:rsid w:val="00F32306"/>
    <w:rsid w:val="00F3230E"/>
    <w:rsid w:val="00F32360"/>
    <w:rsid w:val="00F3260B"/>
    <w:rsid w:val="00F32711"/>
    <w:rsid w:val="00F32804"/>
    <w:rsid w:val="00F32860"/>
    <w:rsid w:val="00F3292A"/>
    <w:rsid w:val="00F32B11"/>
    <w:rsid w:val="00F32C18"/>
    <w:rsid w:val="00F32C6F"/>
    <w:rsid w:val="00F330EB"/>
    <w:rsid w:val="00F33180"/>
    <w:rsid w:val="00F331CD"/>
    <w:rsid w:val="00F3322C"/>
    <w:rsid w:val="00F33292"/>
    <w:rsid w:val="00F333BC"/>
    <w:rsid w:val="00F333FB"/>
    <w:rsid w:val="00F3397E"/>
    <w:rsid w:val="00F33BEF"/>
    <w:rsid w:val="00F33EE1"/>
    <w:rsid w:val="00F340BC"/>
    <w:rsid w:val="00F340E1"/>
    <w:rsid w:val="00F34217"/>
    <w:rsid w:val="00F342D0"/>
    <w:rsid w:val="00F343CC"/>
    <w:rsid w:val="00F343CE"/>
    <w:rsid w:val="00F34622"/>
    <w:rsid w:val="00F347A8"/>
    <w:rsid w:val="00F3489D"/>
    <w:rsid w:val="00F348AD"/>
    <w:rsid w:val="00F34A72"/>
    <w:rsid w:val="00F34B6C"/>
    <w:rsid w:val="00F34BC7"/>
    <w:rsid w:val="00F34CBA"/>
    <w:rsid w:val="00F34CFD"/>
    <w:rsid w:val="00F34D60"/>
    <w:rsid w:val="00F34DA1"/>
    <w:rsid w:val="00F34F53"/>
    <w:rsid w:val="00F34F5E"/>
    <w:rsid w:val="00F34FC7"/>
    <w:rsid w:val="00F3555B"/>
    <w:rsid w:val="00F35AC1"/>
    <w:rsid w:val="00F35ACA"/>
    <w:rsid w:val="00F35B81"/>
    <w:rsid w:val="00F35BD6"/>
    <w:rsid w:val="00F35C22"/>
    <w:rsid w:val="00F35D26"/>
    <w:rsid w:val="00F35D33"/>
    <w:rsid w:val="00F35D73"/>
    <w:rsid w:val="00F35DE4"/>
    <w:rsid w:val="00F36048"/>
    <w:rsid w:val="00F3605C"/>
    <w:rsid w:val="00F36082"/>
    <w:rsid w:val="00F361E1"/>
    <w:rsid w:val="00F362B4"/>
    <w:rsid w:val="00F363D6"/>
    <w:rsid w:val="00F3664D"/>
    <w:rsid w:val="00F3668B"/>
    <w:rsid w:val="00F3684D"/>
    <w:rsid w:val="00F36986"/>
    <w:rsid w:val="00F369B8"/>
    <w:rsid w:val="00F36B92"/>
    <w:rsid w:val="00F36BCF"/>
    <w:rsid w:val="00F36C76"/>
    <w:rsid w:val="00F36C7D"/>
    <w:rsid w:val="00F36E81"/>
    <w:rsid w:val="00F36ED6"/>
    <w:rsid w:val="00F36F08"/>
    <w:rsid w:val="00F36F90"/>
    <w:rsid w:val="00F36FAE"/>
    <w:rsid w:val="00F37312"/>
    <w:rsid w:val="00F373E3"/>
    <w:rsid w:val="00F3746B"/>
    <w:rsid w:val="00F37479"/>
    <w:rsid w:val="00F37675"/>
    <w:rsid w:val="00F37808"/>
    <w:rsid w:val="00F37915"/>
    <w:rsid w:val="00F37A70"/>
    <w:rsid w:val="00F37BA2"/>
    <w:rsid w:val="00F37BCB"/>
    <w:rsid w:val="00F37D68"/>
    <w:rsid w:val="00F37E9B"/>
    <w:rsid w:val="00F4001A"/>
    <w:rsid w:val="00F4005F"/>
    <w:rsid w:val="00F40191"/>
    <w:rsid w:val="00F4022D"/>
    <w:rsid w:val="00F40269"/>
    <w:rsid w:val="00F40417"/>
    <w:rsid w:val="00F40471"/>
    <w:rsid w:val="00F40519"/>
    <w:rsid w:val="00F40621"/>
    <w:rsid w:val="00F40629"/>
    <w:rsid w:val="00F40849"/>
    <w:rsid w:val="00F40A89"/>
    <w:rsid w:val="00F40CA4"/>
    <w:rsid w:val="00F40DE1"/>
    <w:rsid w:val="00F40F8D"/>
    <w:rsid w:val="00F414FF"/>
    <w:rsid w:val="00F416BF"/>
    <w:rsid w:val="00F41712"/>
    <w:rsid w:val="00F41881"/>
    <w:rsid w:val="00F41FF2"/>
    <w:rsid w:val="00F422A1"/>
    <w:rsid w:val="00F422F3"/>
    <w:rsid w:val="00F42348"/>
    <w:rsid w:val="00F4257F"/>
    <w:rsid w:val="00F426FD"/>
    <w:rsid w:val="00F428C2"/>
    <w:rsid w:val="00F4291D"/>
    <w:rsid w:val="00F42BA2"/>
    <w:rsid w:val="00F42D65"/>
    <w:rsid w:val="00F42DCC"/>
    <w:rsid w:val="00F43236"/>
    <w:rsid w:val="00F432E4"/>
    <w:rsid w:val="00F4332C"/>
    <w:rsid w:val="00F433FE"/>
    <w:rsid w:val="00F43858"/>
    <w:rsid w:val="00F43923"/>
    <w:rsid w:val="00F43A0B"/>
    <w:rsid w:val="00F43B0D"/>
    <w:rsid w:val="00F43E6F"/>
    <w:rsid w:val="00F43E7D"/>
    <w:rsid w:val="00F441B2"/>
    <w:rsid w:val="00F442B8"/>
    <w:rsid w:val="00F4438A"/>
    <w:rsid w:val="00F44519"/>
    <w:rsid w:val="00F4469D"/>
    <w:rsid w:val="00F44728"/>
    <w:rsid w:val="00F4492B"/>
    <w:rsid w:val="00F44A74"/>
    <w:rsid w:val="00F44DCD"/>
    <w:rsid w:val="00F44F59"/>
    <w:rsid w:val="00F45064"/>
    <w:rsid w:val="00F4509A"/>
    <w:rsid w:val="00F45180"/>
    <w:rsid w:val="00F451A3"/>
    <w:rsid w:val="00F4527D"/>
    <w:rsid w:val="00F45438"/>
    <w:rsid w:val="00F454C4"/>
    <w:rsid w:val="00F45836"/>
    <w:rsid w:val="00F45868"/>
    <w:rsid w:val="00F45B1F"/>
    <w:rsid w:val="00F45B20"/>
    <w:rsid w:val="00F45B80"/>
    <w:rsid w:val="00F45BEA"/>
    <w:rsid w:val="00F461DE"/>
    <w:rsid w:val="00F46534"/>
    <w:rsid w:val="00F466CC"/>
    <w:rsid w:val="00F46924"/>
    <w:rsid w:val="00F46989"/>
    <w:rsid w:val="00F46A76"/>
    <w:rsid w:val="00F46A7D"/>
    <w:rsid w:val="00F46A9E"/>
    <w:rsid w:val="00F46AB8"/>
    <w:rsid w:val="00F46B22"/>
    <w:rsid w:val="00F46E15"/>
    <w:rsid w:val="00F46E2A"/>
    <w:rsid w:val="00F46EDD"/>
    <w:rsid w:val="00F46FCA"/>
    <w:rsid w:val="00F47084"/>
    <w:rsid w:val="00F47210"/>
    <w:rsid w:val="00F472BD"/>
    <w:rsid w:val="00F473E0"/>
    <w:rsid w:val="00F474D2"/>
    <w:rsid w:val="00F475E0"/>
    <w:rsid w:val="00F4763A"/>
    <w:rsid w:val="00F4765E"/>
    <w:rsid w:val="00F477B0"/>
    <w:rsid w:val="00F477FD"/>
    <w:rsid w:val="00F4782E"/>
    <w:rsid w:val="00F4794A"/>
    <w:rsid w:val="00F47D5F"/>
    <w:rsid w:val="00F47DE9"/>
    <w:rsid w:val="00F47E2E"/>
    <w:rsid w:val="00F502AC"/>
    <w:rsid w:val="00F50340"/>
    <w:rsid w:val="00F50363"/>
    <w:rsid w:val="00F50414"/>
    <w:rsid w:val="00F50757"/>
    <w:rsid w:val="00F50CD4"/>
    <w:rsid w:val="00F50FA8"/>
    <w:rsid w:val="00F510C4"/>
    <w:rsid w:val="00F5113F"/>
    <w:rsid w:val="00F5127C"/>
    <w:rsid w:val="00F51629"/>
    <w:rsid w:val="00F51737"/>
    <w:rsid w:val="00F51A7A"/>
    <w:rsid w:val="00F51BB7"/>
    <w:rsid w:val="00F51F2F"/>
    <w:rsid w:val="00F52055"/>
    <w:rsid w:val="00F52203"/>
    <w:rsid w:val="00F52635"/>
    <w:rsid w:val="00F5263B"/>
    <w:rsid w:val="00F5265F"/>
    <w:rsid w:val="00F52741"/>
    <w:rsid w:val="00F527B8"/>
    <w:rsid w:val="00F52979"/>
    <w:rsid w:val="00F52990"/>
    <w:rsid w:val="00F52BAE"/>
    <w:rsid w:val="00F52C65"/>
    <w:rsid w:val="00F52CB4"/>
    <w:rsid w:val="00F52D67"/>
    <w:rsid w:val="00F52DFE"/>
    <w:rsid w:val="00F52F26"/>
    <w:rsid w:val="00F52FD8"/>
    <w:rsid w:val="00F530AA"/>
    <w:rsid w:val="00F53180"/>
    <w:rsid w:val="00F531CB"/>
    <w:rsid w:val="00F532FD"/>
    <w:rsid w:val="00F53394"/>
    <w:rsid w:val="00F5351E"/>
    <w:rsid w:val="00F53571"/>
    <w:rsid w:val="00F5357C"/>
    <w:rsid w:val="00F53608"/>
    <w:rsid w:val="00F53780"/>
    <w:rsid w:val="00F53899"/>
    <w:rsid w:val="00F53A4F"/>
    <w:rsid w:val="00F53BA7"/>
    <w:rsid w:val="00F53C3C"/>
    <w:rsid w:val="00F53D43"/>
    <w:rsid w:val="00F53DFE"/>
    <w:rsid w:val="00F53FC6"/>
    <w:rsid w:val="00F54003"/>
    <w:rsid w:val="00F54395"/>
    <w:rsid w:val="00F544D2"/>
    <w:rsid w:val="00F546EF"/>
    <w:rsid w:val="00F54768"/>
    <w:rsid w:val="00F549E9"/>
    <w:rsid w:val="00F54A16"/>
    <w:rsid w:val="00F54A1C"/>
    <w:rsid w:val="00F54AF2"/>
    <w:rsid w:val="00F54B86"/>
    <w:rsid w:val="00F54E05"/>
    <w:rsid w:val="00F5552A"/>
    <w:rsid w:val="00F55537"/>
    <w:rsid w:val="00F55947"/>
    <w:rsid w:val="00F55ACF"/>
    <w:rsid w:val="00F55C25"/>
    <w:rsid w:val="00F55CBE"/>
    <w:rsid w:val="00F55CC8"/>
    <w:rsid w:val="00F55D4B"/>
    <w:rsid w:val="00F55DDE"/>
    <w:rsid w:val="00F55E97"/>
    <w:rsid w:val="00F55FA0"/>
    <w:rsid w:val="00F56092"/>
    <w:rsid w:val="00F5611E"/>
    <w:rsid w:val="00F561CB"/>
    <w:rsid w:val="00F562F2"/>
    <w:rsid w:val="00F56354"/>
    <w:rsid w:val="00F56413"/>
    <w:rsid w:val="00F5642E"/>
    <w:rsid w:val="00F566C9"/>
    <w:rsid w:val="00F566D1"/>
    <w:rsid w:val="00F5671F"/>
    <w:rsid w:val="00F56A65"/>
    <w:rsid w:val="00F56D01"/>
    <w:rsid w:val="00F56E0E"/>
    <w:rsid w:val="00F56E30"/>
    <w:rsid w:val="00F56E46"/>
    <w:rsid w:val="00F56FBB"/>
    <w:rsid w:val="00F57293"/>
    <w:rsid w:val="00F57323"/>
    <w:rsid w:val="00F57337"/>
    <w:rsid w:val="00F574CA"/>
    <w:rsid w:val="00F576A9"/>
    <w:rsid w:val="00F576C2"/>
    <w:rsid w:val="00F57706"/>
    <w:rsid w:val="00F577DA"/>
    <w:rsid w:val="00F5791F"/>
    <w:rsid w:val="00F5798E"/>
    <w:rsid w:val="00F57990"/>
    <w:rsid w:val="00F579D7"/>
    <w:rsid w:val="00F57B60"/>
    <w:rsid w:val="00F57CB1"/>
    <w:rsid w:val="00F57CDA"/>
    <w:rsid w:val="00F57D38"/>
    <w:rsid w:val="00F57E9E"/>
    <w:rsid w:val="00F57F63"/>
    <w:rsid w:val="00F57F93"/>
    <w:rsid w:val="00F60109"/>
    <w:rsid w:val="00F60130"/>
    <w:rsid w:val="00F60156"/>
    <w:rsid w:val="00F60367"/>
    <w:rsid w:val="00F6036C"/>
    <w:rsid w:val="00F60484"/>
    <w:rsid w:val="00F6097C"/>
    <w:rsid w:val="00F6099C"/>
    <w:rsid w:val="00F60A12"/>
    <w:rsid w:val="00F60A4D"/>
    <w:rsid w:val="00F60B34"/>
    <w:rsid w:val="00F60BC7"/>
    <w:rsid w:val="00F60BD3"/>
    <w:rsid w:val="00F60BDF"/>
    <w:rsid w:val="00F60BE6"/>
    <w:rsid w:val="00F61034"/>
    <w:rsid w:val="00F61329"/>
    <w:rsid w:val="00F61360"/>
    <w:rsid w:val="00F61397"/>
    <w:rsid w:val="00F61452"/>
    <w:rsid w:val="00F61468"/>
    <w:rsid w:val="00F6164D"/>
    <w:rsid w:val="00F618A0"/>
    <w:rsid w:val="00F61A52"/>
    <w:rsid w:val="00F61A7E"/>
    <w:rsid w:val="00F61B47"/>
    <w:rsid w:val="00F61D2C"/>
    <w:rsid w:val="00F61DFE"/>
    <w:rsid w:val="00F61EC5"/>
    <w:rsid w:val="00F61ED6"/>
    <w:rsid w:val="00F61FA6"/>
    <w:rsid w:val="00F61FF6"/>
    <w:rsid w:val="00F6200F"/>
    <w:rsid w:val="00F62137"/>
    <w:rsid w:val="00F62246"/>
    <w:rsid w:val="00F622C2"/>
    <w:rsid w:val="00F623DC"/>
    <w:rsid w:val="00F62480"/>
    <w:rsid w:val="00F62679"/>
    <w:rsid w:val="00F6286B"/>
    <w:rsid w:val="00F62A71"/>
    <w:rsid w:val="00F62B58"/>
    <w:rsid w:val="00F62C03"/>
    <w:rsid w:val="00F62E83"/>
    <w:rsid w:val="00F62EBD"/>
    <w:rsid w:val="00F6300D"/>
    <w:rsid w:val="00F63126"/>
    <w:rsid w:val="00F63216"/>
    <w:rsid w:val="00F632F0"/>
    <w:rsid w:val="00F634FE"/>
    <w:rsid w:val="00F6356E"/>
    <w:rsid w:val="00F6389B"/>
    <w:rsid w:val="00F63907"/>
    <w:rsid w:val="00F63941"/>
    <w:rsid w:val="00F63CE5"/>
    <w:rsid w:val="00F63D59"/>
    <w:rsid w:val="00F63D77"/>
    <w:rsid w:val="00F63EA5"/>
    <w:rsid w:val="00F641FF"/>
    <w:rsid w:val="00F642B5"/>
    <w:rsid w:val="00F646F9"/>
    <w:rsid w:val="00F64720"/>
    <w:rsid w:val="00F64810"/>
    <w:rsid w:val="00F64C0C"/>
    <w:rsid w:val="00F64E3D"/>
    <w:rsid w:val="00F64E75"/>
    <w:rsid w:val="00F64EF6"/>
    <w:rsid w:val="00F64F44"/>
    <w:rsid w:val="00F6504C"/>
    <w:rsid w:val="00F650B7"/>
    <w:rsid w:val="00F65223"/>
    <w:rsid w:val="00F6528A"/>
    <w:rsid w:val="00F6535F"/>
    <w:rsid w:val="00F654C5"/>
    <w:rsid w:val="00F655E8"/>
    <w:rsid w:val="00F655FD"/>
    <w:rsid w:val="00F6570D"/>
    <w:rsid w:val="00F6586D"/>
    <w:rsid w:val="00F65A73"/>
    <w:rsid w:val="00F65A78"/>
    <w:rsid w:val="00F65CBB"/>
    <w:rsid w:val="00F65D40"/>
    <w:rsid w:val="00F65DFD"/>
    <w:rsid w:val="00F66044"/>
    <w:rsid w:val="00F66180"/>
    <w:rsid w:val="00F66508"/>
    <w:rsid w:val="00F66518"/>
    <w:rsid w:val="00F66640"/>
    <w:rsid w:val="00F66763"/>
    <w:rsid w:val="00F668A4"/>
    <w:rsid w:val="00F669D9"/>
    <w:rsid w:val="00F66B1F"/>
    <w:rsid w:val="00F66B42"/>
    <w:rsid w:val="00F66B5C"/>
    <w:rsid w:val="00F66E57"/>
    <w:rsid w:val="00F66E61"/>
    <w:rsid w:val="00F66F68"/>
    <w:rsid w:val="00F66F88"/>
    <w:rsid w:val="00F6700D"/>
    <w:rsid w:val="00F670EA"/>
    <w:rsid w:val="00F67227"/>
    <w:rsid w:val="00F673A8"/>
    <w:rsid w:val="00F6740C"/>
    <w:rsid w:val="00F674F1"/>
    <w:rsid w:val="00F67BD5"/>
    <w:rsid w:val="00F67BF1"/>
    <w:rsid w:val="00F67D56"/>
    <w:rsid w:val="00F70469"/>
    <w:rsid w:val="00F704C3"/>
    <w:rsid w:val="00F704F1"/>
    <w:rsid w:val="00F70503"/>
    <w:rsid w:val="00F70908"/>
    <w:rsid w:val="00F709DF"/>
    <w:rsid w:val="00F70AB5"/>
    <w:rsid w:val="00F710FC"/>
    <w:rsid w:val="00F71225"/>
    <w:rsid w:val="00F7143D"/>
    <w:rsid w:val="00F714EF"/>
    <w:rsid w:val="00F717B1"/>
    <w:rsid w:val="00F717DD"/>
    <w:rsid w:val="00F717EF"/>
    <w:rsid w:val="00F71976"/>
    <w:rsid w:val="00F71CF0"/>
    <w:rsid w:val="00F71DBA"/>
    <w:rsid w:val="00F71E9D"/>
    <w:rsid w:val="00F71FB7"/>
    <w:rsid w:val="00F7202C"/>
    <w:rsid w:val="00F72062"/>
    <w:rsid w:val="00F721F5"/>
    <w:rsid w:val="00F723BA"/>
    <w:rsid w:val="00F72AC1"/>
    <w:rsid w:val="00F72BB5"/>
    <w:rsid w:val="00F72C78"/>
    <w:rsid w:val="00F72D87"/>
    <w:rsid w:val="00F72D9E"/>
    <w:rsid w:val="00F72EAB"/>
    <w:rsid w:val="00F72FF7"/>
    <w:rsid w:val="00F73358"/>
    <w:rsid w:val="00F7341E"/>
    <w:rsid w:val="00F735E2"/>
    <w:rsid w:val="00F73857"/>
    <w:rsid w:val="00F739F0"/>
    <w:rsid w:val="00F739F3"/>
    <w:rsid w:val="00F73E36"/>
    <w:rsid w:val="00F73E87"/>
    <w:rsid w:val="00F74076"/>
    <w:rsid w:val="00F74093"/>
    <w:rsid w:val="00F74242"/>
    <w:rsid w:val="00F74410"/>
    <w:rsid w:val="00F74431"/>
    <w:rsid w:val="00F74528"/>
    <w:rsid w:val="00F74534"/>
    <w:rsid w:val="00F745A6"/>
    <w:rsid w:val="00F74841"/>
    <w:rsid w:val="00F7488D"/>
    <w:rsid w:val="00F748B2"/>
    <w:rsid w:val="00F74976"/>
    <w:rsid w:val="00F74999"/>
    <w:rsid w:val="00F74A0D"/>
    <w:rsid w:val="00F74BA7"/>
    <w:rsid w:val="00F74CC5"/>
    <w:rsid w:val="00F74D71"/>
    <w:rsid w:val="00F74D74"/>
    <w:rsid w:val="00F75002"/>
    <w:rsid w:val="00F7514E"/>
    <w:rsid w:val="00F75206"/>
    <w:rsid w:val="00F7538E"/>
    <w:rsid w:val="00F755E4"/>
    <w:rsid w:val="00F75682"/>
    <w:rsid w:val="00F75842"/>
    <w:rsid w:val="00F758D8"/>
    <w:rsid w:val="00F758E9"/>
    <w:rsid w:val="00F75C20"/>
    <w:rsid w:val="00F75D97"/>
    <w:rsid w:val="00F75F7B"/>
    <w:rsid w:val="00F75FA8"/>
    <w:rsid w:val="00F7605A"/>
    <w:rsid w:val="00F76133"/>
    <w:rsid w:val="00F7616F"/>
    <w:rsid w:val="00F76187"/>
    <w:rsid w:val="00F762DE"/>
    <w:rsid w:val="00F764F5"/>
    <w:rsid w:val="00F767C7"/>
    <w:rsid w:val="00F767E7"/>
    <w:rsid w:val="00F76967"/>
    <w:rsid w:val="00F76B2E"/>
    <w:rsid w:val="00F76C1A"/>
    <w:rsid w:val="00F76C5F"/>
    <w:rsid w:val="00F76CDE"/>
    <w:rsid w:val="00F76D3D"/>
    <w:rsid w:val="00F76E57"/>
    <w:rsid w:val="00F76EFD"/>
    <w:rsid w:val="00F771C3"/>
    <w:rsid w:val="00F771CD"/>
    <w:rsid w:val="00F7730F"/>
    <w:rsid w:val="00F776A8"/>
    <w:rsid w:val="00F776DF"/>
    <w:rsid w:val="00F77852"/>
    <w:rsid w:val="00F7791E"/>
    <w:rsid w:val="00F7797C"/>
    <w:rsid w:val="00F77B4F"/>
    <w:rsid w:val="00F77CA4"/>
    <w:rsid w:val="00F77D45"/>
    <w:rsid w:val="00F77F61"/>
    <w:rsid w:val="00F8003D"/>
    <w:rsid w:val="00F800A9"/>
    <w:rsid w:val="00F8011C"/>
    <w:rsid w:val="00F80171"/>
    <w:rsid w:val="00F80177"/>
    <w:rsid w:val="00F802C1"/>
    <w:rsid w:val="00F8046A"/>
    <w:rsid w:val="00F804D8"/>
    <w:rsid w:val="00F808C3"/>
    <w:rsid w:val="00F80B3F"/>
    <w:rsid w:val="00F80BA8"/>
    <w:rsid w:val="00F80C21"/>
    <w:rsid w:val="00F80C4B"/>
    <w:rsid w:val="00F80D5E"/>
    <w:rsid w:val="00F80E57"/>
    <w:rsid w:val="00F810E6"/>
    <w:rsid w:val="00F81120"/>
    <w:rsid w:val="00F811BF"/>
    <w:rsid w:val="00F815D2"/>
    <w:rsid w:val="00F818C1"/>
    <w:rsid w:val="00F81BA7"/>
    <w:rsid w:val="00F81D6F"/>
    <w:rsid w:val="00F81ECE"/>
    <w:rsid w:val="00F81FA1"/>
    <w:rsid w:val="00F81FB3"/>
    <w:rsid w:val="00F82005"/>
    <w:rsid w:val="00F82008"/>
    <w:rsid w:val="00F8203A"/>
    <w:rsid w:val="00F8203B"/>
    <w:rsid w:val="00F82162"/>
    <w:rsid w:val="00F82298"/>
    <w:rsid w:val="00F8247C"/>
    <w:rsid w:val="00F825A3"/>
    <w:rsid w:val="00F825A9"/>
    <w:rsid w:val="00F82818"/>
    <w:rsid w:val="00F8296D"/>
    <w:rsid w:val="00F82B04"/>
    <w:rsid w:val="00F82C46"/>
    <w:rsid w:val="00F82D4D"/>
    <w:rsid w:val="00F8301E"/>
    <w:rsid w:val="00F8321F"/>
    <w:rsid w:val="00F8323C"/>
    <w:rsid w:val="00F83455"/>
    <w:rsid w:val="00F835DF"/>
    <w:rsid w:val="00F83721"/>
    <w:rsid w:val="00F83AE0"/>
    <w:rsid w:val="00F83CBA"/>
    <w:rsid w:val="00F83D85"/>
    <w:rsid w:val="00F83D95"/>
    <w:rsid w:val="00F83EB4"/>
    <w:rsid w:val="00F84051"/>
    <w:rsid w:val="00F841B5"/>
    <w:rsid w:val="00F841FF"/>
    <w:rsid w:val="00F842D3"/>
    <w:rsid w:val="00F84513"/>
    <w:rsid w:val="00F84588"/>
    <w:rsid w:val="00F8486E"/>
    <w:rsid w:val="00F84984"/>
    <w:rsid w:val="00F849BC"/>
    <w:rsid w:val="00F84E68"/>
    <w:rsid w:val="00F8507B"/>
    <w:rsid w:val="00F85279"/>
    <w:rsid w:val="00F85590"/>
    <w:rsid w:val="00F85631"/>
    <w:rsid w:val="00F85697"/>
    <w:rsid w:val="00F856ED"/>
    <w:rsid w:val="00F85834"/>
    <w:rsid w:val="00F85AD4"/>
    <w:rsid w:val="00F85CB6"/>
    <w:rsid w:val="00F85F2D"/>
    <w:rsid w:val="00F85F83"/>
    <w:rsid w:val="00F8605E"/>
    <w:rsid w:val="00F860FC"/>
    <w:rsid w:val="00F866B0"/>
    <w:rsid w:val="00F866D4"/>
    <w:rsid w:val="00F866FE"/>
    <w:rsid w:val="00F868D2"/>
    <w:rsid w:val="00F868F2"/>
    <w:rsid w:val="00F8691D"/>
    <w:rsid w:val="00F86A86"/>
    <w:rsid w:val="00F86D79"/>
    <w:rsid w:val="00F8705F"/>
    <w:rsid w:val="00F87119"/>
    <w:rsid w:val="00F87138"/>
    <w:rsid w:val="00F87218"/>
    <w:rsid w:val="00F87231"/>
    <w:rsid w:val="00F8737E"/>
    <w:rsid w:val="00F87581"/>
    <w:rsid w:val="00F87618"/>
    <w:rsid w:val="00F876EF"/>
    <w:rsid w:val="00F87769"/>
    <w:rsid w:val="00F877C9"/>
    <w:rsid w:val="00F879D0"/>
    <w:rsid w:val="00F87B22"/>
    <w:rsid w:val="00F87C08"/>
    <w:rsid w:val="00F87C0C"/>
    <w:rsid w:val="00F87D1C"/>
    <w:rsid w:val="00F87DD4"/>
    <w:rsid w:val="00F87E8E"/>
    <w:rsid w:val="00F87FAD"/>
    <w:rsid w:val="00F900CE"/>
    <w:rsid w:val="00F9013C"/>
    <w:rsid w:val="00F90577"/>
    <w:rsid w:val="00F90767"/>
    <w:rsid w:val="00F90880"/>
    <w:rsid w:val="00F9092C"/>
    <w:rsid w:val="00F90B12"/>
    <w:rsid w:val="00F90C14"/>
    <w:rsid w:val="00F90C66"/>
    <w:rsid w:val="00F90C7C"/>
    <w:rsid w:val="00F90D85"/>
    <w:rsid w:val="00F90DED"/>
    <w:rsid w:val="00F90F32"/>
    <w:rsid w:val="00F90F63"/>
    <w:rsid w:val="00F913D4"/>
    <w:rsid w:val="00F91655"/>
    <w:rsid w:val="00F918EB"/>
    <w:rsid w:val="00F919A1"/>
    <w:rsid w:val="00F91BDF"/>
    <w:rsid w:val="00F91C1F"/>
    <w:rsid w:val="00F91C83"/>
    <w:rsid w:val="00F91DFE"/>
    <w:rsid w:val="00F91F18"/>
    <w:rsid w:val="00F9212D"/>
    <w:rsid w:val="00F92149"/>
    <w:rsid w:val="00F923E0"/>
    <w:rsid w:val="00F9255D"/>
    <w:rsid w:val="00F9260C"/>
    <w:rsid w:val="00F9283C"/>
    <w:rsid w:val="00F9285F"/>
    <w:rsid w:val="00F9291D"/>
    <w:rsid w:val="00F929EA"/>
    <w:rsid w:val="00F92A9B"/>
    <w:rsid w:val="00F92B87"/>
    <w:rsid w:val="00F92C0E"/>
    <w:rsid w:val="00F92C1D"/>
    <w:rsid w:val="00F92E0A"/>
    <w:rsid w:val="00F92E25"/>
    <w:rsid w:val="00F92E5D"/>
    <w:rsid w:val="00F9300E"/>
    <w:rsid w:val="00F93110"/>
    <w:rsid w:val="00F936F5"/>
    <w:rsid w:val="00F938E1"/>
    <w:rsid w:val="00F93903"/>
    <w:rsid w:val="00F93B77"/>
    <w:rsid w:val="00F93D71"/>
    <w:rsid w:val="00F94006"/>
    <w:rsid w:val="00F9416A"/>
    <w:rsid w:val="00F94358"/>
    <w:rsid w:val="00F943AF"/>
    <w:rsid w:val="00F945E2"/>
    <w:rsid w:val="00F945FE"/>
    <w:rsid w:val="00F9464E"/>
    <w:rsid w:val="00F9488C"/>
    <w:rsid w:val="00F948CB"/>
    <w:rsid w:val="00F94AA1"/>
    <w:rsid w:val="00F94B12"/>
    <w:rsid w:val="00F94B70"/>
    <w:rsid w:val="00F94B7B"/>
    <w:rsid w:val="00F9516A"/>
    <w:rsid w:val="00F95278"/>
    <w:rsid w:val="00F953AB"/>
    <w:rsid w:val="00F9582D"/>
    <w:rsid w:val="00F9592E"/>
    <w:rsid w:val="00F95B41"/>
    <w:rsid w:val="00F95B9E"/>
    <w:rsid w:val="00F95BDD"/>
    <w:rsid w:val="00F9631F"/>
    <w:rsid w:val="00F96393"/>
    <w:rsid w:val="00F963EE"/>
    <w:rsid w:val="00F9648A"/>
    <w:rsid w:val="00F96730"/>
    <w:rsid w:val="00F96743"/>
    <w:rsid w:val="00F967A7"/>
    <w:rsid w:val="00F969EF"/>
    <w:rsid w:val="00F96CE7"/>
    <w:rsid w:val="00F96D29"/>
    <w:rsid w:val="00F96D39"/>
    <w:rsid w:val="00F96D90"/>
    <w:rsid w:val="00F96F06"/>
    <w:rsid w:val="00F96F35"/>
    <w:rsid w:val="00F9733B"/>
    <w:rsid w:val="00F97554"/>
    <w:rsid w:val="00F978A0"/>
    <w:rsid w:val="00F97901"/>
    <w:rsid w:val="00F97A5E"/>
    <w:rsid w:val="00F97B47"/>
    <w:rsid w:val="00F97BCE"/>
    <w:rsid w:val="00F97E52"/>
    <w:rsid w:val="00FA00BB"/>
    <w:rsid w:val="00FA00FE"/>
    <w:rsid w:val="00FA01E0"/>
    <w:rsid w:val="00FA0262"/>
    <w:rsid w:val="00FA095F"/>
    <w:rsid w:val="00FA0B46"/>
    <w:rsid w:val="00FA0B6D"/>
    <w:rsid w:val="00FA0BEA"/>
    <w:rsid w:val="00FA0CA2"/>
    <w:rsid w:val="00FA0CBB"/>
    <w:rsid w:val="00FA0D62"/>
    <w:rsid w:val="00FA0EBD"/>
    <w:rsid w:val="00FA0F01"/>
    <w:rsid w:val="00FA0F02"/>
    <w:rsid w:val="00FA0F95"/>
    <w:rsid w:val="00FA1065"/>
    <w:rsid w:val="00FA10AE"/>
    <w:rsid w:val="00FA11B9"/>
    <w:rsid w:val="00FA12C1"/>
    <w:rsid w:val="00FA185D"/>
    <w:rsid w:val="00FA18DF"/>
    <w:rsid w:val="00FA1A4D"/>
    <w:rsid w:val="00FA1ACB"/>
    <w:rsid w:val="00FA1BC0"/>
    <w:rsid w:val="00FA1CA4"/>
    <w:rsid w:val="00FA1D70"/>
    <w:rsid w:val="00FA1EBD"/>
    <w:rsid w:val="00FA1F83"/>
    <w:rsid w:val="00FA23BC"/>
    <w:rsid w:val="00FA2409"/>
    <w:rsid w:val="00FA243F"/>
    <w:rsid w:val="00FA2561"/>
    <w:rsid w:val="00FA258C"/>
    <w:rsid w:val="00FA2735"/>
    <w:rsid w:val="00FA2BD4"/>
    <w:rsid w:val="00FA2D70"/>
    <w:rsid w:val="00FA2DE0"/>
    <w:rsid w:val="00FA2E52"/>
    <w:rsid w:val="00FA2E76"/>
    <w:rsid w:val="00FA2F01"/>
    <w:rsid w:val="00FA30FB"/>
    <w:rsid w:val="00FA3131"/>
    <w:rsid w:val="00FA31EA"/>
    <w:rsid w:val="00FA3226"/>
    <w:rsid w:val="00FA32BA"/>
    <w:rsid w:val="00FA3314"/>
    <w:rsid w:val="00FA3375"/>
    <w:rsid w:val="00FA3510"/>
    <w:rsid w:val="00FA35AB"/>
    <w:rsid w:val="00FA35BD"/>
    <w:rsid w:val="00FA370F"/>
    <w:rsid w:val="00FA371A"/>
    <w:rsid w:val="00FA3954"/>
    <w:rsid w:val="00FA3988"/>
    <w:rsid w:val="00FA398F"/>
    <w:rsid w:val="00FA3B43"/>
    <w:rsid w:val="00FA3B6C"/>
    <w:rsid w:val="00FA3BC7"/>
    <w:rsid w:val="00FA3C0F"/>
    <w:rsid w:val="00FA3D09"/>
    <w:rsid w:val="00FA3DD0"/>
    <w:rsid w:val="00FA3FC9"/>
    <w:rsid w:val="00FA40B8"/>
    <w:rsid w:val="00FA411B"/>
    <w:rsid w:val="00FA42B5"/>
    <w:rsid w:val="00FA42B7"/>
    <w:rsid w:val="00FA430B"/>
    <w:rsid w:val="00FA43B7"/>
    <w:rsid w:val="00FA447C"/>
    <w:rsid w:val="00FA44BB"/>
    <w:rsid w:val="00FA44EA"/>
    <w:rsid w:val="00FA450C"/>
    <w:rsid w:val="00FA45DA"/>
    <w:rsid w:val="00FA46A3"/>
    <w:rsid w:val="00FA48ED"/>
    <w:rsid w:val="00FA4903"/>
    <w:rsid w:val="00FA495C"/>
    <w:rsid w:val="00FA4A91"/>
    <w:rsid w:val="00FA4B2B"/>
    <w:rsid w:val="00FA4B3C"/>
    <w:rsid w:val="00FA4F7D"/>
    <w:rsid w:val="00FA4F92"/>
    <w:rsid w:val="00FA546B"/>
    <w:rsid w:val="00FA561E"/>
    <w:rsid w:val="00FA5789"/>
    <w:rsid w:val="00FA5831"/>
    <w:rsid w:val="00FA59B0"/>
    <w:rsid w:val="00FA5A03"/>
    <w:rsid w:val="00FA6001"/>
    <w:rsid w:val="00FA6481"/>
    <w:rsid w:val="00FA6559"/>
    <w:rsid w:val="00FA65A2"/>
    <w:rsid w:val="00FA6759"/>
    <w:rsid w:val="00FA67A9"/>
    <w:rsid w:val="00FA69DA"/>
    <w:rsid w:val="00FA6ADB"/>
    <w:rsid w:val="00FA6C4D"/>
    <w:rsid w:val="00FA6DFD"/>
    <w:rsid w:val="00FA7412"/>
    <w:rsid w:val="00FA750F"/>
    <w:rsid w:val="00FA760D"/>
    <w:rsid w:val="00FA7618"/>
    <w:rsid w:val="00FA76D7"/>
    <w:rsid w:val="00FA7718"/>
    <w:rsid w:val="00FA7AC5"/>
    <w:rsid w:val="00FA7C5D"/>
    <w:rsid w:val="00FB02D7"/>
    <w:rsid w:val="00FB02FF"/>
    <w:rsid w:val="00FB03B5"/>
    <w:rsid w:val="00FB0504"/>
    <w:rsid w:val="00FB07C6"/>
    <w:rsid w:val="00FB0852"/>
    <w:rsid w:val="00FB09C4"/>
    <w:rsid w:val="00FB0C4C"/>
    <w:rsid w:val="00FB0CB6"/>
    <w:rsid w:val="00FB0E14"/>
    <w:rsid w:val="00FB0E15"/>
    <w:rsid w:val="00FB0E7A"/>
    <w:rsid w:val="00FB1073"/>
    <w:rsid w:val="00FB137F"/>
    <w:rsid w:val="00FB14F6"/>
    <w:rsid w:val="00FB15A4"/>
    <w:rsid w:val="00FB15AB"/>
    <w:rsid w:val="00FB16C7"/>
    <w:rsid w:val="00FB1809"/>
    <w:rsid w:val="00FB1A09"/>
    <w:rsid w:val="00FB1A91"/>
    <w:rsid w:val="00FB1B5A"/>
    <w:rsid w:val="00FB1E07"/>
    <w:rsid w:val="00FB1EF9"/>
    <w:rsid w:val="00FB20A3"/>
    <w:rsid w:val="00FB21C4"/>
    <w:rsid w:val="00FB231E"/>
    <w:rsid w:val="00FB2382"/>
    <w:rsid w:val="00FB25B0"/>
    <w:rsid w:val="00FB262F"/>
    <w:rsid w:val="00FB2698"/>
    <w:rsid w:val="00FB2722"/>
    <w:rsid w:val="00FB278E"/>
    <w:rsid w:val="00FB282C"/>
    <w:rsid w:val="00FB2870"/>
    <w:rsid w:val="00FB28CF"/>
    <w:rsid w:val="00FB2A90"/>
    <w:rsid w:val="00FB2ACD"/>
    <w:rsid w:val="00FB2BB5"/>
    <w:rsid w:val="00FB2C57"/>
    <w:rsid w:val="00FB2CAD"/>
    <w:rsid w:val="00FB2D99"/>
    <w:rsid w:val="00FB2EB9"/>
    <w:rsid w:val="00FB306B"/>
    <w:rsid w:val="00FB30F6"/>
    <w:rsid w:val="00FB32B5"/>
    <w:rsid w:val="00FB341D"/>
    <w:rsid w:val="00FB3601"/>
    <w:rsid w:val="00FB36B5"/>
    <w:rsid w:val="00FB3B5D"/>
    <w:rsid w:val="00FB3C9F"/>
    <w:rsid w:val="00FB3D24"/>
    <w:rsid w:val="00FB3D9C"/>
    <w:rsid w:val="00FB3F5E"/>
    <w:rsid w:val="00FB4228"/>
    <w:rsid w:val="00FB428A"/>
    <w:rsid w:val="00FB4351"/>
    <w:rsid w:val="00FB445D"/>
    <w:rsid w:val="00FB44D9"/>
    <w:rsid w:val="00FB4523"/>
    <w:rsid w:val="00FB45C9"/>
    <w:rsid w:val="00FB4642"/>
    <w:rsid w:val="00FB4768"/>
    <w:rsid w:val="00FB4838"/>
    <w:rsid w:val="00FB4997"/>
    <w:rsid w:val="00FB4A70"/>
    <w:rsid w:val="00FB4B1F"/>
    <w:rsid w:val="00FB4E44"/>
    <w:rsid w:val="00FB4E5E"/>
    <w:rsid w:val="00FB4F86"/>
    <w:rsid w:val="00FB5179"/>
    <w:rsid w:val="00FB51FB"/>
    <w:rsid w:val="00FB523C"/>
    <w:rsid w:val="00FB52ED"/>
    <w:rsid w:val="00FB54A2"/>
    <w:rsid w:val="00FB5713"/>
    <w:rsid w:val="00FB59C5"/>
    <w:rsid w:val="00FB59EF"/>
    <w:rsid w:val="00FB5A55"/>
    <w:rsid w:val="00FB6034"/>
    <w:rsid w:val="00FB60E5"/>
    <w:rsid w:val="00FB64F4"/>
    <w:rsid w:val="00FB65B9"/>
    <w:rsid w:val="00FB6742"/>
    <w:rsid w:val="00FB68AC"/>
    <w:rsid w:val="00FB698D"/>
    <w:rsid w:val="00FB6AF5"/>
    <w:rsid w:val="00FB6B5C"/>
    <w:rsid w:val="00FB6B79"/>
    <w:rsid w:val="00FB6CAC"/>
    <w:rsid w:val="00FB6CF4"/>
    <w:rsid w:val="00FB6E1D"/>
    <w:rsid w:val="00FB6E43"/>
    <w:rsid w:val="00FB6E47"/>
    <w:rsid w:val="00FB6E5D"/>
    <w:rsid w:val="00FB7113"/>
    <w:rsid w:val="00FB716E"/>
    <w:rsid w:val="00FB71C6"/>
    <w:rsid w:val="00FB71D1"/>
    <w:rsid w:val="00FB7204"/>
    <w:rsid w:val="00FB72A3"/>
    <w:rsid w:val="00FB73F2"/>
    <w:rsid w:val="00FB740D"/>
    <w:rsid w:val="00FB775E"/>
    <w:rsid w:val="00FB77D9"/>
    <w:rsid w:val="00FB7836"/>
    <w:rsid w:val="00FB7864"/>
    <w:rsid w:val="00FB7873"/>
    <w:rsid w:val="00FC0184"/>
    <w:rsid w:val="00FC02A4"/>
    <w:rsid w:val="00FC0383"/>
    <w:rsid w:val="00FC05F5"/>
    <w:rsid w:val="00FC06F5"/>
    <w:rsid w:val="00FC0705"/>
    <w:rsid w:val="00FC0A99"/>
    <w:rsid w:val="00FC0C2B"/>
    <w:rsid w:val="00FC0C78"/>
    <w:rsid w:val="00FC0E1C"/>
    <w:rsid w:val="00FC0E52"/>
    <w:rsid w:val="00FC1033"/>
    <w:rsid w:val="00FC10DD"/>
    <w:rsid w:val="00FC14B2"/>
    <w:rsid w:val="00FC1513"/>
    <w:rsid w:val="00FC1528"/>
    <w:rsid w:val="00FC186A"/>
    <w:rsid w:val="00FC1891"/>
    <w:rsid w:val="00FC19E2"/>
    <w:rsid w:val="00FC1BFF"/>
    <w:rsid w:val="00FC1C34"/>
    <w:rsid w:val="00FC1F75"/>
    <w:rsid w:val="00FC2170"/>
    <w:rsid w:val="00FC2277"/>
    <w:rsid w:val="00FC240E"/>
    <w:rsid w:val="00FC2438"/>
    <w:rsid w:val="00FC2481"/>
    <w:rsid w:val="00FC2686"/>
    <w:rsid w:val="00FC2712"/>
    <w:rsid w:val="00FC2D9F"/>
    <w:rsid w:val="00FC2EEC"/>
    <w:rsid w:val="00FC31AE"/>
    <w:rsid w:val="00FC3218"/>
    <w:rsid w:val="00FC3261"/>
    <w:rsid w:val="00FC3328"/>
    <w:rsid w:val="00FC3435"/>
    <w:rsid w:val="00FC3505"/>
    <w:rsid w:val="00FC3722"/>
    <w:rsid w:val="00FC39D9"/>
    <w:rsid w:val="00FC3AB6"/>
    <w:rsid w:val="00FC3B9B"/>
    <w:rsid w:val="00FC3BE0"/>
    <w:rsid w:val="00FC3C2F"/>
    <w:rsid w:val="00FC3EFB"/>
    <w:rsid w:val="00FC412D"/>
    <w:rsid w:val="00FC4165"/>
    <w:rsid w:val="00FC421D"/>
    <w:rsid w:val="00FC4673"/>
    <w:rsid w:val="00FC46F1"/>
    <w:rsid w:val="00FC47A1"/>
    <w:rsid w:val="00FC48C4"/>
    <w:rsid w:val="00FC48C9"/>
    <w:rsid w:val="00FC499B"/>
    <w:rsid w:val="00FC49D4"/>
    <w:rsid w:val="00FC4BEE"/>
    <w:rsid w:val="00FC4CC3"/>
    <w:rsid w:val="00FC4DBA"/>
    <w:rsid w:val="00FC4DEB"/>
    <w:rsid w:val="00FC4ED0"/>
    <w:rsid w:val="00FC4FCD"/>
    <w:rsid w:val="00FC4FF8"/>
    <w:rsid w:val="00FC50EF"/>
    <w:rsid w:val="00FC5169"/>
    <w:rsid w:val="00FC54CB"/>
    <w:rsid w:val="00FC56C3"/>
    <w:rsid w:val="00FC570A"/>
    <w:rsid w:val="00FC5801"/>
    <w:rsid w:val="00FC59BF"/>
    <w:rsid w:val="00FC5AB7"/>
    <w:rsid w:val="00FC5B81"/>
    <w:rsid w:val="00FC5EDB"/>
    <w:rsid w:val="00FC5F58"/>
    <w:rsid w:val="00FC5FB3"/>
    <w:rsid w:val="00FC6130"/>
    <w:rsid w:val="00FC61DB"/>
    <w:rsid w:val="00FC62A2"/>
    <w:rsid w:val="00FC6577"/>
    <w:rsid w:val="00FC6A52"/>
    <w:rsid w:val="00FC6AE0"/>
    <w:rsid w:val="00FC6CF8"/>
    <w:rsid w:val="00FC6E03"/>
    <w:rsid w:val="00FC6F15"/>
    <w:rsid w:val="00FC721B"/>
    <w:rsid w:val="00FC7430"/>
    <w:rsid w:val="00FC756C"/>
    <w:rsid w:val="00FC771B"/>
    <w:rsid w:val="00FC7877"/>
    <w:rsid w:val="00FC7D97"/>
    <w:rsid w:val="00FC7E79"/>
    <w:rsid w:val="00FC7ED6"/>
    <w:rsid w:val="00FC7FE7"/>
    <w:rsid w:val="00FD0000"/>
    <w:rsid w:val="00FD01EA"/>
    <w:rsid w:val="00FD0232"/>
    <w:rsid w:val="00FD02C7"/>
    <w:rsid w:val="00FD03AD"/>
    <w:rsid w:val="00FD0417"/>
    <w:rsid w:val="00FD0446"/>
    <w:rsid w:val="00FD0753"/>
    <w:rsid w:val="00FD0797"/>
    <w:rsid w:val="00FD08D9"/>
    <w:rsid w:val="00FD0933"/>
    <w:rsid w:val="00FD0B63"/>
    <w:rsid w:val="00FD0B8E"/>
    <w:rsid w:val="00FD0BF2"/>
    <w:rsid w:val="00FD0F16"/>
    <w:rsid w:val="00FD0F28"/>
    <w:rsid w:val="00FD0F4D"/>
    <w:rsid w:val="00FD0F76"/>
    <w:rsid w:val="00FD1052"/>
    <w:rsid w:val="00FD1293"/>
    <w:rsid w:val="00FD13A2"/>
    <w:rsid w:val="00FD183D"/>
    <w:rsid w:val="00FD18DB"/>
    <w:rsid w:val="00FD1B67"/>
    <w:rsid w:val="00FD1DBE"/>
    <w:rsid w:val="00FD1E91"/>
    <w:rsid w:val="00FD1FFC"/>
    <w:rsid w:val="00FD206C"/>
    <w:rsid w:val="00FD2242"/>
    <w:rsid w:val="00FD2298"/>
    <w:rsid w:val="00FD236E"/>
    <w:rsid w:val="00FD2463"/>
    <w:rsid w:val="00FD2848"/>
    <w:rsid w:val="00FD28C0"/>
    <w:rsid w:val="00FD2AE1"/>
    <w:rsid w:val="00FD2B07"/>
    <w:rsid w:val="00FD2CDD"/>
    <w:rsid w:val="00FD2E87"/>
    <w:rsid w:val="00FD30A2"/>
    <w:rsid w:val="00FD324E"/>
    <w:rsid w:val="00FD3409"/>
    <w:rsid w:val="00FD34CE"/>
    <w:rsid w:val="00FD363A"/>
    <w:rsid w:val="00FD37BF"/>
    <w:rsid w:val="00FD3A2E"/>
    <w:rsid w:val="00FD3C34"/>
    <w:rsid w:val="00FD3F45"/>
    <w:rsid w:val="00FD405D"/>
    <w:rsid w:val="00FD411B"/>
    <w:rsid w:val="00FD4240"/>
    <w:rsid w:val="00FD4270"/>
    <w:rsid w:val="00FD4363"/>
    <w:rsid w:val="00FD441A"/>
    <w:rsid w:val="00FD4447"/>
    <w:rsid w:val="00FD44EF"/>
    <w:rsid w:val="00FD45FE"/>
    <w:rsid w:val="00FD49F8"/>
    <w:rsid w:val="00FD4AF9"/>
    <w:rsid w:val="00FD4B9F"/>
    <w:rsid w:val="00FD5203"/>
    <w:rsid w:val="00FD52D4"/>
    <w:rsid w:val="00FD5A19"/>
    <w:rsid w:val="00FD5B4A"/>
    <w:rsid w:val="00FD5C1A"/>
    <w:rsid w:val="00FD5D05"/>
    <w:rsid w:val="00FD5DE2"/>
    <w:rsid w:val="00FD5EC0"/>
    <w:rsid w:val="00FD5FD3"/>
    <w:rsid w:val="00FD604F"/>
    <w:rsid w:val="00FD61F1"/>
    <w:rsid w:val="00FD6231"/>
    <w:rsid w:val="00FD6329"/>
    <w:rsid w:val="00FD63CC"/>
    <w:rsid w:val="00FD6400"/>
    <w:rsid w:val="00FD6683"/>
    <w:rsid w:val="00FD66B5"/>
    <w:rsid w:val="00FD675B"/>
    <w:rsid w:val="00FD67FA"/>
    <w:rsid w:val="00FD688E"/>
    <w:rsid w:val="00FD68E2"/>
    <w:rsid w:val="00FD6A85"/>
    <w:rsid w:val="00FD6B71"/>
    <w:rsid w:val="00FD6B90"/>
    <w:rsid w:val="00FD6C49"/>
    <w:rsid w:val="00FD6C61"/>
    <w:rsid w:val="00FD6D5F"/>
    <w:rsid w:val="00FD6F1C"/>
    <w:rsid w:val="00FD6F4D"/>
    <w:rsid w:val="00FD6FFC"/>
    <w:rsid w:val="00FD7092"/>
    <w:rsid w:val="00FD712D"/>
    <w:rsid w:val="00FD74C3"/>
    <w:rsid w:val="00FD77CD"/>
    <w:rsid w:val="00FD780A"/>
    <w:rsid w:val="00FD782A"/>
    <w:rsid w:val="00FD7926"/>
    <w:rsid w:val="00FD7D2B"/>
    <w:rsid w:val="00FD7DF1"/>
    <w:rsid w:val="00FE0003"/>
    <w:rsid w:val="00FE01B4"/>
    <w:rsid w:val="00FE0324"/>
    <w:rsid w:val="00FE033E"/>
    <w:rsid w:val="00FE03C0"/>
    <w:rsid w:val="00FE062A"/>
    <w:rsid w:val="00FE0955"/>
    <w:rsid w:val="00FE0F83"/>
    <w:rsid w:val="00FE10C3"/>
    <w:rsid w:val="00FE129E"/>
    <w:rsid w:val="00FE15B2"/>
    <w:rsid w:val="00FE177B"/>
    <w:rsid w:val="00FE19FE"/>
    <w:rsid w:val="00FE1ADB"/>
    <w:rsid w:val="00FE1C3A"/>
    <w:rsid w:val="00FE1E5B"/>
    <w:rsid w:val="00FE1E96"/>
    <w:rsid w:val="00FE2005"/>
    <w:rsid w:val="00FE2025"/>
    <w:rsid w:val="00FE20A6"/>
    <w:rsid w:val="00FE2242"/>
    <w:rsid w:val="00FE2503"/>
    <w:rsid w:val="00FE251D"/>
    <w:rsid w:val="00FE2571"/>
    <w:rsid w:val="00FE2675"/>
    <w:rsid w:val="00FE2681"/>
    <w:rsid w:val="00FE273B"/>
    <w:rsid w:val="00FE28F3"/>
    <w:rsid w:val="00FE2A58"/>
    <w:rsid w:val="00FE2B80"/>
    <w:rsid w:val="00FE2CCB"/>
    <w:rsid w:val="00FE3051"/>
    <w:rsid w:val="00FE327F"/>
    <w:rsid w:val="00FE3318"/>
    <w:rsid w:val="00FE33BE"/>
    <w:rsid w:val="00FE34DE"/>
    <w:rsid w:val="00FE356C"/>
    <w:rsid w:val="00FE3576"/>
    <w:rsid w:val="00FE35DC"/>
    <w:rsid w:val="00FE39B8"/>
    <w:rsid w:val="00FE39D0"/>
    <w:rsid w:val="00FE39F1"/>
    <w:rsid w:val="00FE3A6C"/>
    <w:rsid w:val="00FE3A7B"/>
    <w:rsid w:val="00FE3C46"/>
    <w:rsid w:val="00FE3C47"/>
    <w:rsid w:val="00FE3D71"/>
    <w:rsid w:val="00FE3E47"/>
    <w:rsid w:val="00FE4103"/>
    <w:rsid w:val="00FE43B3"/>
    <w:rsid w:val="00FE45E7"/>
    <w:rsid w:val="00FE4830"/>
    <w:rsid w:val="00FE4902"/>
    <w:rsid w:val="00FE4965"/>
    <w:rsid w:val="00FE4A54"/>
    <w:rsid w:val="00FE4A76"/>
    <w:rsid w:val="00FE4AAA"/>
    <w:rsid w:val="00FE4BEF"/>
    <w:rsid w:val="00FE50C6"/>
    <w:rsid w:val="00FE518B"/>
    <w:rsid w:val="00FE5291"/>
    <w:rsid w:val="00FE5411"/>
    <w:rsid w:val="00FE5466"/>
    <w:rsid w:val="00FE551A"/>
    <w:rsid w:val="00FE557B"/>
    <w:rsid w:val="00FE55FF"/>
    <w:rsid w:val="00FE58F0"/>
    <w:rsid w:val="00FE5934"/>
    <w:rsid w:val="00FE5996"/>
    <w:rsid w:val="00FE5A4C"/>
    <w:rsid w:val="00FE5C16"/>
    <w:rsid w:val="00FE5CE3"/>
    <w:rsid w:val="00FE5CF5"/>
    <w:rsid w:val="00FE5D3A"/>
    <w:rsid w:val="00FE5E09"/>
    <w:rsid w:val="00FE6042"/>
    <w:rsid w:val="00FE6081"/>
    <w:rsid w:val="00FE61AC"/>
    <w:rsid w:val="00FE638B"/>
    <w:rsid w:val="00FE63C7"/>
    <w:rsid w:val="00FE662E"/>
    <w:rsid w:val="00FE66B8"/>
    <w:rsid w:val="00FE66BA"/>
    <w:rsid w:val="00FE6727"/>
    <w:rsid w:val="00FE682D"/>
    <w:rsid w:val="00FE685F"/>
    <w:rsid w:val="00FE68C9"/>
    <w:rsid w:val="00FE6903"/>
    <w:rsid w:val="00FE6BDC"/>
    <w:rsid w:val="00FE6CB5"/>
    <w:rsid w:val="00FE6CE8"/>
    <w:rsid w:val="00FE6E0C"/>
    <w:rsid w:val="00FE70DD"/>
    <w:rsid w:val="00FE72C2"/>
    <w:rsid w:val="00FE72EA"/>
    <w:rsid w:val="00FE73F1"/>
    <w:rsid w:val="00FE7593"/>
    <w:rsid w:val="00FE765E"/>
    <w:rsid w:val="00FE7755"/>
    <w:rsid w:val="00FE77EB"/>
    <w:rsid w:val="00FE7803"/>
    <w:rsid w:val="00FE7DCF"/>
    <w:rsid w:val="00FE7E3F"/>
    <w:rsid w:val="00FE7EF4"/>
    <w:rsid w:val="00FF013B"/>
    <w:rsid w:val="00FF01CB"/>
    <w:rsid w:val="00FF02E2"/>
    <w:rsid w:val="00FF0394"/>
    <w:rsid w:val="00FF07F4"/>
    <w:rsid w:val="00FF080A"/>
    <w:rsid w:val="00FF0B0F"/>
    <w:rsid w:val="00FF0B4F"/>
    <w:rsid w:val="00FF0C69"/>
    <w:rsid w:val="00FF0D34"/>
    <w:rsid w:val="00FF0D36"/>
    <w:rsid w:val="00FF1261"/>
    <w:rsid w:val="00FF1505"/>
    <w:rsid w:val="00FF16DC"/>
    <w:rsid w:val="00FF1B20"/>
    <w:rsid w:val="00FF1CD0"/>
    <w:rsid w:val="00FF1E5D"/>
    <w:rsid w:val="00FF1E86"/>
    <w:rsid w:val="00FF2076"/>
    <w:rsid w:val="00FF2096"/>
    <w:rsid w:val="00FF233A"/>
    <w:rsid w:val="00FF2384"/>
    <w:rsid w:val="00FF24A2"/>
    <w:rsid w:val="00FF259D"/>
    <w:rsid w:val="00FF25BF"/>
    <w:rsid w:val="00FF298E"/>
    <w:rsid w:val="00FF2D57"/>
    <w:rsid w:val="00FF2FBC"/>
    <w:rsid w:val="00FF3004"/>
    <w:rsid w:val="00FF3170"/>
    <w:rsid w:val="00FF3314"/>
    <w:rsid w:val="00FF33C0"/>
    <w:rsid w:val="00FF34E2"/>
    <w:rsid w:val="00FF34F2"/>
    <w:rsid w:val="00FF355A"/>
    <w:rsid w:val="00FF3601"/>
    <w:rsid w:val="00FF3667"/>
    <w:rsid w:val="00FF36BA"/>
    <w:rsid w:val="00FF36CA"/>
    <w:rsid w:val="00FF3708"/>
    <w:rsid w:val="00FF3786"/>
    <w:rsid w:val="00FF378E"/>
    <w:rsid w:val="00FF389B"/>
    <w:rsid w:val="00FF38F5"/>
    <w:rsid w:val="00FF3BA5"/>
    <w:rsid w:val="00FF3BD2"/>
    <w:rsid w:val="00FF3DC8"/>
    <w:rsid w:val="00FF3F09"/>
    <w:rsid w:val="00FF3FF2"/>
    <w:rsid w:val="00FF4218"/>
    <w:rsid w:val="00FF425C"/>
    <w:rsid w:val="00FF4496"/>
    <w:rsid w:val="00FF456F"/>
    <w:rsid w:val="00FF4629"/>
    <w:rsid w:val="00FF4684"/>
    <w:rsid w:val="00FF4942"/>
    <w:rsid w:val="00FF49F5"/>
    <w:rsid w:val="00FF4C16"/>
    <w:rsid w:val="00FF4D7C"/>
    <w:rsid w:val="00FF4E14"/>
    <w:rsid w:val="00FF4E51"/>
    <w:rsid w:val="00FF502A"/>
    <w:rsid w:val="00FF52E0"/>
    <w:rsid w:val="00FF58AF"/>
    <w:rsid w:val="00FF5C92"/>
    <w:rsid w:val="00FF5D7C"/>
    <w:rsid w:val="00FF5EF0"/>
    <w:rsid w:val="00FF6001"/>
    <w:rsid w:val="00FF6013"/>
    <w:rsid w:val="00FF601A"/>
    <w:rsid w:val="00FF613A"/>
    <w:rsid w:val="00FF6149"/>
    <w:rsid w:val="00FF6152"/>
    <w:rsid w:val="00FF6199"/>
    <w:rsid w:val="00FF626B"/>
    <w:rsid w:val="00FF6328"/>
    <w:rsid w:val="00FF636C"/>
    <w:rsid w:val="00FF64E0"/>
    <w:rsid w:val="00FF64EB"/>
    <w:rsid w:val="00FF657D"/>
    <w:rsid w:val="00FF67D6"/>
    <w:rsid w:val="00FF695B"/>
    <w:rsid w:val="00FF6F20"/>
    <w:rsid w:val="00FF752D"/>
    <w:rsid w:val="00FF7671"/>
    <w:rsid w:val="00FF76DA"/>
    <w:rsid w:val="00FF785F"/>
    <w:rsid w:val="00FF7A9C"/>
    <w:rsid w:val="00FF7ABB"/>
    <w:rsid w:val="00FF7C04"/>
    <w:rsid w:val="00FF7C35"/>
    <w:rsid w:val="00FF7D1E"/>
    <w:rsid w:val="00FF7D6F"/>
    <w:rsid w:val="00FF7DD0"/>
    <w:rsid w:val="00FF7E01"/>
    <w:rsid w:val="00FF7E2E"/>
    <w:rsid w:val="01563C03"/>
    <w:rsid w:val="01576445"/>
    <w:rsid w:val="0183CAFE"/>
    <w:rsid w:val="01E7C138"/>
    <w:rsid w:val="022E861A"/>
    <w:rsid w:val="0239F488"/>
    <w:rsid w:val="02573FBB"/>
    <w:rsid w:val="02780064"/>
    <w:rsid w:val="03283563"/>
    <w:rsid w:val="0397BF19"/>
    <w:rsid w:val="042746F1"/>
    <w:rsid w:val="044291A1"/>
    <w:rsid w:val="04884956"/>
    <w:rsid w:val="048A9234"/>
    <w:rsid w:val="049C9DE7"/>
    <w:rsid w:val="04C35213"/>
    <w:rsid w:val="062452F6"/>
    <w:rsid w:val="076C62F5"/>
    <w:rsid w:val="07CE72FD"/>
    <w:rsid w:val="07D23A38"/>
    <w:rsid w:val="08017BA1"/>
    <w:rsid w:val="085F17EC"/>
    <w:rsid w:val="087082F3"/>
    <w:rsid w:val="08ABA353"/>
    <w:rsid w:val="08B3F054"/>
    <w:rsid w:val="0951B695"/>
    <w:rsid w:val="0962C7FB"/>
    <w:rsid w:val="0A04EFC1"/>
    <w:rsid w:val="0BECFB6C"/>
    <w:rsid w:val="0CB1E466"/>
    <w:rsid w:val="0CCFCFE7"/>
    <w:rsid w:val="0CFB12F2"/>
    <w:rsid w:val="0DA202D0"/>
    <w:rsid w:val="0E61D376"/>
    <w:rsid w:val="0EA15AD0"/>
    <w:rsid w:val="0ECAFDE8"/>
    <w:rsid w:val="0F068145"/>
    <w:rsid w:val="0F3C0533"/>
    <w:rsid w:val="0F5C94C3"/>
    <w:rsid w:val="0FBBB478"/>
    <w:rsid w:val="107E2A14"/>
    <w:rsid w:val="1133DFD1"/>
    <w:rsid w:val="1168BD17"/>
    <w:rsid w:val="116CE893"/>
    <w:rsid w:val="1182B0F0"/>
    <w:rsid w:val="11F76F76"/>
    <w:rsid w:val="139C8CFA"/>
    <w:rsid w:val="13D0171C"/>
    <w:rsid w:val="14794868"/>
    <w:rsid w:val="14911B8D"/>
    <w:rsid w:val="15C9D559"/>
    <w:rsid w:val="162FD9F6"/>
    <w:rsid w:val="1667FD4C"/>
    <w:rsid w:val="17CEEF34"/>
    <w:rsid w:val="18B7E722"/>
    <w:rsid w:val="193D4F87"/>
    <w:rsid w:val="194AC137"/>
    <w:rsid w:val="194DD837"/>
    <w:rsid w:val="19B51F29"/>
    <w:rsid w:val="19CC2379"/>
    <w:rsid w:val="1AE296FA"/>
    <w:rsid w:val="1AFEB348"/>
    <w:rsid w:val="1C99CA6D"/>
    <w:rsid w:val="1D804624"/>
    <w:rsid w:val="1DBB49F7"/>
    <w:rsid w:val="1DE98B00"/>
    <w:rsid w:val="1DF8B88D"/>
    <w:rsid w:val="1E290FD3"/>
    <w:rsid w:val="1E8D02C6"/>
    <w:rsid w:val="1F1783D9"/>
    <w:rsid w:val="1F8D4794"/>
    <w:rsid w:val="1FC20259"/>
    <w:rsid w:val="1FCAC658"/>
    <w:rsid w:val="1FFD9151"/>
    <w:rsid w:val="201D0586"/>
    <w:rsid w:val="20BF0869"/>
    <w:rsid w:val="20DBF7B2"/>
    <w:rsid w:val="2170229F"/>
    <w:rsid w:val="2227902F"/>
    <w:rsid w:val="224F2785"/>
    <w:rsid w:val="22BC6226"/>
    <w:rsid w:val="22BD0F3A"/>
    <w:rsid w:val="24B95131"/>
    <w:rsid w:val="24CC094F"/>
    <w:rsid w:val="253BE16D"/>
    <w:rsid w:val="25B406CA"/>
    <w:rsid w:val="25D89E89"/>
    <w:rsid w:val="264A7FE6"/>
    <w:rsid w:val="269B4822"/>
    <w:rsid w:val="269BEBA1"/>
    <w:rsid w:val="26C3DF1A"/>
    <w:rsid w:val="27A4FEB9"/>
    <w:rsid w:val="28150CC0"/>
    <w:rsid w:val="28596A79"/>
    <w:rsid w:val="29512E37"/>
    <w:rsid w:val="2954450D"/>
    <w:rsid w:val="29548C9F"/>
    <w:rsid w:val="298F59F3"/>
    <w:rsid w:val="29F325E6"/>
    <w:rsid w:val="2AF36612"/>
    <w:rsid w:val="2B6293F3"/>
    <w:rsid w:val="2B6FBB51"/>
    <w:rsid w:val="2C14C75E"/>
    <w:rsid w:val="2C914C53"/>
    <w:rsid w:val="2D0ECC85"/>
    <w:rsid w:val="2D609189"/>
    <w:rsid w:val="2D75BEEF"/>
    <w:rsid w:val="2E574F4C"/>
    <w:rsid w:val="2E7E59D7"/>
    <w:rsid w:val="2ED2A13A"/>
    <w:rsid w:val="2EE30F91"/>
    <w:rsid w:val="2F856FEF"/>
    <w:rsid w:val="2FA34984"/>
    <w:rsid w:val="2FE80223"/>
    <w:rsid w:val="30612537"/>
    <w:rsid w:val="30E960C8"/>
    <w:rsid w:val="319B0084"/>
    <w:rsid w:val="322DB909"/>
    <w:rsid w:val="32AC1D27"/>
    <w:rsid w:val="33529993"/>
    <w:rsid w:val="33549EFE"/>
    <w:rsid w:val="33A4F440"/>
    <w:rsid w:val="33C0387A"/>
    <w:rsid w:val="34E86E6E"/>
    <w:rsid w:val="350F900B"/>
    <w:rsid w:val="35891752"/>
    <w:rsid w:val="35B9D9AB"/>
    <w:rsid w:val="35FF6EDA"/>
    <w:rsid w:val="36225B14"/>
    <w:rsid w:val="36DD682D"/>
    <w:rsid w:val="385A14E5"/>
    <w:rsid w:val="386B42C6"/>
    <w:rsid w:val="397DEFA4"/>
    <w:rsid w:val="3A1BB564"/>
    <w:rsid w:val="3A26A21C"/>
    <w:rsid w:val="3AC88061"/>
    <w:rsid w:val="3AD74F81"/>
    <w:rsid w:val="3B285033"/>
    <w:rsid w:val="3BCAD2C3"/>
    <w:rsid w:val="3C125347"/>
    <w:rsid w:val="3D96CD4F"/>
    <w:rsid w:val="3ED67BA3"/>
    <w:rsid w:val="3FEB846C"/>
    <w:rsid w:val="40CA09FE"/>
    <w:rsid w:val="412673FA"/>
    <w:rsid w:val="41684C1F"/>
    <w:rsid w:val="417F9899"/>
    <w:rsid w:val="419B257E"/>
    <w:rsid w:val="4204DB8F"/>
    <w:rsid w:val="42487C56"/>
    <w:rsid w:val="426C1CB1"/>
    <w:rsid w:val="426D0E7B"/>
    <w:rsid w:val="42A82F87"/>
    <w:rsid w:val="4307DBC0"/>
    <w:rsid w:val="436B2A6B"/>
    <w:rsid w:val="44655B0F"/>
    <w:rsid w:val="449F959A"/>
    <w:rsid w:val="4547A716"/>
    <w:rsid w:val="46433D16"/>
    <w:rsid w:val="47F61DDD"/>
    <w:rsid w:val="491827E3"/>
    <w:rsid w:val="492474E9"/>
    <w:rsid w:val="499E52A6"/>
    <w:rsid w:val="49ED35A8"/>
    <w:rsid w:val="4A2230CA"/>
    <w:rsid w:val="4A350C6C"/>
    <w:rsid w:val="4BD82365"/>
    <w:rsid w:val="4C689B32"/>
    <w:rsid w:val="4F95481F"/>
    <w:rsid w:val="5021C9C3"/>
    <w:rsid w:val="506BA91C"/>
    <w:rsid w:val="50F29136"/>
    <w:rsid w:val="51C07E73"/>
    <w:rsid w:val="5391E558"/>
    <w:rsid w:val="5392D5C9"/>
    <w:rsid w:val="555FB1FE"/>
    <w:rsid w:val="558600A8"/>
    <w:rsid w:val="56152DC3"/>
    <w:rsid w:val="56A991D1"/>
    <w:rsid w:val="579698A8"/>
    <w:rsid w:val="580F30EC"/>
    <w:rsid w:val="58218BFD"/>
    <w:rsid w:val="58A8BF56"/>
    <w:rsid w:val="59254A18"/>
    <w:rsid w:val="5948F9B5"/>
    <w:rsid w:val="594C17AE"/>
    <w:rsid w:val="597317F4"/>
    <w:rsid w:val="59EA32C1"/>
    <w:rsid w:val="5AF9EA89"/>
    <w:rsid w:val="5B66298E"/>
    <w:rsid w:val="5BC5B92A"/>
    <w:rsid w:val="5BE1C4D1"/>
    <w:rsid w:val="5D2F5BC5"/>
    <w:rsid w:val="5E167E6B"/>
    <w:rsid w:val="5EAF990C"/>
    <w:rsid w:val="5FF3483D"/>
    <w:rsid w:val="600BE49A"/>
    <w:rsid w:val="60E71299"/>
    <w:rsid w:val="611F7814"/>
    <w:rsid w:val="61CD1B5C"/>
    <w:rsid w:val="621A2FD1"/>
    <w:rsid w:val="62C2A20B"/>
    <w:rsid w:val="631E845A"/>
    <w:rsid w:val="635D88A6"/>
    <w:rsid w:val="63CAD1A9"/>
    <w:rsid w:val="63E4C254"/>
    <w:rsid w:val="63E8B998"/>
    <w:rsid w:val="64C0DAD9"/>
    <w:rsid w:val="64EA8FDC"/>
    <w:rsid w:val="651E6987"/>
    <w:rsid w:val="65D87599"/>
    <w:rsid w:val="65E5824F"/>
    <w:rsid w:val="664FEDE5"/>
    <w:rsid w:val="66964D85"/>
    <w:rsid w:val="66C6FA7A"/>
    <w:rsid w:val="6733F9F4"/>
    <w:rsid w:val="673CE6E7"/>
    <w:rsid w:val="6777EF1B"/>
    <w:rsid w:val="677E01A3"/>
    <w:rsid w:val="679EF790"/>
    <w:rsid w:val="67E928FA"/>
    <w:rsid w:val="67F6CCB1"/>
    <w:rsid w:val="680DD5B5"/>
    <w:rsid w:val="681442F8"/>
    <w:rsid w:val="68794900"/>
    <w:rsid w:val="689E62EA"/>
    <w:rsid w:val="697B597D"/>
    <w:rsid w:val="69A4DB48"/>
    <w:rsid w:val="69E9A1AB"/>
    <w:rsid w:val="6A901927"/>
    <w:rsid w:val="6B361AAB"/>
    <w:rsid w:val="6D24A6FB"/>
    <w:rsid w:val="6E20031E"/>
    <w:rsid w:val="6E23E514"/>
    <w:rsid w:val="6EE5B526"/>
    <w:rsid w:val="6F031BB4"/>
    <w:rsid w:val="6F9DBD67"/>
    <w:rsid w:val="6FA6AFA5"/>
    <w:rsid w:val="70340968"/>
    <w:rsid w:val="716F84A8"/>
    <w:rsid w:val="723C8E70"/>
    <w:rsid w:val="724CAD83"/>
    <w:rsid w:val="7259EA6D"/>
    <w:rsid w:val="7320355C"/>
    <w:rsid w:val="73605F2B"/>
    <w:rsid w:val="73689A6A"/>
    <w:rsid w:val="737902D0"/>
    <w:rsid w:val="737BAAB1"/>
    <w:rsid w:val="740FF4E7"/>
    <w:rsid w:val="753ABABC"/>
    <w:rsid w:val="75414F95"/>
    <w:rsid w:val="75934E34"/>
    <w:rsid w:val="763878E9"/>
    <w:rsid w:val="7651B967"/>
    <w:rsid w:val="77175B5C"/>
    <w:rsid w:val="77697361"/>
    <w:rsid w:val="77D5EB5A"/>
    <w:rsid w:val="77D7F66C"/>
    <w:rsid w:val="78E5659B"/>
    <w:rsid w:val="799AA125"/>
    <w:rsid w:val="79A91A65"/>
    <w:rsid w:val="79C954A4"/>
    <w:rsid w:val="7AC68BBA"/>
    <w:rsid w:val="7B77A91E"/>
    <w:rsid w:val="7BF1DB9F"/>
    <w:rsid w:val="7C5DD0F9"/>
    <w:rsid w:val="7CB6EE57"/>
    <w:rsid w:val="7DA3CAA8"/>
    <w:rsid w:val="7E524DF6"/>
    <w:rsid w:val="7E76FC4E"/>
    <w:rsid w:val="7E96D8FF"/>
    <w:rsid w:val="7F3041D9"/>
    <w:rsid w:val="7F54106F"/>
    <w:rsid w:val="7FACAD07"/>
    <w:rsid w:val="7FB00F19"/>
    <w:rsid w:val="7FBB10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8CBB73A"/>
  <w15:chartTrackingRefBased/>
  <w15:docId w15:val="{2E5298FD-6877-451F-9067-65036C1B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409"/>
    <w:pPr>
      <w:spacing w:line="240" w:lineRule="atLeast"/>
    </w:pPr>
    <w:rPr>
      <w:color w:val="000000"/>
      <w:sz w:val="24"/>
    </w:rPr>
  </w:style>
  <w:style w:type="paragraph" w:styleId="Heading1">
    <w:name w:val="heading 1"/>
    <w:basedOn w:val="Normal"/>
    <w:next w:val="BodyText"/>
    <w:link w:val="Heading1Char"/>
    <w:autoRedefine/>
    <w:uiPriority w:val="9"/>
    <w:qFormat/>
    <w:rsid w:val="00F55537"/>
    <w:pPr>
      <w:keepNext/>
      <w:keepLines/>
      <w:numPr>
        <w:numId w:val="141"/>
      </w:numPr>
      <w:pBdr>
        <w:top w:val="single" w:sz="6" w:space="6" w:color="808080"/>
        <w:bottom w:val="single" w:sz="6" w:space="6" w:color="808080"/>
      </w:pBdr>
      <w:outlineLvl w:val="0"/>
    </w:pPr>
    <w:rPr>
      <w:rFonts w:ascii="Arial" w:hAnsi="Arial" w:cs="Arial"/>
      <w:b/>
      <w:color w:val="auto"/>
      <w:kern w:val="16"/>
      <w:sz w:val="28"/>
      <w:szCs w:val="28"/>
    </w:rPr>
  </w:style>
  <w:style w:type="paragraph" w:styleId="Heading2">
    <w:name w:val="heading 2"/>
    <w:basedOn w:val="Normal"/>
    <w:next w:val="BodyText"/>
    <w:link w:val="Heading2Char"/>
    <w:autoRedefine/>
    <w:uiPriority w:val="9"/>
    <w:qFormat/>
    <w:rsid w:val="001514C3"/>
    <w:pPr>
      <w:keepNext/>
      <w:keepLines/>
      <w:numPr>
        <w:ilvl w:val="1"/>
        <w:numId w:val="141"/>
      </w:numPr>
      <w:spacing w:line="240" w:lineRule="auto"/>
      <w:outlineLvl w:val="1"/>
    </w:pPr>
    <w:rPr>
      <w:rFonts w:ascii="Arial" w:hAnsi="Arial" w:cs="Arial"/>
      <w:b/>
      <w:bCs/>
      <w:szCs w:val="24"/>
    </w:rPr>
  </w:style>
  <w:style w:type="paragraph" w:styleId="Heading3">
    <w:name w:val="heading 3"/>
    <w:basedOn w:val="Normal"/>
    <w:next w:val="BodyText"/>
    <w:link w:val="Heading3Char"/>
    <w:autoRedefine/>
    <w:qFormat/>
    <w:rsid w:val="00B76243"/>
    <w:pPr>
      <w:keepNext/>
      <w:keepLines/>
      <w:numPr>
        <w:ilvl w:val="2"/>
        <w:numId w:val="141"/>
      </w:numPr>
      <w:spacing w:before="240" w:line="240" w:lineRule="auto"/>
      <w:ind w:left="990" w:hanging="990"/>
      <w:outlineLvl w:val="2"/>
    </w:pPr>
    <w:rPr>
      <w:rFonts w:ascii="Arial" w:hAnsi="Arial"/>
      <w:b/>
      <w:kern w:val="20"/>
    </w:rPr>
  </w:style>
  <w:style w:type="paragraph" w:styleId="Heading4">
    <w:name w:val="heading 4"/>
    <w:basedOn w:val="Normal"/>
    <w:next w:val="Normal"/>
    <w:link w:val="Heading4Char"/>
    <w:uiPriority w:val="9"/>
    <w:semiHidden/>
    <w:unhideWhenUsed/>
    <w:qFormat/>
    <w:rsid w:val="00BC2240"/>
    <w:pPr>
      <w:keepNext/>
      <w:keepLines/>
      <w:numPr>
        <w:ilvl w:val="3"/>
        <w:numId w:val="14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2240"/>
    <w:pPr>
      <w:keepNext/>
      <w:keepLines/>
      <w:numPr>
        <w:ilvl w:val="4"/>
        <w:numId w:val="14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C2240"/>
    <w:pPr>
      <w:keepNext/>
      <w:keepLines/>
      <w:numPr>
        <w:ilvl w:val="5"/>
        <w:numId w:val="14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C2240"/>
    <w:pPr>
      <w:keepNext/>
      <w:keepLines/>
      <w:numPr>
        <w:ilvl w:val="6"/>
        <w:numId w:val="14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C2240"/>
    <w:pPr>
      <w:keepNext/>
      <w:keepLines/>
      <w:numPr>
        <w:ilvl w:val="7"/>
        <w:numId w:val="14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2240"/>
    <w:pPr>
      <w:keepNext/>
      <w:keepLines/>
      <w:numPr>
        <w:ilvl w:val="8"/>
        <w:numId w:val="1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gust">
    <w:name w:val="August"/>
    <w:pPr>
      <w:spacing w:line="240" w:lineRule="atLeast"/>
    </w:pPr>
    <w:rPr>
      <w:color w:val="000000"/>
    </w:rPr>
  </w:style>
  <w:style w:type="paragraph" w:styleId="Header">
    <w:name w:val="header"/>
    <w:basedOn w:val="Normal"/>
    <w:link w:val="HeaderChar"/>
    <w:uiPriority w:val="99"/>
    <w:rsid w:val="00FC3520"/>
    <w:pPr>
      <w:tabs>
        <w:tab w:val="center" w:pos="4320"/>
        <w:tab w:val="right" w:pos="8640"/>
      </w:tabs>
    </w:pPr>
  </w:style>
  <w:style w:type="paragraph" w:styleId="Footer">
    <w:name w:val="footer"/>
    <w:basedOn w:val="Normal"/>
    <w:link w:val="FooterChar"/>
    <w:uiPriority w:val="99"/>
    <w:rsid w:val="00FC3520"/>
    <w:pPr>
      <w:tabs>
        <w:tab w:val="center" w:pos="4320"/>
        <w:tab w:val="right" w:pos="8640"/>
      </w:tabs>
    </w:pPr>
  </w:style>
  <w:style w:type="character" w:styleId="PageNumber">
    <w:name w:val="page number"/>
    <w:basedOn w:val="DefaultParagraphFont"/>
    <w:rsid w:val="00FC3520"/>
    <w:rPr>
      <w:noProof w:val="0"/>
      <w:color w:val="000000"/>
      <w:sz w:val="20"/>
      <w:lang w:val="en-US"/>
    </w:rPr>
  </w:style>
  <w:style w:type="paragraph" w:customStyle="1" w:styleId="TOCSection">
    <w:name w:val="TOC Section"/>
    <w:basedOn w:val="Normal"/>
    <w:rsid w:val="00FC3520"/>
    <w:pPr>
      <w:tabs>
        <w:tab w:val="left" w:pos="1350"/>
        <w:tab w:val="right" w:leader="dot" w:pos="9360"/>
      </w:tabs>
      <w:spacing w:line="560" w:lineRule="exact"/>
      <w:ind w:left="1350" w:hanging="630"/>
    </w:pPr>
    <w:rPr>
      <w:caps/>
    </w:rPr>
  </w:style>
  <w:style w:type="paragraph" w:customStyle="1" w:styleId="TOCSectionDescription">
    <w:name w:val="TOC Section Description"/>
    <w:basedOn w:val="Normal"/>
    <w:rsid w:val="00FC3520"/>
    <w:pPr>
      <w:tabs>
        <w:tab w:val="left" w:pos="1350"/>
        <w:tab w:val="right" w:leader="dot" w:pos="9360"/>
      </w:tabs>
      <w:spacing w:line="280" w:lineRule="exact"/>
      <w:ind w:left="1354" w:hanging="634"/>
    </w:pPr>
    <w:rPr>
      <w:i/>
    </w:rPr>
  </w:style>
  <w:style w:type="paragraph" w:customStyle="1" w:styleId="TOCSubhead">
    <w:name w:val="TOC Subhead"/>
    <w:basedOn w:val="Normal"/>
    <w:rsid w:val="00FC3520"/>
    <w:pPr>
      <w:tabs>
        <w:tab w:val="left" w:pos="1350"/>
        <w:tab w:val="right" w:leader="dot" w:pos="9360"/>
      </w:tabs>
      <w:spacing w:line="440" w:lineRule="exact"/>
      <w:ind w:left="1354" w:hanging="4"/>
    </w:pPr>
  </w:style>
  <w:style w:type="paragraph" w:styleId="BodyText">
    <w:name w:val="Body Text"/>
    <w:basedOn w:val="Normal"/>
    <w:link w:val="BodyTextChar"/>
    <w:uiPriority w:val="1"/>
    <w:qFormat/>
    <w:rsid w:val="00FC3520"/>
    <w:pPr>
      <w:spacing w:after="240"/>
      <w:jc w:val="both"/>
    </w:pPr>
    <w:rPr>
      <w:color w:val="auto"/>
    </w:rPr>
  </w:style>
  <w:style w:type="paragraph" w:customStyle="1" w:styleId="TOCSubheadDescription">
    <w:name w:val="TOC Subhead Description"/>
    <w:basedOn w:val="TOCSectionDescription"/>
    <w:rsid w:val="00FC3520"/>
    <w:pPr>
      <w:ind w:hanging="4"/>
    </w:pPr>
  </w:style>
  <w:style w:type="paragraph" w:styleId="ListBullet">
    <w:name w:val="List Bullet"/>
    <w:basedOn w:val="List"/>
    <w:rsid w:val="00FC3520"/>
    <w:pPr>
      <w:numPr>
        <w:numId w:val="2"/>
      </w:numPr>
      <w:tabs>
        <w:tab w:val="clear" w:pos="2520"/>
        <w:tab w:val="num" w:pos="1620"/>
      </w:tabs>
      <w:spacing w:after="120"/>
      <w:ind w:right="720"/>
    </w:pPr>
    <w:rPr>
      <w:color w:val="auto"/>
    </w:rPr>
  </w:style>
  <w:style w:type="paragraph" w:styleId="ListNumber">
    <w:name w:val="List Number"/>
    <w:basedOn w:val="List"/>
    <w:rsid w:val="00FC3520"/>
    <w:pPr>
      <w:numPr>
        <w:numId w:val="1"/>
      </w:numPr>
      <w:spacing w:after="120"/>
      <w:ind w:right="720"/>
    </w:pPr>
    <w:rPr>
      <w:color w:val="auto"/>
    </w:rPr>
  </w:style>
  <w:style w:type="character" w:styleId="Emphasis">
    <w:name w:val="Emphasis"/>
    <w:qFormat/>
    <w:rsid w:val="00FC3520"/>
    <w:rPr>
      <w:caps/>
      <w:sz w:val="18"/>
    </w:rPr>
  </w:style>
  <w:style w:type="paragraph" w:styleId="List">
    <w:name w:val="List"/>
    <w:basedOn w:val="Normal"/>
    <w:semiHidden/>
    <w:rsid w:val="00FC3520"/>
    <w:pPr>
      <w:ind w:left="360" w:hanging="360"/>
    </w:pPr>
  </w:style>
  <w:style w:type="paragraph" w:styleId="Index1">
    <w:name w:val="index 1"/>
    <w:basedOn w:val="Normal"/>
    <w:next w:val="Normal"/>
    <w:autoRedefine/>
    <w:uiPriority w:val="99"/>
    <w:semiHidden/>
    <w:rsid w:val="00FB72A3"/>
    <w:pPr>
      <w:tabs>
        <w:tab w:val="left" w:pos="2700"/>
        <w:tab w:val="right" w:leader="dot" w:pos="4310"/>
      </w:tabs>
      <w:ind w:left="240" w:hanging="240"/>
    </w:pPr>
    <w:rPr>
      <w:rFonts w:ascii="Arial" w:hAnsi="Arial"/>
    </w:rPr>
  </w:style>
  <w:style w:type="paragraph" w:customStyle="1" w:styleId="SECTIONHEAD">
    <w:name w:val="SECTION HEAD"/>
    <w:basedOn w:val="Normal"/>
    <w:rsid w:val="00FC3520"/>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pPr>
    <w:rPr>
      <w:caps/>
      <w:spacing w:val="20"/>
      <w:sz w:val="28"/>
    </w:rPr>
  </w:style>
  <w:style w:type="paragraph" w:styleId="Index2">
    <w:name w:val="index 2"/>
    <w:basedOn w:val="Normal"/>
    <w:next w:val="Normal"/>
    <w:autoRedefine/>
    <w:semiHidden/>
    <w:rsid w:val="00FC3520"/>
    <w:pPr>
      <w:ind w:left="480" w:hanging="240"/>
    </w:pPr>
  </w:style>
  <w:style w:type="paragraph" w:styleId="Index3">
    <w:name w:val="index 3"/>
    <w:basedOn w:val="Normal"/>
    <w:next w:val="Normal"/>
    <w:autoRedefine/>
    <w:semiHidden/>
    <w:rsid w:val="00FC3520"/>
    <w:pPr>
      <w:ind w:left="720" w:hanging="240"/>
    </w:pPr>
  </w:style>
  <w:style w:type="paragraph" w:styleId="Index4">
    <w:name w:val="index 4"/>
    <w:basedOn w:val="Normal"/>
    <w:next w:val="Normal"/>
    <w:autoRedefine/>
    <w:semiHidden/>
    <w:rsid w:val="00FC3520"/>
    <w:pPr>
      <w:ind w:left="960" w:hanging="240"/>
    </w:pPr>
  </w:style>
  <w:style w:type="paragraph" w:styleId="Index5">
    <w:name w:val="index 5"/>
    <w:basedOn w:val="Normal"/>
    <w:next w:val="Normal"/>
    <w:autoRedefine/>
    <w:semiHidden/>
    <w:rsid w:val="00FC3520"/>
    <w:pPr>
      <w:ind w:left="1200" w:hanging="240"/>
    </w:pPr>
  </w:style>
  <w:style w:type="paragraph" w:styleId="Index6">
    <w:name w:val="index 6"/>
    <w:basedOn w:val="Normal"/>
    <w:next w:val="Normal"/>
    <w:autoRedefine/>
    <w:semiHidden/>
    <w:rsid w:val="00FC3520"/>
    <w:pPr>
      <w:ind w:left="1440" w:hanging="240"/>
    </w:pPr>
  </w:style>
  <w:style w:type="paragraph" w:styleId="Index7">
    <w:name w:val="index 7"/>
    <w:basedOn w:val="Normal"/>
    <w:next w:val="Normal"/>
    <w:autoRedefine/>
    <w:semiHidden/>
    <w:rsid w:val="00FC3520"/>
    <w:pPr>
      <w:ind w:left="1680" w:hanging="240"/>
    </w:pPr>
  </w:style>
  <w:style w:type="paragraph" w:styleId="Index8">
    <w:name w:val="index 8"/>
    <w:basedOn w:val="Normal"/>
    <w:next w:val="Normal"/>
    <w:autoRedefine/>
    <w:semiHidden/>
    <w:rsid w:val="00FC3520"/>
    <w:pPr>
      <w:ind w:left="1920" w:hanging="240"/>
    </w:pPr>
  </w:style>
  <w:style w:type="paragraph" w:styleId="Index9">
    <w:name w:val="index 9"/>
    <w:basedOn w:val="Normal"/>
    <w:next w:val="Normal"/>
    <w:autoRedefine/>
    <w:semiHidden/>
    <w:rsid w:val="00FC3520"/>
    <w:pPr>
      <w:ind w:left="2160" w:hanging="240"/>
    </w:pPr>
  </w:style>
  <w:style w:type="paragraph" w:styleId="IndexHeading">
    <w:name w:val="index heading"/>
    <w:basedOn w:val="Normal"/>
    <w:next w:val="Index1"/>
    <w:semiHidden/>
    <w:rsid w:val="00FC3520"/>
  </w:style>
  <w:style w:type="paragraph" w:customStyle="1" w:styleId="BlockQuotation">
    <w:name w:val="Block Quotation"/>
    <w:basedOn w:val="BodyText"/>
    <w:rsid w:val="00FC3520"/>
    <w:pPr>
      <w:keepLines/>
      <w:pBdr>
        <w:top w:val="single" w:sz="6" w:space="14" w:color="808080"/>
        <w:left w:val="single" w:sz="6" w:space="14" w:color="808080"/>
        <w:bottom w:val="single" w:sz="6" w:space="14" w:color="808080"/>
        <w:right w:val="single" w:sz="6" w:space="14" w:color="808080"/>
      </w:pBdr>
      <w:ind w:left="720" w:right="720"/>
    </w:pPr>
    <w:rPr>
      <w:i/>
      <w:sz w:val="22"/>
    </w:rPr>
  </w:style>
  <w:style w:type="character" w:customStyle="1" w:styleId="Lead-inEmphasis">
    <w:name w:val="Lead-in Emphasis"/>
    <w:rsid w:val="00FC3520"/>
    <w:rPr>
      <w:caps/>
      <w:sz w:val="18"/>
    </w:rPr>
  </w:style>
  <w:style w:type="paragraph" w:customStyle="1" w:styleId="TableHead">
    <w:name w:val="Table Head"/>
    <w:basedOn w:val="Normal"/>
    <w:link w:val="TableHeadChar"/>
    <w:rsid w:val="00FC3520"/>
    <w:pPr>
      <w:spacing w:after="120"/>
      <w:ind w:left="360"/>
    </w:pPr>
    <w:rPr>
      <w:i/>
    </w:rPr>
  </w:style>
  <w:style w:type="paragraph" w:customStyle="1" w:styleId="Default">
    <w:name w:val="Default"/>
    <w:rsid w:val="000C2D6F"/>
    <w:pPr>
      <w:autoSpaceDE w:val="0"/>
      <w:autoSpaceDN w:val="0"/>
      <w:adjustRightInd w:val="0"/>
    </w:pPr>
    <w:rPr>
      <w:color w:val="000000"/>
      <w:sz w:val="24"/>
      <w:szCs w:val="24"/>
    </w:rPr>
  </w:style>
  <w:style w:type="character" w:styleId="Hyperlink">
    <w:name w:val="Hyperlink"/>
    <w:basedOn w:val="DefaultParagraphFont"/>
    <w:uiPriority w:val="99"/>
    <w:unhideWhenUsed/>
    <w:rsid w:val="002C4258"/>
    <w:rPr>
      <w:color w:val="0563C1" w:themeColor="hyperlink"/>
      <w:u w:val="single"/>
    </w:rPr>
  </w:style>
  <w:style w:type="character" w:styleId="UnresolvedMention">
    <w:name w:val="Unresolved Mention"/>
    <w:basedOn w:val="DefaultParagraphFont"/>
    <w:uiPriority w:val="99"/>
    <w:unhideWhenUsed/>
    <w:rsid w:val="002C4258"/>
    <w:rPr>
      <w:color w:val="605E5C"/>
      <w:shd w:val="clear" w:color="auto" w:fill="E1DFDD"/>
    </w:rPr>
  </w:style>
  <w:style w:type="character" w:styleId="FollowedHyperlink">
    <w:name w:val="FollowedHyperlink"/>
    <w:basedOn w:val="DefaultParagraphFont"/>
    <w:uiPriority w:val="99"/>
    <w:semiHidden/>
    <w:unhideWhenUsed/>
    <w:rsid w:val="007A159D"/>
    <w:rPr>
      <w:color w:val="954F72" w:themeColor="followedHyperlink"/>
      <w:u w:val="single"/>
    </w:rPr>
  </w:style>
  <w:style w:type="paragraph" w:styleId="NormalWeb">
    <w:name w:val="Normal (Web)"/>
    <w:basedOn w:val="Normal"/>
    <w:uiPriority w:val="99"/>
    <w:unhideWhenUsed/>
    <w:rsid w:val="00490BF9"/>
    <w:pPr>
      <w:spacing w:before="100" w:beforeAutospacing="1" w:after="100" w:afterAutospacing="1" w:line="240" w:lineRule="auto"/>
    </w:pPr>
    <w:rPr>
      <w:color w:val="auto"/>
      <w:szCs w:val="24"/>
    </w:rPr>
  </w:style>
  <w:style w:type="character" w:styleId="Strong">
    <w:name w:val="Strong"/>
    <w:basedOn w:val="DefaultParagraphFont"/>
    <w:uiPriority w:val="22"/>
    <w:qFormat/>
    <w:rsid w:val="00490BF9"/>
    <w:rPr>
      <w:b/>
      <w:bCs/>
    </w:rPr>
  </w:style>
  <w:style w:type="paragraph" w:styleId="BalloonText">
    <w:name w:val="Balloon Text"/>
    <w:basedOn w:val="Normal"/>
    <w:link w:val="BalloonTextChar"/>
    <w:uiPriority w:val="99"/>
    <w:semiHidden/>
    <w:unhideWhenUsed/>
    <w:rsid w:val="0097275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759"/>
    <w:rPr>
      <w:rFonts w:ascii="Segoe UI" w:hAnsi="Segoe UI" w:cs="Segoe UI"/>
      <w:color w:val="000000"/>
      <w:sz w:val="18"/>
      <w:szCs w:val="18"/>
    </w:rPr>
  </w:style>
  <w:style w:type="character" w:customStyle="1" w:styleId="Heading1Char">
    <w:name w:val="Heading 1 Char"/>
    <w:basedOn w:val="DefaultParagraphFont"/>
    <w:link w:val="Heading1"/>
    <w:uiPriority w:val="9"/>
    <w:rsid w:val="00F55537"/>
    <w:rPr>
      <w:rFonts w:ascii="Arial" w:hAnsi="Arial" w:cs="Arial"/>
      <w:b/>
      <w:kern w:val="16"/>
      <w:sz w:val="28"/>
      <w:szCs w:val="28"/>
    </w:rPr>
  </w:style>
  <w:style w:type="character" w:styleId="CommentReference">
    <w:name w:val="annotation reference"/>
    <w:basedOn w:val="DefaultParagraphFont"/>
    <w:uiPriority w:val="99"/>
    <w:semiHidden/>
    <w:unhideWhenUsed/>
    <w:rsid w:val="000526A7"/>
    <w:rPr>
      <w:sz w:val="16"/>
      <w:szCs w:val="16"/>
    </w:rPr>
  </w:style>
  <w:style w:type="paragraph" w:styleId="CommentText">
    <w:name w:val="annotation text"/>
    <w:basedOn w:val="Normal"/>
    <w:link w:val="CommentTextChar"/>
    <w:uiPriority w:val="99"/>
    <w:unhideWhenUsed/>
    <w:rsid w:val="000526A7"/>
    <w:pPr>
      <w:spacing w:line="240" w:lineRule="auto"/>
    </w:pPr>
    <w:rPr>
      <w:sz w:val="20"/>
    </w:rPr>
  </w:style>
  <w:style w:type="character" w:customStyle="1" w:styleId="CommentTextChar">
    <w:name w:val="Comment Text Char"/>
    <w:basedOn w:val="DefaultParagraphFont"/>
    <w:link w:val="CommentText"/>
    <w:uiPriority w:val="99"/>
    <w:rsid w:val="000526A7"/>
    <w:rPr>
      <w:color w:val="000000"/>
    </w:rPr>
  </w:style>
  <w:style w:type="paragraph" w:styleId="CommentSubject">
    <w:name w:val="annotation subject"/>
    <w:basedOn w:val="CommentText"/>
    <w:next w:val="CommentText"/>
    <w:link w:val="CommentSubjectChar"/>
    <w:uiPriority w:val="99"/>
    <w:semiHidden/>
    <w:unhideWhenUsed/>
    <w:rsid w:val="000526A7"/>
    <w:rPr>
      <w:b/>
      <w:bCs/>
    </w:rPr>
  </w:style>
  <w:style w:type="character" w:customStyle="1" w:styleId="CommentSubjectChar">
    <w:name w:val="Comment Subject Char"/>
    <w:basedOn w:val="CommentTextChar"/>
    <w:link w:val="CommentSubject"/>
    <w:uiPriority w:val="99"/>
    <w:semiHidden/>
    <w:rsid w:val="000526A7"/>
    <w:rPr>
      <w:b/>
      <w:bCs/>
      <w:color w:val="000000"/>
    </w:rPr>
  </w:style>
  <w:style w:type="paragraph" w:styleId="Revision">
    <w:name w:val="Revision"/>
    <w:hidden/>
    <w:uiPriority w:val="99"/>
    <w:semiHidden/>
    <w:rsid w:val="001E3205"/>
    <w:rPr>
      <w:color w:val="000000"/>
      <w:sz w:val="24"/>
    </w:rPr>
  </w:style>
  <w:style w:type="character" w:styleId="Mention">
    <w:name w:val="Mention"/>
    <w:basedOn w:val="DefaultParagraphFont"/>
    <w:uiPriority w:val="99"/>
    <w:unhideWhenUsed/>
    <w:rsid w:val="007023E4"/>
    <w:rPr>
      <w:color w:val="2B579A"/>
      <w:shd w:val="clear" w:color="auto" w:fill="E1DFDD"/>
    </w:rPr>
  </w:style>
  <w:style w:type="table" w:styleId="TableGrid">
    <w:name w:val="Table Grid"/>
    <w:basedOn w:val="TableNormal"/>
    <w:uiPriority w:val="39"/>
    <w:rsid w:val="00384CCC"/>
    <w:tblPr/>
  </w:style>
  <w:style w:type="table" w:styleId="ListTable3-Accent1">
    <w:name w:val="List Table 3 Accent 1"/>
    <w:basedOn w:val="TableNormal"/>
    <w:uiPriority w:val="48"/>
    <w:rsid w:val="00F066F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
    <w:name w:val="List Table 3"/>
    <w:basedOn w:val="TableNormal"/>
    <w:uiPriority w:val="48"/>
    <w:rsid w:val="001D382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basedOn w:val="Normal"/>
    <w:uiPriority w:val="34"/>
    <w:qFormat/>
    <w:rsid w:val="006C45CA"/>
    <w:pPr>
      <w:ind w:left="720"/>
      <w:contextualSpacing/>
    </w:pPr>
  </w:style>
  <w:style w:type="paragraph" w:customStyle="1" w:styleId="TableParagraph">
    <w:name w:val="Table Paragraph"/>
    <w:basedOn w:val="Normal"/>
    <w:uiPriority w:val="1"/>
    <w:qFormat/>
    <w:rsid w:val="0008103D"/>
    <w:pPr>
      <w:widowControl w:val="0"/>
      <w:autoSpaceDE w:val="0"/>
      <w:autoSpaceDN w:val="0"/>
      <w:spacing w:line="272" w:lineRule="exact"/>
      <w:ind w:left="107"/>
    </w:pPr>
    <w:rPr>
      <w:rFonts w:ascii="Calibri" w:eastAsia="Calibri" w:hAnsi="Calibri" w:cs="Calibri"/>
      <w:color w:val="auto"/>
      <w:sz w:val="22"/>
      <w:szCs w:val="22"/>
      <w:lang w:bidi="en-US"/>
    </w:rPr>
  </w:style>
  <w:style w:type="paragraph" w:customStyle="1" w:styleId="paragraph">
    <w:name w:val="paragraph"/>
    <w:basedOn w:val="Normal"/>
    <w:rsid w:val="00EA3C9C"/>
    <w:pPr>
      <w:spacing w:before="100" w:beforeAutospacing="1" w:after="100" w:afterAutospacing="1" w:line="240" w:lineRule="auto"/>
    </w:pPr>
    <w:rPr>
      <w:color w:val="auto"/>
      <w:szCs w:val="24"/>
    </w:rPr>
  </w:style>
  <w:style w:type="character" w:customStyle="1" w:styleId="normaltextrun">
    <w:name w:val="normaltextrun"/>
    <w:basedOn w:val="DefaultParagraphFont"/>
    <w:rsid w:val="00EA3C9C"/>
  </w:style>
  <w:style w:type="character" w:customStyle="1" w:styleId="eop">
    <w:name w:val="eop"/>
    <w:basedOn w:val="DefaultParagraphFont"/>
    <w:rsid w:val="00EA3C9C"/>
  </w:style>
  <w:style w:type="character" w:customStyle="1" w:styleId="HeaderChar">
    <w:name w:val="Header Char"/>
    <w:basedOn w:val="DefaultParagraphFont"/>
    <w:link w:val="Header"/>
    <w:uiPriority w:val="99"/>
    <w:rsid w:val="001D4004"/>
    <w:rPr>
      <w:color w:val="000000"/>
      <w:sz w:val="24"/>
    </w:rPr>
  </w:style>
  <w:style w:type="character" w:customStyle="1" w:styleId="unsupportedobjecttext">
    <w:name w:val="unsupportedobjecttext"/>
    <w:basedOn w:val="DefaultParagraphFont"/>
    <w:rsid w:val="00237BC7"/>
  </w:style>
  <w:style w:type="character" w:customStyle="1" w:styleId="tabchar">
    <w:name w:val="tabchar"/>
    <w:basedOn w:val="DefaultParagraphFont"/>
    <w:rsid w:val="00DA01F7"/>
  </w:style>
  <w:style w:type="paragraph" w:customStyle="1" w:styleId="xparagraph">
    <w:name w:val="x_paragraph"/>
    <w:basedOn w:val="Normal"/>
    <w:rsid w:val="00922BD1"/>
    <w:pPr>
      <w:spacing w:before="100" w:beforeAutospacing="1" w:after="100" w:afterAutospacing="1" w:line="240" w:lineRule="auto"/>
    </w:pPr>
    <w:rPr>
      <w:color w:val="auto"/>
      <w:szCs w:val="24"/>
    </w:rPr>
  </w:style>
  <w:style w:type="paragraph" w:styleId="HTMLPreformatted">
    <w:name w:val="HTML Preformatted"/>
    <w:basedOn w:val="Normal"/>
    <w:link w:val="HTMLPreformattedChar"/>
    <w:unhideWhenUsed/>
    <w:rsid w:val="00254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auto"/>
      <w:sz w:val="20"/>
    </w:rPr>
  </w:style>
  <w:style w:type="character" w:customStyle="1" w:styleId="HTMLPreformattedChar">
    <w:name w:val="HTML Preformatted Char"/>
    <w:basedOn w:val="DefaultParagraphFont"/>
    <w:link w:val="HTMLPreformatted"/>
    <w:rsid w:val="002548E1"/>
    <w:rPr>
      <w:rFonts w:ascii="Courier New" w:hAnsi="Courier New" w:cs="Courier New"/>
    </w:rPr>
  </w:style>
  <w:style w:type="paragraph" w:customStyle="1" w:styleId="Style0">
    <w:name w:val="Style0"/>
    <w:rsid w:val="001F58AC"/>
    <w:pPr>
      <w:autoSpaceDE w:val="0"/>
      <w:autoSpaceDN w:val="0"/>
      <w:adjustRightInd w:val="0"/>
    </w:pPr>
    <w:rPr>
      <w:rFonts w:ascii="Arial" w:hAnsi="Arial"/>
      <w:sz w:val="24"/>
      <w:szCs w:val="24"/>
    </w:rPr>
  </w:style>
  <w:style w:type="paragraph" w:customStyle="1" w:styleId="xmsonormal">
    <w:name w:val="x_msonormal"/>
    <w:basedOn w:val="Normal"/>
    <w:rsid w:val="00216B78"/>
    <w:pPr>
      <w:spacing w:line="240" w:lineRule="auto"/>
    </w:pPr>
    <w:rPr>
      <w:rFonts w:ascii="Calibri" w:eastAsiaTheme="minorHAnsi" w:hAnsi="Calibri" w:cs="Calibri"/>
      <w:color w:val="auto"/>
      <w:sz w:val="22"/>
      <w:szCs w:val="22"/>
    </w:rPr>
  </w:style>
  <w:style w:type="paragraph" w:styleId="NoSpacing">
    <w:name w:val="No Spacing"/>
    <w:uiPriority w:val="1"/>
    <w:qFormat/>
    <w:rsid w:val="003E7648"/>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E7648"/>
    <w:rPr>
      <w:color w:val="000000"/>
      <w:sz w:val="24"/>
    </w:rPr>
  </w:style>
  <w:style w:type="character" w:styleId="PlaceholderText">
    <w:name w:val="Placeholder Text"/>
    <w:basedOn w:val="DefaultParagraphFont"/>
    <w:uiPriority w:val="99"/>
    <w:semiHidden/>
    <w:rsid w:val="003E7648"/>
    <w:rPr>
      <w:color w:val="808080"/>
    </w:rPr>
  </w:style>
  <w:style w:type="paragraph" w:styleId="PlainText">
    <w:name w:val="Plain Text"/>
    <w:basedOn w:val="Normal"/>
    <w:link w:val="PlainTextChar"/>
    <w:uiPriority w:val="99"/>
    <w:unhideWhenUsed/>
    <w:rsid w:val="003E7648"/>
    <w:pPr>
      <w:spacing w:line="240" w:lineRule="auto"/>
    </w:pPr>
    <w:rPr>
      <w:rFonts w:ascii="Consolas" w:eastAsiaTheme="minorHAnsi" w:hAnsi="Consolas" w:cstheme="minorBidi"/>
      <w:color w:val="auto"/>
      <w:sz w:val="21"/>
      <w:szCs w:val="21"/>
    </w:rPr>
  </w:style>
  <w:style w:type="character" w:customStyle="1" w:styleId="PlainTextChar">
    <w:name w:val="Plain Text Char"/>
    <w:basedOn w:val="DefaultParagraphFont"/>
    <w:link w:val="PlainText"/>
    <w:uiPriority w:val="99"/>
    <w:rsid w:val="003E7648"/>
    <w:rPr>
      <w:rFonts w:ascii="Consolas" w:eastAsiaTheme="minorHAnsi" w:hAnsi="Consolas" w:cstheme="minorBidi"/>
      <w:sz w:val="21"/>
      <w:szCs w:val="21"/>
    </w:rPr>
  </w:style>
  <w:style w:type="character" w:customStyle="1" w:styleId="BodyTextChar">
    <w:name w:val="Body Text Char"/>
    <w:basedOn w:val="DefaultParagraphFont"/>
    <w:link w:val="BodyText"/>
    <w:uiPriority w:val="1"/>
    <w:rsid w:val="003E7648"/>
    <w:rPr>
      <w:sz w:val="24"/>
    </w:rPr>
  </w:style>
  <w:style w:type="paragraph" w:styleId="TOCHeading">
    <w:name w:val="TOC Heading"/>
    <w:basedOn w:val="Heading1"/>
    <w:next w:val="Normal"/>
    <w:uiPriority w:val="39"/>
    <w:unhideWhenUsed/>
    <w:qFormat/>
    <w:rsid w:val="00DE13B4"/>
    <w:pPr>
      <w:pBdr>
        <w:top w:val="none" w:sz="0" w:space="0" w:color="auto"/>
        <w:bottom w:val="none" w:sz="0" w:space="0" w:color="auto"/>
      </w:pBdr>
      <w:spacing w:before="240" w:line="259" w:lineRule="auto"/>
      <w:outlineLvl w:val="9"/>
    </w:pPr>
    <w:rPr>
      <w:rFonts w:asciiTheme="majorHAnsi" w:eastAsiaTheme="majorEastAsia" w:hAnsiTheme="majorHAnsi" w:cstheme="majorBidi"/>
      <w:b w:val="0"/>
      <w:caps/>
      <w:color w:val="2F5496" w:themeColor="accent1" w:themeShade="BF"/>
      <w:kern w:val="0"/>
      <w:sz w:val="32"/>
      <w:szCs w:val="32"/>
    </w:rPr>
  </w:style>
  <w:style w:type="paragraph" w:styleId="TOC1">
    <w:name w:val="toc 1"/>
    <w:basedOn w:val="TGTable"/>
    <w:next w:val="Normal"/>
    <w:autoRedefine/>
    <w:uiPriority w:val="39"/>
    <w:unhideWhenUsed/>
    <w:rsid w:val="00577FED"/>
    <w:pPr>
      <w:tabs>
        <w:tab w:val="left" w:pos="450"/>
        <w:tab w:val="right" w:pos="12950"/>
      </w:tabs>
      <w:ind w:left="274" w:hanging="274"/>
    </w:pPr>
    <w:rPr>
      <w:rFonts w:ascii="Arial" w:hAnsi="Arial" w:cs="Arial"/>
      <w:b/>
      <w:bCs/>
      <w:caps/>
      <w:noProof/>
      <w:szCs w:val="24"/>
    </w:rPr>
  </w:style>
  <w:style w:type="paragraph" w:styleId="TOC3">
    <w:name w:val="toc 3"/>
    <w:basedOn w:val="Normal"/>
    <w:next w:val="Normal"/>
    <w:autoRedefine/>
    <w:uiPriority w:val="39"/>
    <w:unhideWhenUsed/>
    <w:rsid w:val="00604071"/>
    <w:pPr>
      <w:tabs>
        <w:tab w:val="right" w:pos="12946"/>
      </w:tabs>
      <w:ind w:left="1620" w:hanging="540"/>
    </w:pPr>
    <w:rPr>
      <w:rFonts w:ascii="Arial" w:hAnsi="Arial" w:cs="Arial"/>
      <w:noProof/>
    </w:rPr>
  </w:style>
  <w:style w:type="paragraph" w:styleId="TOC2">
    <w:name w:val="toc 2"/>
    <w:basedOn w:val="Normal"/>
    <w:next w:val="Normal"/>
    <w:autoRedefine/>
    <w:uiPriority w:val="39"/>
    <w:unhideWhenUsed/>
    <w:rsid w:val="00341DBA"/>
    <w:pPr>
      <w:tabs>
        <w:tab w:val="left" w:pos="1620"/>
        <w:tab w:val="right" w:pos="12950"/>
      </w:tabs>
      <w:ind w:left="990" w:hanging="540"/>
    </w:pPr>
    <w:rPr>
      <w:rFonts w:ascii="Arial" w:hAnsi="Arial"/>
      <w:bCs/>
      <w:iCs/>
      <w:noProof/>
    </w:rPr>
  </w:style>
  <w:style w:type="paragraph" w:styleId="TOC4">
    <w:name w:val="toc 4"/>
    <w:basedOn w:val="Normal"/>
    <w:next w:val="Normal"/>
    <w:autoRedefine/>
    <w:uiPriority w:val="39"/>
    <w:unhideWhenUsed/>
    <w:rsid w:val="002A171B"/>
    <w:pPr>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2A171B"/>
    <w:pPr>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2A171B"/>
    <w:pPr>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A171B"/>
    <w:pPr>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A171B"/>
    <w:pPr>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A171B"/>
    <w:pPr>
      <w:spacing w:after="100" w:line="259" w:lineRule="auto"/>
      <w:ind w:left="1760"/>
    </w:pPr>
    <w:rPr>
      <w:rFonts w:asciiTheme="minorHAnsi" w:eastAsiaTheme="minorEastAsia" w:hAnsiTheme="minorHAnsi" w:cstheme="minorBidi"/>
      <w:color w:val="auto"/>
      <w:sz w:val="22"/>
      <w:szCs w:val="22"/>
    </w:rPr>
  </w:style>
  <w:style w:type="paragraph" w:customStyle="1" w:styleId="Style1">
    <w:name w:val="Style1"/>
    <w:basedOn w:val="TableHead"/>
    <w:link w:val="Style1Char"/>
    <w:qFormat/>
    <w:rsid w:val="005A4D36"/>
    <w:pPr>
      <w:ind w:left="0"/>
    </w:pPr>
    <w:rPr>
      <w:b/>
      <w:bCs/>
      <w:i w:val="0"/>
      <w:sz w:val="28"/>
      <w:szCs w:val="28"/>
      <w:shd w:val="clear" w:color="auto" w:fill="FFFFFF"/>
    </w:rPr>
  </w:style>
  <w:style w:type="character" w:customStyle="1" w:styleId="TableHeadChar">
    <w:name w:val="Table Head Char"/>
    <w:basedOn w:val="DefaultParagraphFont"/>
    <w:link w:val="TableHead"/>
    <w:rsid w:val="005A4D36"/>
    <w:rPr>
      <w:i/>
      <w:color w:val="000000"/>
      <w:sz w:val="24"/>
    </w:rPr>
  </w:style>
  <w:style w:type="character" w:customStyle="1" w:styleId="Style1Char">
    <w:name w:val="Style1 Char"/>
    <w:basedOn w:val="TableHeadChar"/>
    <w:link w:val="Style1"/>
    <w:rsid w:val="005A4D36"/>
    <w:rPr>
      <w:b/>
      <w:bCs/>
      <w:i w:val="0"/>
      <w:color w:val="000000"/>
      <w:sz w:val="28"/>
      <w:szCs w:val="28"/>
    </w:rPr>
  </w:style>
  <w:style w:type="character" w:customStyle="1" w:styleId="Heading4Char">
    <w:name w:val="Heading 4 Char"/>
    <w:basedOn w:val="DefaultParagraphFont"/>
    <w:link w:val="Heading4"/>
    <w:uiPriority w:val="9"/>
    <w:semiHidden/>
    <w:rsid w:val="00BC2240"/>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BC2240"/>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BC2240"/>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C2240"/>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C224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2240"/>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90260"/>
    <w:pPr>
      <w:spacing w:after="200" w:line="240" w:lineRule="auto"/>
    </w:pPr>
    <w:rPr>
      <w:iCs/>
      <w:color w:val="000000" w:themeColor="text1"/>
      <w:sz w:val="20"/>
      <w:szCs w:val="18"/>
    </w:rPr>
  </w:style>
  <w:style w:type="paragraph" w:styleId="TableofFigures">
    <w:name w:val="table of figures"/>
    <w:basedOn w:val="Normal"/>
    <w:next w:val="Normal"/>
    <w:uiPriority w:val="99"/>
    <w:unhideWhenUsed/>
    <w:rsid w:val="00390260"/>
    <w:pPr>
      <w:ind w:left="720" w:hanging="360"/>
    </w:pPr>
    <w:rPr>
      <w:rFonts w:cstheme="minorHAnsi"/>
      <w:bCs/>
    </w:rPr>
  </w:style>
  <w:style w:type="paragraph" w:customStyle="1" w:styleId="Table">
    <w:name w:val="Table"/>
    <w:basedOn w:val="TableHead"/>
    <w:link w:val="TableChar"/>
    <w:qFormat/>
    <w:rsid w:val="00390260"/>
    <w:pPr>
      <w:numPr>
        <w:numId w:val="95"/>
      </w:numPr>
      <w:spacing w:after="0" w:line="240" w:lineRule="auto"/>
      <w:contextualSpacing/>
    </w:pPr>
    <w:rPr>
      <w:bCs/>
      <w:i w:val="0"/>
      <w:iCs/>
    </w:rPr>
  </w:style>
  <w:style w:type="paragraph" w:styleId="TOAHeading">
    <w:name w:val="toa heading"/>
    <w:basedOn w:val="Normal"/>
    <w:next w:val="Normal"/>
    <w:uiPriority w:val="99"/>
    <w:semiHidden/>
    <w:unhideWhenUsed/>
    <w:rsid w:val="00390260"/>
    <w:pPr>
      <w:numPr>
        <w:numId w:val="94"/>
      </w:numPr>
      <w:spacing w:before="120"/>
    </w:pPr>
    <w:rPr>
      <w:rFonts w:eastAsiaTheme="majorEastAsia" w:cstheme="majorBidi"/>
      <w:b/>
      <w:bCs/>
      <w:sz w:val="20"/>
      <w:szCs w:val="24"/>
    </w:rPr>
  </w:style>
  <w:style w:type="character" w:customStyle="1" w:styleId="TableChar">
    <w:name w:val="Table Char"/>
    <w:basedOn w:val="TableHeadChar"/>
    <w:link w:val="Table"/>
    <w:rsid w:val="00390260"/>
    <w:rPr>
      <w:bCs/>
      <w:i w:val="0"/>
      <w:iCs/>
      <w:color w:val="000000"/>
      <w:sz w:val="24"/>
    </w:rPr>
  </w:style>
  <w:style w:type="table" w:customStyle="1" w:styleId="TableGrid1">
    <w:name w:val="Table Grid1"/>
    <w:basedOn w:val="TableNormal"/>
    <w:next w:val="TableGrid"/>
    <w:uiPriority w:val="39"/>
    <w:rsid w:val="00390260"/>
    <w:tblPr/>
  </w:style>
  <w:style w:type="table" w:customStyle="1" w:styleId="TableGrid2">
    <w:name w:val="Table Grid2"/>
    <w:basedOn w:val="TableNormal"/>
    <w:next w:val="TableGrid"/>
    <w:uiPriority w:val="39"/>
    <w:rsid w:val="00390260"/>
    <w:tblPr/>
  </w:style>
  <w:style w:type="table" w:customStyle="1" w:styleId="TableGrid21">
    <w:name w:val="Table Grid21"/>
    <w:basedOn w:val="TableNormal"/>
    <w:next w:val="TableGrid"/>
    <w:uiPriority w:val="39"/>
    <w:rsid w:val="00390260"/>
    <w:tblPr/>
  </w:style>
  <w:style w:type="table" w:customStyle="1" w:styleId="TableGrid3">
    <w:name w:val="Table Grid3"/>
    <w:basedOn w:val="TableNormal"/>
    <w:next w:val="TableGrid"/>
    <w:uiPriority w:val="39"/>
    <w:rsid w:val="00390260"/>
    <w:rPr>
      <w:rFonts w:asciiTheme="minorHAnsi" w:eastAsiaTheme="minorHAnsi" w:hAnsiTheme="minorHAnsi" w:cstheme="minorBidi"/>
      <w:sz w:val="22"/>
      <w:szCs w:val="22"/>
    </w:rPr>
    <w:tblPr/>
  </w:style>
  <w:style w:type="table" w:customStyle="1" w:styleId="TableGrid4">
    <w:name w:val="Table Grid4"/>
    <w:basedOn w:val="TableNormal"/>
    <w:next w:val="TableGrid"/>
    <w:uiPriority w:val="39"/>
    <w:rsid w:val="00390260"/>
    <w:rPr>
      <w:rFonts w:asciiTheme="minorHAnsi" w:eastAsiaTheme="minorHAnsi" w:hAnsiTheme="minorHAnsi" w:cstheme="minorBidi"/>
      <w:sz w:val="22"/>
      <w:szCs w:val="22"/>
    </w:rPr>
    <w:tblPr/>
  </w:style>
  <w:style w:type="character" w:customStyle="1" w:styleId="Heading2Char">
    <w:name w:val="Heading 2 Char"/>
    <w:basedOn w:val="DefaultParagraphFont"/>
    <w:link w:val="Heading2"/>
    <w:uiPriority w:val="9"/>
    <w:rsid w:val="001514C3"/>
    <w:rPr>
      <w:rFonts w:ascii="Arial" w:hAnsi="Arial" w:cs="Arial"/>
      <w:b/>
      <w:bCs/>
      <w:color w:val="000000"/>
      <w:sz w:val="24"/>
      <w:szCs w:val="24"/>
    </w:rPr>
  </w:style>
  <w:style w:type="character" w:customStyle="1" w:styleId="Heading3Char">
    <w:name w:val="Heading 3 Char"/>
    <w:basedOn w:val="DefaultParagraphFont"/>
    <w:link w:val="Heading3"/>
    <w:rsid w:val="00B76243"/>
    <w:rPr>
      <w:rFonts w:ascii="Arial" w:hAnsi="Arial"/>
      <w:b/>
      <w:color w:val="000000"/>
      <w:kern w:val="20"/>
      <w:sz w:val="24"/>
    </w:rPr>
  </w:style>
  <w:style w:type="table" w:customStyle="1" w:styleId="TableGrid5">
    <w:name w:val="Table Grid5"/>
    <w:basedOn w:val="TableNormal"/>
    <w:next w:val="TableGrid"/>
    <w:uiPriority w:val="39"/>
    <w:rsid w:val="00F03A78"/>
    <w:rPr>
      <w:rFonts w:asciiTheme="minorHAnsi" w:eastAsiaTheme="minorHAnsi" w:hAnsiTheme="minorHAnsi" w:cstheme="minorBidi"/>
      <w:sz w:val="22"/>
      <w:szCs w:val="22"/>
    </w:rPr>
    <w:tblPr/>
  </w:style>
  <w:style w:type="paragraph" w:styleId="Bibliography">
    <w:name w:val="Bibliography"/>
    <w:basedOn w:val="Normal"/>
    <w:next w:val="Normal"/>
    <w:uiPriority w:val="37"/>
    <w:semiHidden/>
    <w:unhideWhenUsed/>
    <w:rsid w:val="00CC6BB3"/>
  </w:style>
  <w:style w:type="paragraph" w:styleId="BlockText">
    <w:name w:val="Block Text"/>
    <w:basedOn w:val="Normal"/>
    <w:uiPriority w:val="99"/>
    <w:semiHidden/>
    <w:unhideWhenUsed/>
    <w:rsid w:val="00CC6BB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CC6BB3"/>
    <w:pPr>
      <w:spacing w:after="120" w:line="480" w:lineRule="auto"/>
    </w:pPr>
  </w:style>
  <w:style w:type="character" w:customStyle="1" w:styleId="BodyText2Char">
    <w:name w:val="Body Text 2 Char"/>
    <w:basedOn w:val="DefaultParagraphFont"/>
    <w:link w:val="BodyText2"/>
    <w:uiPriority w:val="99"/>
    <w:semiHidden/>
    <w:rsid w:val="00CC6BB3"/>
    <w:rPr>
      <w:color w:val="000000"/>
      <w:sz w:val="24"/>
    </w:rPr>
  </w:style>
  <w:style w:type="paragraph" w:styleId="BodyText3">
    <w:name w:val="Body Text 3"/>
    <w:basedOn w:val="Normal"/>
    <w:link w:val="BodyText3Char"/>
    <w:uiPriority w:val="99"/>
    <w:semiHidden/>
    <w:unhideWhenUsed/>
    <w:rsid w:val="00CC6BB3"/>
    <w:pPr>
      <w:spacing w:after="120"/>
    </w:pPr>
    <w:rPr>
      <w:sz w:val="16"/>
      <w:szCs w:val="16"/>
    </w:rPr>
  </w:style>
  <w:style w:type="character" w:customStyle="1" w:styleId="BodyText3Char">
    <w:name w:val="Body Text 3 Char"/>
    <w:basedOn w:val="DefaultParagraphFont"/>
    <w:link w:val="BodyText3"/>
    <w:uiPriority w:val="99"/>
    <w:semiHidden/>
    <w:rsid w:val="00CC6BB3"/>
    <w:rPr>
      <w:color w:val="000000"/>
      <w:sz w:val="16"/>
      <w:szCs w:val="16"/>
    </w:rPr>
  </w:style>
  <w:style w:type="paragraph" w:styleId="BodyTextFirstIndent">
    <w:name w:val="Body Text First Indent"/>
    <w:basedOn w:val="BodyText"/>
    <w:link w:val="BodyTextFirstIndentChar"/>
    <w:uiPriority w:val="99"/>
    <w:semiHidden/>
    <w:unhideWhenUsed/>
    <w:rsid w:val="00CC6BB3"/>
    <w:pPr>
      <w:spacing w:after="0"/>
      <w:ind w:firstLine="360"/>
      <w:jc w:val="left"/>
    </w:pPr>
    <w:rPr>
      <w:color w:val="000000"/>
    </w:rPr>
  </w:style>
  <w:style w:type="character" w:customStyle="1" w:styleId="BodyTextFirstIndentChar">
    <w:name w:val="Body Text First Indent Char"/>
    <w:basedOn w:val="BodyTextChar"/>
    <w:link w:val="BodyTextFirstIndent"/>
    <w:uiPriority w:val="99"/>
    <w:semiHidden/>
    <w:rsid w:val="00CC6BB3"/>
    <w:rPr>
      <w:color w:val="000000"/>
      <w:sz w:val="24"/>
    </w:rPr>
  </w:style>
  <w:style w:type="paragraph" w:styleId="BodyTextIndent">
    <w:name w:val="Body Text Indent"/>
    <w:basedOn w:val="Normal"/>
    <w:link w:val="BodyTextIndentChar"/>
    <w:uiPriority w:val="99"/>
    <w:semiHidden/>
    <w:unhideWhenUsed/>
    <w:rsid w:val="00CC6BB3"/>
    <w:pPr>
      <w:spacing w:after="120"/>
      <w:ind w:left="360"/>
    </w:pPr>
  </w:style>
  <w:style w:type="character" w:customStyle="1" w:styleId="BodyTextIndentChar">
    <w:name w:val="Body Text Indent Char"/>
    <w:basedOn w:val="DefaultParagraphFont"/>
    <w:link w:val="BodyTextIndent"/>
    <w:uiPriority w:val="99"/>
    <w:semiHidden/>
    <w:rsid w:val="00CC6BB3"/>
    <w:rPr>
      <w:color w:val="000000"/>
      <w:sz w:val="24"/>
    </w:rPr>
  </w:style>
  <w:style w:type="paragraph" w:styleId="BodyTextFirstIndent2">
    <w:name w:val="Body Text First Indent 2"/>
    <w:basedOn w:val="BodyTextIndent"/>
    <w:link w:val="BodyTextFirstIndent2Char"/>
    <w:uiPriority w:val="99"/>
    <w:semiHidden/>
    <w:unhideWhenUsed/>
    <w:rsid w:val="00CC6BB3"/>
    <w:pPr>
      <w:spacing w:after="0"/>
      <w:ind w:firstLine="360"/>
    </w:pPr>
  </w:style>
  <w:style w:type="character" w:customStyle="1" w:styleId="BodyTextFirstIndent2Char">
    <w:name w:val="Body Text First Indent 2 Char"/>
    <w:basedOn w:val="BodyTextIndentChar"/>
    <w:link w:val="BodyTextFirstIndent2"/>
    <w:uiPriority w:val="99"/>
    <w:semiHidden/>
    <w:rsid w:val="00CC6BB3"/>
    <w:rPr>
      <w:color w:val="000000"/>
      <w:sz w:val="24"/>
    </w:rPr>
  </w:style>
  <w:style w:type="paragraph" w:styleId="BodyTextIndent2">
    <w:name w:val="Body Text Indent 2"/>
    <w:basedOn w:val="Normal"/>
    <w:link w:val="BodyTextIndent2Char"/>
    <w:uiPriority w:val="99"/>
    <w:semiHidden/>
    <w:unhideWhenUsed/>
    <w:rsid w:val="00CC6BB3"/>
    <w:pPr>
      <w:spacing w:after="120" w:line="480" w:lineRule="auto"/>
      <w:ind w:left="360"/>
    </w:pPr>
  </w:style>
  <w:style w:type="character" w:customStyle="1" w:styleId="BodyTextIndent2Char">
    <w:name w:val="Body Text Indent 2 Char"/>
    <w:basedOn w:val="DefaultParagraphFont"/>
    <w:link w:val="BodyTextIndent2"/>
    <w:uiPriority w:val="99"/>
    <w:semiHidden/>
    <w:rsid w:val="00CC6BB3"/>
    <w:rPr>
      <w:color w:val="000000"/>
      <w:sz w:val="24"/>
    </w:rPr>
  </w:style>
  <w:style w:type="paragraph" w:styleId="BodyTextIndent3">
    <w:name w:val="Body Text Indent 3"/>
    <w:basedOn w:val="Normal"/>
    <w:link w:val="BodyTextIndent3Char"/>
    <w:uiPriority w:val="99"/>
    <w:semiHidden/>
    <w:unhideWhenUsed/>
    <w:rsid w:val="00CC6BB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C6BB3"/>
    <w:rPr>
      <w:color w:val="000000"/>
      <w:sz w:val="16"/>
      <w:szCs w:val="16"/>
    </w:rPr>
  </w:style>
  <w:style w:type="paragraph" w:styleId="Closing">
    <w:name w:val="Closing"/>
    <w:basedOn w:val="Normal"/>
    <w:link w:val="ClosingChar"/>
    <w:uiPriority w:val="99"/>
    <w:semiHidden/>
    <w:unhideWhenUsed/>
    <w:rsid w:val="00CC6BB3"/>
    <w:pPr>
      <w:spacing w:line="240" w:lineRule="auto"/>
      <w:ind w:left="4320"/>
    </w:pPr>
  </w:style>
  <w:style w:type="character" w:customStyle="1" w:styleId="ClosingChar">
    <w:name w:val="Closing Char"/>
    <w:basedOn w:val="DefaultParagraphFont"/>
    <w:link w:val="Closing"/>
    <w:uiPriority w:val="99"/>
    <w:semiHidden/>
    <w:rsid w:val="00CC6BB3"/>
    <w:rPr>
      <w:color w:val="000000"/>
      <w:sz w:val="24"/>
    </w:rPr>
  </w:style>
  <w:style w:type="paragraph" w:styleId="Date">
    <w:name w:val="Date"/>
    <w:basedOn w:val="Normal"/>
    <w:next w:val="Normal"/>
    <w:link w:val="DateChar"/>
    <w:uiPriority w:val="99"/>
    <w:semiHidden/>
    <w:unhideWhenUsed/>
    <w:rsid w:val="00CC6BB3"/>
  </w:style>
  <w:style w:type="character" w:customStyle="1" w:styleId="DateChar">
    <w:name w:val="Date Char"/>
    <w:basedOn w:val="DefaultParagraphFont"/>
    <w:link w:val="Date"/>
    <w:uiPriority w:val="99"/>
    <w:semiHidden/>
    <w:rsid w:val="00CC6BB3"/>
    <w:rPr>
      <w:color w:val="000000"/>
      <w:sz w:val="24"/>
    </w:rPr>
  </w:style>
  <w:style w:type="paragraph" w:styleId="DocumentMap">
    <w:name w:val="Document Map"/>
    <w:basedOn w:val="Normal"/>
    <w:link w:val="DocumentMapChar"/>
    <w:uiPriority w:val="99"/>
    <w:semiHidden/>
    <w:unhideWhenUsed/>
    <w:rsid w:val="00CC6BB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C6BB3"/>
    <w:rPr>
      <w:rFonts w:ascii="Segoe UI" w:hAnsi="Segoe UI" w:cs="Segoe UI"/>
      <w:color w:val="000000"/>
      <w:sz w:val="16"/>
      <w:szCs w:val="16"/>
    </w:rPr>
  </w:style>
  <w:style w:type="paragraph" w:styleId="E-mailSignature">
    <w:name w:val="E-mail Signature"/>
    <w:basedOn w:val="Normal"/>
    <w:link w:val="E-mailSignatureChar"/>
    <w:uiPriority w:val="99"/>
    <w:semiHidden/>
    <w:unhideWhenUsed/>
    <w:rsid w:val="00CC6BB3"/>
    <w:pPr>
      <w:spacing w:line="240" w:lineRule="auto"/>
    </w:pPr>
  </w:style>
  <w:style w:type="character" w:customStyle="1" w:styleId="E-mailSignatureChar">
    <w:name w:val="E-mail Signature Char"/>
    <w:basedOn w:val="DefaultParagraphFont"/>
    <w:link w:val="E-mailSignature"/>
    <w:uiPriority w:val="99"/>
    <w:semiHidden/>
    <w:rsid w:val="00CC6BB3"/>
    <w:rPr>
      <w:color w:val="000000"/>
      <w:sz w:val="24"/>
    </w:rPr>
  </w:style>
  <w:style w:type="paragraph" w:styleId="EndnoteText">
    <w:name w:val="endnote text"/>
    <w:basedOn w:val="Normal"/>
    <w:link w:val="EndnoteTextChar"/>
    <w:uiPriority w:val="99"/>
    <w:semiHidden/>
    <w:unhideWhenUsed/>
    <w:rsid w:val="00CC6BB3"/>
    <w:pPr>
      <w:spacing w:line="240" w:lineRule="auto"/>
    </w:pPr>
    <w:rPr>
      <w:sz w:val="20"/>
    </w:rPr>
  </w:style>
  <w:style w:type="character" w:customStyle="1" w:styleId="EndnoteTextChar">
    <w:name w:val="Endnote Text Char"/>
    <w:basedOn w:val="DefaultParagraphFont"/>
    <w:link w:val="EndnoteText"/>
    <w:uiPriority w:val="99"/>
    <w:semiHidden/>
    <w:rsid w:val="00CC6BB3"/>
    <w:rPr>
      <w:color w:val="000000"/>
    </w:rPr>
  </w:style>
  <w:style w:type="paragraph" w:styleId="EnvelopeAddress">
    <w:name w:val="envelope address"/>
    <w:basedOn w:val="Normal"/>
    <w:uiPriority w:val="99"/>
    <w:semiHidden/>
    <w:unhideWhenUsed/>
    <w:rsid w:val="00CC6BB3"/>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CC6BB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CC6BB3"/>
    <w:pPr>
      <w:spacing w:line="240" w:lineRule="auto"/>
    </w:pPr>
    <w:rPr>
      <w:sz w:val="20"/>
    </w:rPr>
  </w:style>
  <w:style w:type="character" w:customStyle="1" w:styleId="FootnoteTextChar">
    <w:name w:val="Footnote Text Char"/>
    <w:basedOn w:val="DefaultParagraphFont"/>
    <w:link w:val="FootnoteText"/>
    <w:uiPriority w:val="99"/>
    <w:semiHidden/>
    <w:rsid w:val="00CC6BB3"/>
    <w:rPr>
      <w:color w:val="000000"/>
    </w:rPr>
  </w:style>
  <w:style w:type="paragraph" w:styleId="HTMLAddress">
    <w:name w:val="HTML Address"/>
    <w:basedOn w:val="Normal"/>
    <w:link w:val="HTMLAddressChar"/>
    <w:uiPriority w:val="99"/>
    <w:semiHidden/>
    <w:unhideWhenUsed/>
    <w:rsid w:val="00CC6BB3"/>
    <w:pPr>
      <w:spacing w:line="240" w:lineRule="auto"/>
    </w:pPr>
    <w:rPr>
      <w:i/>
      <w:iCs/>
    </w:rPr>
  </w:style>
  <w:style w:type="character" w:customStyle="1" w:styleId="HTMLAddressChar">
    <w:name w:val="HTML Address Char"/>
    <w:basedOn w:val="DefaultParagraphFont"/>
    <w:link w:val="HTMLAddress"/>
    <w:uiPriority w:val="99"/>
    <w:semiHidden/>
    <w:rsid w:val="00CC6BB3"/>
    <w:rPr>
      <w:i/>
      <w:iCs/>
      <w:color w:val="000000"/>
      <w:sz w:val="24"/>
    </w:rPr>
  </w:style>
  <w:style w:type="paragraph" w:styleId="IntenseQuote">
    <w:name w:val="Intense Quote"/>
    <w:basedOn w:val="Normal"/>
    <w:next w:val="Normal"/>
    <w:link w:val="IntenseQuoteChar"/>
    <w:uiPriority w:val="30"/>
    <w:qFormat/>
    <w:rsid w:val="00CC6BB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C6BB3"/>
    <w:rPr>
      <w:i/>
      <w:iCs/>
      <w:color w:val="4472C4" w:themeColor="accent1"/>
      <w:sz w:val="24"/>
    </w:rPr>
  </w:style>
  <w:style w:type="paragraph" w:styleId="List2">
    <w:name w:val="List 2"/>
    <w:basedOn w:val="Normal"/>
    <w:uiPriority w:val="99"/>
    <w:semiHidden/>
    <w:unhideWhenUsed/>
    <w:rsid w:val="00CC6BB3"/>
    <w:pPr>
      <w:ind w:left="720" w:hanging="360"/>
      <w:contextualSpacing/>
    </w:pPr>
  </w:style>
  <w:style w:type="paragraph" w:styleId="List3">
    <w:name w:val="List 3"/>
    <w:basedOn w:val="Normal"/>
    <w:uiPriority w:val="99"/>
    <w:semiHidden/>
    <w:unhideWhenUsed/>
    <w:rsid w:val="00CC6BB3"/>
    <w:pPr>
      <w:ind w:left="1080" w:hanging="360"/>
      <w:contextualSpacing/>
    </w:pPr>
  </w:style>
  <w:style w:type="paragraph" w:styleId="List4">
    <w:name w:val="List 4"/>
    <w:basedOn w:val="Normal"/>
    <w:uiPriority w:val="99"/>
    <w:semiHidden/>
    <w:unhideWhenUsed/>
    <w:rsid w:val="00CC6BB3"/>
    <w:pPr>
      <w:ind w:left="1440" w:hanging="360"/>
      <w:contextualSpacing/>
    </w:pPr>
  </w:style>
  <w:style w:type="paragraph" w:styleId="List5">
    <w:name w:val="List 5"/>
    <w:basedOn w:val="Normal"/>
    <w:uiPriority w:val="99"/>
    <w:semiHidden/>
    <w:unhideWhenUsed/>
    <w:rsid w:val="00CC6BB3"/>
    <w:pPr>
      <w:ind w:left="1800" w:hanging="360"/>
      <w:contextualSpacing/>
    </w:pPr>
  </w:style>
  <w:style w:type="paragraph" w:styleId="ListBullet2">
    <w:name w:val="List Bullet 2"/>
    <w:basedOn w:val="Normal"/>
    <w:uiPriority w:val="99"/>
    <w:semiHidden/>
    <w:unhideWhenUsed/>
    <w:rsid w:val="00CC6BB3"/>
    <w:pPr>
      <w:numPr>
        <w:numId w:val="105"/>
      </w:numPr>
      <w:contextualSpacing/>
    </w:pPr>
  </w:style>
  <w:style w:type="paragraph" w:styleId="ListBullet3">
    <w:name w:val="List Bullet 3"/>
    <w:basedOn w:val="Normal"/>
    <w:uiPriority w:val="99"/>
    <w:semiHidden/>
    <w:unhideWhenUsed/>
    <w:rsid w:val="00CC6BB3"/>
    <w:pPr>
      <w:numPr>
        <w:numId w:val="106"/>
      </w:numPr>
      <w:contextualSpacing/>
    </w:pPr>
  </w:style>
  <w:style w:type="paragraph" w:styleId="ListBullet4">
    <w:name w:val="List Bullet 4"/>
    <w:basedOn w:val="Normal"/>
    <w:uiPriority w:val="99"/>
    <w:semiHidden/>
    <w:unhideWhenUsed/>
    <w:rsid w:val="00CC6BB3"/>
    <w:pPr>
      <w:numPr>
        <w:numId w:val="107"/>
      </w:numPr>
      <w:contextualSpacing/>
    </w:pPr>
  </w:style>
  <w:style w:type="paragraph" w:styleId="ListBullet5">
    <w:name w:val="List Bullet 5"/>
    <w:basedOn w:val="Normal"/>
    <w:uiPriority w:val="99"/>
    <w:semiHidden/>
    <w:unhideWhenUsed/>
    <w:rsid w:val="00CC6BB3"/>
    <w:pPr>
      <w:numPr>
        <w:numId w:val="108"/>
      </w:numPr>
      <w:contextualSpacing/>
    </w:pPr>
  </w:style>
  <w:style w:type="paragraph" w:styleId="ListContinue">
    <w:name w:val="List Continue"/>
    <w:basedOn w:val="Normal"/>
    <w:uiPriority w:val="99"/>
    <w:semiHidden/>
    <w:unhideWhenUsed/>
    <w:rsid w:val="00CC6BB3"/>
    <w:pPr>
      <w:spacing w:after="120"/>
      <w:ind w:left="360"/>
      <w:contextualSpacing/>
    </w:pPr>
  </w:style>
  <w:style w:type="paragraph" w:styleId="ListContinue2">
    <w:name w:val="List Continue 2"/>
    <w:basedOn w:val="Normal"/>
    <w:uiPriority w:val="99"/>
    <w:semiHidden/>
    <w:unhideWhenUsed/>
    <w:rsid w:val="00CC6BB3"/>
    <w:pPr>
      <w:spacing w:after="120"/>
      <w:ind w:left="720"/>
      <w:contextualSpacing/>
    </w:pPr>
  </w:style>
  <w:style w:type="paragraph" w:styleId="ListContinue3">
    <w:name w:val="List Continue 3"/>
    <w:basedOn w:val="Normal"/>
    <w:uiPriority w:val="99"/>
    <w:semiHidden/>
    <w:unhideWhenUsed/>
    <w:rsid w:val="00CC6BB3"/>
    <w:pPr>
      <w:spacing w:after="120"/>
      <w:ind w:left="1080"/>
      <w:contextualSpacing/>
    </w:pPr>
  </w:style>
  <w:style w:type="paragraph" w:styleId="ListContinue4">
    <w:name w:val="List Continue 4"/>
    <w:basedOn w:val="Normal"/>
    <w:uiPriority w:val="99"/>
    <w:semiHidden/>
    <w:unhideWhenUsed/>
    <w:rsid w:val="00CC6BB3"/>
    <w:pPr>
      <w:spacing w:after="120"/>
      <w:ind w:left="1440"/>
      <w:contextualSpacing/>
    </w:pPr>
  </w:style>
  <w:style w:type="paragraph" w:styleId="ListContinue5">
    <w:name w:val="List Continue 5"/>
    <w:basedOn w:val="Normal"/>
    <w:uiPriority w:val="99"/>
    <w:semiHidden/>
    <w:unhideWhenUsed/>
    <w:rsid w:val="00CC6BB3"/>
    <w:pPr>
      <w:spacing w:after="120"/>
      <w:ind w:left="1800"/>
      <w:contextualSpacing/>
    </w:pPr>
  </w:style>
  <w:style w:type="paragraph" w:styleId="ListNumber2">
    <w:name w:val="List Number 2"/>
    <w:basedOn w:val="Normal"/>
    <w:uiPriority w:val="99"/>
    <w:semiHidden/>
    <w:unhideWhenUsed/>
    <w:rsid w:val="00CC6BB3"/>
    <w:pPr>
      <w:numPr>
        <w:numId w:val="109"/>
      </w:numPr>
      <w:contextualSpacing/>
    </w:pPr>
  </w:style>
  <w:style w:type="paragraph" w:styleId="ListNumber3">
    <w:name w:val="List Number 3"/>
    <w:basedOn w:val="Normal"/>
    <w:uiPriority w:val="99"/>
    <w:semiHidden/>
    <w:unhideWhenUsed/>
    <w:rsid w:val="00CC6BB3"/>
    <w:pPr>
      <w:numPr>
        <w:numId w:val="110"/>
      </w:numPr>
      <w:contextualSpacing/>
    </w:pPr>
  </w:style>
  <w:style w:type="paragraph" w:styleId="ListNumber4">
    <w:name w:val="List Number 4"/>
    <w:basedOn w:val="Normal"/>
    <w:uiPriority w:val="99"/>
    <w:semiHidden/>
    <w:unhideWhenUsed/>
    <w:rsid w:val="00CC6BB3"/>
    <w:pPr>
      <w:numPr>
        <w:numId w:val="111"/>
      </w:numPr>
      <w:contextualSpacing/>
    </w:pPr>
  </w:style>
  <w:style w:type="paragraph" w:styleId="ListNumber5">
    <w:name w:val="List Number 5"/>
    <w:basedOn w:val="Normal"/>
    <w:uiPriority w:val="99"/>
    <w:semiHidden/>
    <w:unhideWhenUsed/>
    <w:rsid w:val="00CC6BB3"/>
    <w:pPr>
      <w:numPr>
        <w:numId w:val="112"/>
      </w:numPr>
      <w:contextualSpacing/>
    </w:pPr>
  </w:style>
  <w:style w:type="paragraph" w:styleId="MacroText">
    <w:name w:val="macro"/>
    <w:link w:val="MacroTextChar"/>
    <w:uiPriority w:val="99"/>
    <w:semiHidden/>
    <w:unhideWhenUsed/>
    <w:rsid w:val="00CC6BB3"/>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olor w:val="000000"/>
    </w:rPr>
  </w:style>
  <w:style w:type="character" w:customStyle="1" w:styleId="MacroTextChar">
    <w:name w:val="Macro Text Char"/>
    <w:basedOn w:val="DefaultParagraphFont"/>
    <w:link w:val="MacroText"/>
    <w:uiPriority w:val="99"/>
    <w:semiHidden/>
    <w:rsid w:val="00CC6BB3"/>
    <w:rPr>
      <w:rFonts w:ascii="Consolas" w:hAnsi="Consolas"/>
      <w:color w:val="000000"/>
    </w:rPr>
  </w:style>
  <w:style w:type="paragraph" w:styleId="MessageHeader">
    <w:name w:val="Message Header"/>
    <w:basedOn w:val="Normal"/>
    <w:link w:val="MessageHeaderChar"/>
    <w:uiPriority w:val="99"/>
    <w:semiHidden/>
    <w:unhideWhenUsed/>
    <w:rsid w:val="00CC6BB3"/>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CC6BB3"/>
    <w:rPr>
      <w:rFonts w:asciiTheme="majorHAnsi" w:eastAsiaTheme="majorEastAsia" w:hAnsiTheme="majorHAnsi" w:cstheme="majorBidi"/>
      <w:color w:val="000000"/>
      <w:sz w:val="24"/>
      <w:szCs w:val="24"/>
      <w:shd w:val="pct20" w:color="auto" w:fill="auto"/>
    </w:rPr>
  </w:style>
  <w:style w:type="paragraph" w:styleId="NormalIndent">
    <w:name w:val="Normal Indent"/>
    <w:basedOn w:val="Normal"/>
    <w:uiPriority w:val="99"/>
    <w:semiHidden/>
    <w:unhideWhenUsed/>
    <w:rsid w:val="00CC6BB3"/>
    <w:pPr>
      <w:ind w:left="720"/>
    </w:pPr>
  </w:style>
  <w:style w:type="paragraph" w:styleId="NoteHeading">
    <w:name w:val="Note Heading"/>
    <w:basedOn w:val="Normal"/>
    <w:next w:val="Normal"/>
    <w:link w:val="NoteHeadingChar"/>
    <w:uiPriority w:val="99"/>
    <w:semiHidden/>
    <w:unhideWhenUsed/>
    <w:rsid w:val="00CC6BB3"/>
    <w:pPr>
      <w:spacing w:line="240" w:lineRule="auto"/>
    </w:pPr>
  </w:style>
  <w:style w:type="character" w:customStyle="1" w:styleId="NoteHeadingChar">
    <w:name w:val="Note Heading Char"/>
    <w:basedOn w:val="DefaultParagraphFont"/>
    <w:link w:val="NoteHeading"/>
    <w:uiPriority w:val="99"/>
    <w:semiHidden/>
    <w:rsid w:val="00CC6BB3"/>
    <w:rPr>
      <w:color w:val="000000"/>
      <w:sz w:val="24"/>
    </w:rPr>
  </w:style>
  <w:style w:type="paragraph" w:styleId="Quote">
    <w:name w:val="Quote"/>
    <w:basedOn w:val="Normal"/>
    <w:next w:val="Normal"/>
    <w:link w:val="QuoteChar"/>
    <w:uiPriority w:val="29"/>
    <w:qFormat/>
    <w:rsid w:val="00CC6BB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C6BB3"/>
    <w:rPr>
      <w:i/>
      <w:iCs/>
      <w:color w:val="404040" w:themeColor="text1" w:themeTint="BF"/>
      <w:sz w:val="24"/>
    </w:rPr>
  </w:style>
  <w:style w:type="paragraph" w:styleId="Salutation">
    <w:name w:val="Salutation"/>
    <w:basedOn w:val="Normal"/>
    <w:next w:val="Normal"/>
    <w:link w:val="SalutationChar"/>
    <w:uiPriority w:val="99"/>
    <w:semiHidden/>
    <w:unhideWhenUsed/>
    <w:rsid w:val="00CC6BB3"/>
  </w:style>
  <w:style w:type="character" w:customStyle="1" w:styleId="SalutationChar">
    <w:name w:val="Salutation Char"/>
    <w:basedOn w:val="DefaultParagraphFont"/>
    <w:link w:val="Salutation"/>
    <w:uiPriority w:val="99"/>
    <w:semiHidden/>
    <w:rsid w:val="00CC6BB3"/>
    <w:rPr>
      <w:color w:val="000000"/>
      <w:sz w:val="24"/>
    </w:rPr>
  </w:style>
  <w:style w:type="paragraph" w:styleId="Signature">
    <w:name w:val="Signature"/>
    <w:basedOn w:val="Normal"/>
    <w:link w:val="SignatureChar"/>
    <w:uiPriority w:val="99"/>
    <w:semiHidden/>
    <w:unhideWhenUsed/>
    <w:rsid w:val="00CC6BB3"/>
    <w:pPr>
      <w:spacing w:line="240" w:lineRule="auto"/>
      <w:ind w:left="4320"/>
    </w:pPr>
  </w:style>
  <w:style w:type="character" w:customStyle="1" w:styleId="SignatureChar">
    <w:name w:val="Signature Char"/>
    <w:basedOn w:val="DefaultParagraphFont"/>
    <w:link w:val="Signature"/>
    <w:uiPriority w:val="99"/>
    <w:semiHidden/>
    <w:rsid w:val="00CC6BB3"/>
    <w:rPr>
      <w:color w:val="000000"/>
      <w:sz w:val="24"/>
    </w:rPr>
  </w:style>
  <w:style w:type="paragraph" w:styleId="Subtitle">
    <w:name w:val="Subtitle"/>
    <w:basedOn w:val="Normal"/>
    <w:next w:val="Normal"/>
    <w:link w:val="SubtitleChar"/>
    <w:uiPriority w:val="11"/>
    <w:qFormat/>
    <w:rsid w:val="00CC6B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C6BB3"/>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CC6BB3"/>
    <w:pPr>
      <w:ind w:left="240" w:hanging="240"/>
    </w:pPr>
  </w:style>
  <w:style w:type="paragraph" w:styleId="Title">
    <w:name w:val="Title"/>
    <w:basedOn w:val="Normal"/>
    <w:next w:val="Normal"/>
    <w:link w:val="TitleChar"/>
    <w:uiPriority w:val="10"/>
    <w:qFormat/>
    <w:rsid w:val="00CC6BB3"/>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C6BB3"/>
    <w:rPr>
      <w:rFonts w:asciiTheme="majorHAnsi" w:eastAsiaTheme="majorEastAsia" w:hAnsiTheme="majorHAnsi" w:cstheme="majorBidi"/>
      <w:spacing w:val="-10"/>
      <w:kern w:val="28"/>
      <w:sz w:val="56"/>
      <w:szCs w:val="56"/>
    </w:rPr>
  </w:style>
  <w:style w:type="paragraph" w:customStyle="1" w:styleId="msonormal0">
    <w:name w:val="msonormal"/>
    <w:basedOn w:val="Normal"/>
    <w:rsid w:val="00366D1F"/>
    <w:pPr>
      <w:spacing w:before="100" w:beforeAutospacing="1" w:after="100" w:afterAutospacing="1" w:line="240" w:lineRule="auto"/>
    </w:pPr>
    <w:rPr>
      <w:color w:val="auto"/>
      <w:szCs w:val="24"/>
    </w:rPr>
  </w:style>
  <w:style w:type="paragraph" w:customStyle="1" w:styleId="xl65">
    <w:name w:val="xl65"/>
    <w:basedOn w:val="Normal"/>
    <w:rsid w:val="00366D1F"/>
    <w:pPr>
      <w:spacing w:before="100" w:beforeAutospacing="1" w:after="100" w:afterAutospacing="1" w:line="240" w:lineRule="auto"/>
      <w:jc w:val="center"/>
    </w:pPr>
    <w:rPr>
      <w:color w:val="auto"/>
      <w:szCs w:val="24"/>
    </w:rPr>
  </w:style>
  <w:style w:type="paragraph" w:customStyle="1" w:styleId="xl66">
    <w:name w:val="xl66"/>
    <w:basedOn w:val="Normal"/>
    <w:rsid w:val="00366D1F"/>
    <w:pPr>
      <w:spacing w:before="100" w:beforeAutospacing="1" w:after="100" w:afterAutospacing="1" w:line="240" w:lineRule="auto"/>
      <w:jc w:val="center"/>
    </w:pPr>
    <w:rPr>
      <w:color w:val="auto"/>
      <w:szCs w:val="24"/>
    </w:rPr>
  </w:style>
  <w:style w:type="character" w:customStyle="1" w:styleId="contentcontrolboundarysink">
    <w:name w:val="contentcontrolboundarysink"/>
    <w:basedOn w:val="DefaultParagraphFont"/>
    <w:rsid w:val="00C62A5B"/>
  </w:style>
  <w:style w:type="character" w:customStyle="1" w:styleId="textrun">
    <w:name w:val="textrun"/>
    <w:basedOn w:val="DefaultParagraphFont"/>
    <w:rsid w:val="00A11E4E"/>
  </w:style>
  <w:style w:type="paragraph" w:customStyle="1" w:styleId="outlineelement">
    <w:name w:val="outlineelement"/>
    <w:basedOn w:val="Normal"/>
    <w:rsid w:val="00A11E4E"/>
    <w:pPr>
      <w:spacing w:before="100" w:beforeAutospacing="1" w:after="100" w:afterAutospacing="1" w:line="240" w:lineRule="auto"/>
    </w:pPr>
    <w:rPr>
      <w:color w:val="auto"/>
      <w:szCs w:val="24"/>
    </w:rPr>
  </w:style>
  <w:style w:type="character" w:customStyle="1" w:styleId="wacimagecontainer">
    <w:name w:val="wacimagecontainer"/>
    <w:basedOn w:val="DefaultParagraphFont"/>
    <w:rsid w:val="00A11E4E"/>
  </w:style>
  <w:style w:type="character" w:customStyle="1" w:styleId="wacimageborder">
    <w:name w:val="wacimageborder"/>
    <w:basedOn w:val="DefaultParagraphFont"/>
    <w:rsid w:val="00A11E4E"/>
  </w:style>
  <w:style w:type="paragraph" w:customStyle="1" w:styleId="TGTable">
    <w:name w:val="TGTable"/>
    <w:next w:val="Normal"/>
    <w:link w:val="TGTableChar"/>
    <w:qFormat/>
    <w:rsid w:val="0034261C"/>
    <w:pPr>
      <w:contextualSpacing/>
    </w:pPr>
    <w:rPr>
      <w:iCs/>
      <w:color w:val="000000"/>
      <w:sz w:val="24"/>
    </w:rPr>
  </w:style>
  <w:style w:type="character" w:customStyle="1" w:styleId="TGTableChar">
    <w:name w:val="TGTable Char"/>
    <w:basedOn w:val="TableHeadChar"/>
    <w:link w:val="TGTable"/>
    <w:rsid w:val="0034261C"/>
    <w:rPr>
      <w:i w:val="0"/>
      <w:iCs/>
      <w:color w:val="000000"/>
      <w:sz w:val="24"/>
    </w:rPr>
  </w:style>
  <w:style w:type="paragraph" w:customStyle="1" w:styleId="contentpasted1">
    <w:name w:val="contentpasted1"/>
    <w:basedOn w:val="Normal"/>
    <w:rsid w:val="007F5233"/>
    <w:pPr>
      <w:spacing w:line="240" w:lineRule="auto"/>
    </w:pPr>
    <w:rPr>
      <w:rFonts w:ascii="Calibri" w:eastAsiaTheme="minorHAnsi" w:hAnsi="Calibri" w:cs="Calibri"/>
      <w:color w:val="auto"/>
      <w:sz w:val="22"/>
      <w:szCs w:val="22"/>
    </w:rPr>
  </w:style>
  <w:style w:type="character" w:customStyle="1" w:styleId="contentpasted0">
    <w:name w:val="contentpasted0"/>
    <w:basedOn w:val="DefaultParagraphFont"/>
    <w:rsid w:val="007F5233"/>
  </w:style>
  <w:style w:type="character" w:customStyle="1" w:styleId="contentpasted12">
    <w:name w:val="contentpasted12"/>
    <w:basedOn w:val="DefaultParagraphFont"/>
    <w:rsid w:val="007F5233"/>
  </w:style>
  <w:style w:type="paragraph" w:customStyle="1" w:styleId="xmsolistparagraph">
    <w:name w:val="x_msolistparagraph"/>
    <w:basedOn w:val="Normal"/>
    <w:rsid w:val="00FB54A2"/>
    <w:pPr>
      <w:spacing w:before="100" w:beforeAutospacing="1" w:after="100" w:afterAutospacing="1" w:line="240" w:lineRule="auto"/>
    </w:pPr>
    <w:rPr>
      <w:rFonts w:ascii="Calibri" w:eastAsiaTheme="minorHAnsi" w:hAnsi="Calibri" w:cs="Calibri"/>
      <w:color w:val="auto"/>
      <w:sz w:val="22"/>
      <w:szCs w:val="22"/>
    </w:rPr>
  </w:style>
  <w:style w:type="character" w:customStyle="1" w:styleId="scxp191966155">
    <w:name w:val="scxp191966155"/>
    <w:basedOn w:val="DefaultParagraphFont"/>
    <w:rsid w:val="009141DA"/>
  </w:style>
  <w:style w:type="numbering" w:customStyle="1" w:styleId="TechGuideHeadings">
    <w:name w:val="TechGuideHeadings"/>
    <w:uiPriority w:val="99"/>
    <w:rsid w:val="00D32024"/>
    <w:pPr>
      <w:numPr>
        <w:numId w:val="100"/>
      </w:numPr>
    </w:pPr>
  </w:style>
  <w:style w:type="character" w:styleId="FootnoteReference">
    <w:name w:val="footnote reference"/>
    <w:basedOn w:val="DefaultParagraphFont"/>
    <w:uiPriority w:val="99"/>
    <w:unhideWhenUsed/>
    <w:rsid w:val="00DE0BC8"/>
    <w:rPr>
      <w:vertAlign w:val="superscript"/>
    </w:rPr>
  </w:style>
  <w:style w:type="table" w:styleId="GridTable1Light-Accent3">
    <w:name w:val="Grid Table 1 Light Accent 3"/>
    <w:basedOn w:val="TableNormal"/>
    <w:uiPriority w:val="46"/>
    <w:rsid w:val="00545F7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EndnoteReference">
    <w:name w:val="endnote reference"/>
    <w:basedOn w:val="DefaultParagraphFont"/>
    <w:uiPriority w:val="99"/>
    <w:semiHidden/>
    <w:unhideWhenUsed/>
    <w:rsid w:val="006C4797"/>
    <w:rPr>
      <w:vertAlign w:val="superscript"/>
    </w:rPr>
  </w:style>
  <w:style w:type="table" w:styleId="GridTable4-Accent3">
    <w:name w:val="Grid Table 4 Accent 3"/>
    <w:basedOn w:val="TableNormal"/>
    <w:uiPriority w:val="49"/>
    <w:rsid w:val="005D6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0305">
      <w:bodyDiv w:val="1"/>
      <w:marLeft w:val="0"/>
      <w:marRight w:val="0"/>
      <w:marTop w:val="0"/>
      <w:marBottom w:val="0"/>
      <w:divBdr>
        <w:top w:val="none" w:sz="0" w:space="0" w:color="auto"/>
        <w:left w:val="none" w:sz="0" w:space="0" w:color="auto"/>
        <w:bottom w:val="none" w:sz="0" w:space="0" w:color="auto"/>
        <w:right w:val="none" w:sz="0" w:space="0" w:color="auto"/>
      </w:divBdr>
      <w:divsChild>
        <w:div w:id="436340154">
          <w:marLeft w:val="0"/>
          <w:marRight w:val="0"/>
          <w:marTop w:val="0"/>
          <w:marBottom w:val="0"/>
          <w:divBdr>
            <w:top w:val="none" w:sz="0" w:space="0" w:color="auto"/>
            <w:left w:val="none" w:sz="0" w:space="0" w:color="auto"/>
            <w:bottom w:val="none" w:sz="0" w:space="0" w:color="auto"/>
            <w:right w:val="none" w:sz="0" w:space="0" w:color="auto"/>
          </w:divBdr>
        </w:div>
        <w:div w:id="1188637639">
          <w:marLeft w:val="0"/>
          <w:marRight w:val="0"/>
          <w:marTop w:val="0"/>
          <w:marBottom w:val="0"/>
          <w:divBdr>
            <w:top w:val="none" w:sz="0" w:space="0" w:color="auto"/>
            <w:left w:val="none" w:sz="0" w:space="0" w:color="auto"/>
            <w:bottom w:val="none" w:sz="0" w:space="0" w:color="auto"/>
            <w:right w:val="none" w:sz="0" w:space="0" w:color="auto"/>
          </w:divBdr>
        </w:div>
      </w:divsChild>
    </w:div>
    <w:div w:id="68814470">
      <w:bodyDiv w:val="1"/>
      <w:marLeft w:val="0"/>
      <w:marRight w:val="0"/>
      <w:marTop w:val="0"/>
      <w:marBottom w:val="0"/>
      <w:divBdr>
        <w:top w:val="none" w:sz="0" w:space="0" w:color="auto"/>
        <w:left w:val="none" w:sz="0" w:space="0" w:color="auto"/>
        <w:bottom w:val="none" w:sz="0" w:space="0" w:color="auto"/>
        <w:right w:val="none" w:sz="0" w:space="0" w:color="auto"/>
      </w:divBdr>
    </w:div>
    <w:div w:id="119224494">
      <w:marLeft w:val="0"/>
      <w:marRight w:val="0"/>
      <w:marTop w:val="0"/>
      <w:marBottom w:val="0"/>
      <w:divBdr>
        <w:top w:val="none" w:sz="0" w:space="0" w:color="auto"/>
        <w:left w:val="none" w:sz="0" w:space="0" w:color="auto"/>
        <w:bottom w:val="none" w:sz="0" w:space="0" w:color="auto"/>
        <w:right w:val="none" w:sz="0" w:space="0" w:color="auto"/>
      </w:divBdr>
    </w:div>
    <w:div w:id="184100971">
      <w:bodyDiv w:val="1"/>
      <w:marLeft w:val="0"/>
      <w:marRight w:val="0"/>
      <w:marTop w:val="0"/>
      <w:marBottom w:val="0"/>
      <w:divBdr>
        <w:top w:val="none" w:sz="0" w:space="0" w:color="auto"/>
        <w:left w:val="none" w:sz="0" w:space="0" w:color="auto"/>
        <w:bottom w:val="none" w:sz="0" w:space="0" w:color="auto"/>
        <w:right w:val="none" w:sz="0" w:space="0" w:color="auto"/>
      </w:divBdr>
      <w:divsChild>
        <w:div w:id="310718651">
          <w:marLeft w:val="0"/>
          <w:marRight w:val="0"/>
          <w:marTop w:val="0"/>
          <w:marBottom w:val="0"/>
          <w:divBdr>
            <w:top w:val="none" w:sz="0" w:space="0" w:color="auto"/>
            <w:left w:val="none" w:sz="0" w:space="0" w:color="auto"/>
            <w:bottom w:val="none" w:sz="0" w:space="0" w:color="auto"/>
            <w:right w:val="none" w:sz="0" w:space="0" w:color="auto"/>
          </w:divBdr>
        </w:div>
      </w:divsChild>
    </w:div>
    <w:div w:id="281814391">
      <w:bodyDiv w:val="1"/>
      <w:marLeft w:val="0"/>
      <w:marRight w:val="0"/>
      <w:marTop w:val="0"/>
      <w:marBottom w:val="0"/>
      <w:divBdr>
        <w:top w:val="none" w:sz="0" w:space="0" w:color="auto"/>
        <w:left w:val="none" w:sz="0" w:space="0" w:color="auto"/>
        <w:bottom w:val="none" w:sz="0" w:space="0" w:color="auto"/>
        <w:right w:val="none" w:sz="0" w:space="0" w:color="auto"/>
      </w:divBdr>
      <w:divsChild>
        <w:div w:id="68232023">
          <w:marLeft w:val="0"/>
          <w:marRight w:val="0"/>
          <w:marTop w:val="0"/>
          <w:marBottom w:val="0"/>
          <w:divBdr>
            <w:top w:val="none" w:sz="0" w:space="0" w:color="auto"/>
            <w:left w:val="none" w:sz="0" w:space="0" w:color="auto"/>
            <w:bottom w:val="none" w:sz="0" w:space="0" w:color="auto"/>
            <w:right w:val="none" w:sz="0" w:space="0" w:color="auto"/>
          </w:divBdr>
        </w:div>
        <w:div w:id="176429730">
          <w:marLeft w:val="0"/>
          <w:marRight w:val="0"/>
          <w:marTop w:val="0"/>
          <w:marBottom w:val="0"/>
          <w:divBdr>
            <w:top w:val="none" w:sz="0" w:space="0" w:color="auto"/>
            <w:left w:val="none" w:sz="0" w:space="0" w:color="auto"/>
            <w:bottom w:val="none" w:sz="0" w:space="0" w:color="auto"/>
            <w:right w:val="none" w:sz="0" w:space="0" w:color="auto"/>
          </w:divBdr>
        </w:div>
        <w:div w:id="616956201">
          <w:marLeft w:val="0"/>
          <w:marRight w:val="0"/>
          <w:marTop w:val="0"/>
          <w:marBottom w:val="0"/>
          <w:divBdr>
            <w:top w:val="none" w:sz="0" w:space="0" w:color="auto"/>
            <w:left w:val="none" w:sz="0" w:space="0" w:color="auto"/>
            <w:bottom w:val="none" w:sz="0" w:space="0" w:color="auto"/>
            <w:right w:val="none" w:sz="0" w:space="0" w:color="auto"/>
          </w:divBdr>
        </w:div>
        <w:div w:id="732773887">
          <w:marLeft w:val="0"/>
          <w:marRight w:val="0"/>
          <w:marTop w:val="0"/>
          <w:marBottom w:val="0"/>
          <w:divBdr>
            <w:top w:val="none" w:sz="0" w:space="0" w:color="auto"/>
            <w:left w:val="none" w:sz="0" w:space="0" w:color="auto"/>
            <w:bottom w:val="none" w:sz="0" w:space="0" w:color="auto"/>
            <w:right w:val="none" w:sz="0" w:space="0" w:color="auto"/>
          </w:divBdr>
        </w:div>
        <w:div w:id="799884828">
          <w:marLeft w:val="0"/>
          <w:marRight w:val="0"/>
          <w:marTop w:val="0"/>
          <w:marBottom w:val="0"/>
          <w:divBdr>
            <w:top w:val="none" w:sz="0" w:space="0" w:color="auto"/>
            <w:left w:val="none" w:sz="0" w:space="0" w:color="auto"/>
            <w:bottom w:val="none" w:sz="0" w:space="0" w:color="auto"/>
            <w:right w:val="none" w:sz="0" w:space="0" w:color="auto"/>
          </w:divBdr>
        </w:div>
        <w:div w:id="1021323686">
          <w:marLeft w:val="0"/>
          <w:marRight w:val="0"/>
          <w:marTop w:val="0"/>
          <w:marBottom w:val="0"/>
          <w:divBdr>
            <w:top w:val="none" w:sz="0" w:space="0" w:color="auto"/>
            <w:left w:val="none" w:sz="0" w:space="0" w:color="auto"/>
            <w:bottom w:val="none" w:sz="0" w:space="0" w:color="auto"/>
            <w:right w:val="none" w:sz="0" w:space="0" w:color="auto"/>
          </w:divBdr>
        </w:div>
        <w:div w:id="1092706398">
          <w:marLeft w:val="0"/>
          <w:marRight w:val="0"/>
          <w:marTop w:val="0"/>
          <w:marBottom w:val="0"/>
          <w:divBdr>
            <w:top w:val="none" w:sz="0" w:space="0" w:color="auto"/>
            <w:left w:val="none" w:sz="0" w:space="0" w:color="auto"/>
            <w:bottom w:val="none" w:sz="0" w:space="0" w:color="auto"/>
            <w:right w:val="none" w:sz="0" w:space="0" w:color="auto"/>
          </w:divBdr>
        </w:div>
        <w:div w:id="1364818933">
          <w:marLeft w:val="0"/>
          <w:marRight w:val="0"/>
          <w:marTop w:val="0"/>
          <w:marBottom w:val="0"/>
          <w:divBdr>
            <w:top w:val="none" w:sz="0" w:space="0" w:color="auto"/>
            <w:left w:val="none" w:sz="0" w:space="0" w:color="auto"/>
            <w:bottom w:val="none" w:sz="0" w:space="0" w:color="auto"/>
            <w:right w:val="none" w:sz="0" w:space="0" w:color="auto"/>
          </w:divBdr>
        </w:div>
        <w:div w:id="1469785643">
          <w:marLeft w:val="0"/>
          <w:marRight w:val="0"/>
          <w:marTop w:val="0"/>
          <w:marBottom w:val="0"/>
          <w:divBdr>
            <w:top w:val="none" w:sz="0" w:space="0" w:color="auto"/>
            <w:left w:val="none" w:sz="0" w:space="0" w:color="auto"/>
            <w:bottom w:val="none" w:sz="0" w:space="0" w:color="auto"/>
            <w:right w:val="none" w:sz="0" w:space="0" w:color="auto"/>
          </w:divBdr>
        </w:div>
        <w:div w:id="1633244124">
          <w:marLeft w:val="0"/>
          <w:marRight w:val="0"/>
          <w:marTop w:val="0"/>
          <w:marBottom w:val="0"/>
          <w:divBdr>
            <w:top w:val="none" w:sz="0" w:space="0" w:color="auto"/>
            <w:left w:val="none" w:sz="0" w:space="0" w:color="auto"/>
            <w:bottom w:val="none" w:sz="0" w:space="0" w:color="auto"/>
            <w:right w:val="none" w:sz="0" w:space="0" w:color="auto"/>
          </w:divBdr>
        </w:div>
        <w:div w:id="1642342933">
          <w:marLeft w:val="0"/>
          <w:marRight w:val="0"/>
          <w:marTop w:val="0"/>
          <w:marBottom w:val="0"/>
          <w:divBdr>
            <w:top w:val="none" w:sz="0" w:space="0" w:color="auto"/>
            <w:left w:val="none" w:sz="0" w:space="0" w:color="auto"/>
            <w:bottom w:val="none" w:sz="0" w:space="0" w:color="auto"/>
            <w:right w:val="none" w:sz="0" w:space="0" w:color="auto"/>
          </w:divBdr>
        </w:div>
        <w:div w:id="2000451735">
          <w:marLeft w:val="0"/>
          <w:marRight w:val="0"/>
          <w:marTop w:val="0"/>
          <w:marBottom w:val="0"/>
          <w:divBdr>
            <w:top w:val="none" w:sz="0" w:space="0" w:color="auto"/>
            <w:left w:val="none" w:sz="0" w:space="0" w:color="auto"/>
            <w:bottom w:val="none" w:sz="0" w:space="0" w:color="auto"/>
            <w:right w:val="none" w:sz="0" w:space="0" w:color="auto"/>
          </w:divBdr>
        </w:div>
      </w:divsChild>
    </w:div>
    <w:div w:id="314997377">
      <w:bodyDiv w:val="1"/>
      <w:marLeft w:val="0"/>
      <w:marRight w:val="0"/>
      <w:marTop w:val="0"/>
      <w:marBottom w:val="0"/>
      <w:divBdr>
        <w:top w:val="none" w:sz="0" w:space="0" w:color="auto"/>
        <w:left w:val="none" w:sz="0" w:space="0" w:color="auto"/>
        <w:bottom w:val="none" w:sz="0" w:space="0" w:color="auto"/>
        <w:right w:val="none" w:sz="0" w:space="0" w:color="auto"/>
      </w:divBdr>
    </w:div>
    <w:div w:id="329259172">
      <w:bodyDiv w:val="1"/>
      <w:marLeft w:val="0"/>
      <w:marRight w:val="0"/>
      <w:marTop w:val="0"/>
      <w:marBottom w:val="0"/>
      <w:divBdr>
        <w:top w:val="none" w:sz="0" w:space="0" w:color="auto"/>
        <w:left w:val="none" w:sz="0" w:space="0" w:color="auto"/>
        <w:bottom w:val="none" w:sz="0" w:space="0" w:color="auto"/>
        <w:right w:val="none" w:sz="0" w:space="0" w:color="auto"/>
      </w:divBdr>
      <w:divsChild>
        <w:div w:id="332877047">
          <w:marLeft w:val="0"/>
          <w:marRight w:val="0"/>
          <w:marTop w:val="0"/>
          <w:marBottom w:val="0"/>
          <w:divBdr>
            <w:top w:val="none" w:sz="0" w:space="0" w:color="auto"/>
            <w:left w:val="none" w:sz="0" w:space="0" w:color="auto"/>
            <w:bottom w:val="none" w:sz="0" w:space="0" w:color="auto"/>
            <w:right w:val="none" w:sz="0" w:space="0" w:color="auto"/>
          </w:divBdr>
        </w:div>
        <w:div w:id="341707829">
          <w:marLeft w:val="0"/>
          <w:marRight w:val="0"/>
          <w:marTop w:val="0"/>
          <w:marBottom w:val="0"/>
          <w:divBdr>
            <w:top w:val="none" w:sz="0" w:space="0" w:color="auto"/>
            <w:left w:val="none" w:sz="0" w:space="0" w:color="auto"/>
            <w:bottom w:val="none" w:sz="0" w:space="0" w:color="auto"/>
            <w:right w:val="none" w:sz="0" w:space="0" w:color="auto"/>
          </w:divBdr>
        </w:div>
        <w:div w:id="436601304">
          <w:marLeft w:val="0"/>
          <w:marRight w:val="0"/>
          <w:marTop w:val="0"/>
          <w:marBottom w:val="0"/>
          <w:divBdr>
            <w:top w:val="none" w:sz="0" w:space="0" w:color="auto"/>
            <w:left w:val="none" w:sz="0" w:space="0" w:color="auto"/>
            <w:bottom w:val="none" w:sz="0" w:space="0" w:color="auto"/>
            <w:right w:val="none" w:sz="0" w:space="0" w:color="auto"/>
          </w:divBdr>
        </w:div>
        <w:div w:id="741561924">
          <w:marLeft w:val="0"/>
          <w:marRight w:val="0"/>
          <w:marTop w:val="0"/>
          <w:marBottom w:val="0"/>
          <w:divBdr>
            <w:top w:val="none" w:sz="0" w:space="0" w:color="auto"/>
            <w:left w:val="none" w:sz="0" w:space="0" w:color="auto"/>
            <w:bottom w:val="none" w:sz="0" w:space="0" w:color="auto"/>
            <w:right w:val="none" w:sz="0" w:space="0" w:color="auto"/>
          </w:divBdr>
        </w:div>
        <w:div w:id="870997223">
          <w:marLeft w:val="0"/>
          <w:marRight w:val="0"/>
          <w:marTop w:val="0"/>
          <w:marBottom w:val="0"/>
          <w:divBdr>
            <w:top w:val="none" w:sz="0" w:space="0" w:color="auto"/>
            <w:left w:val="none" w:sz="0" w:space="0" w:color="auto"/>
            <w:bottom w:val="none" w:sz="0" w:space="0" w:color="auto"/>
            <w:right w:val="none" w:sz="0" w:space="0" w:color="auto"/>
          </w:divBdr>
        </w:div>
        <w:div w:id="1007443407">
          <w:marLeft w:val="0"/>
          <w:marRight w:val="0"/>
          <w:marTop w:val="0"/>
          <w:marBottom w:val="0"/>
          <w:divBdr>
            <w:top w:val="none" w:sz="0" w:space="0" w:color="auto"/>
            <w:left w:val="none" w:sz="0" w:space="0" w:color="auto"/>
            <w:bottom w:val="none" w:sz="0" w:space="0" w:color="auto"/>
            <w:right w:val="none" w:sz="0" w:space="0" w:color="auto"/>
          </w:divBdr>
        </w:div>
        <w:div w:id="1552958163">
          <w:marLeft w:val="0"/>
          <w:marRight w:val="0"/>
          <w:marTop w:val="0"/>
          <w:marBottom w:val="0"/>
          <w:divBdr>
            <w:top w:val="none" w:sz="0" w:space="0" w:color="auto"/>
            <w:left w:val="none" w:sz="0" w:space="0" w:color="auto"/>
            <w:bottom w:val="none" w:sz="0" w:space="0" w:color="auto"/>
            <w:right w:val="none" w:sz="0" w:space="0" w:color="auto"/>
          </w:divBdr>
        </w:div>
        <w:div w:id="1735590602">
          <w:marLeft w:val="0"/>
          <w:marRight w:val="0"/>
          <w:marTop w:val="0"/>
          <w:marBottom w:val="0"/>
          <w:divBdr>
            <w:top w:val="none" w:sz="0" w:space="0" w:color="auto"/>
            <w:left w:val="none" w:sz="0" w:space="0" w:color="auto"/>
            <w:bottom w:val="none" w:sz="0" w:space="0" w:color="auto"/>
            <w:right w:val="none" w:sz="0" w:space="0" w:color="auto"/>
          </w:divBdr>
        </w:div>
      </w:divsChild>
    </w:div>
    <w:div w:id="332804417">
      <w:bodyDiv w:val="1"/>
      <w:marLeft w:val="0"/>
      <w:marRight w:val="0"/>
      <w:marTop w:val="0"/>
      <w:marBottom w:val="0"/>
      <w:divBdr>
        <w:top w:val="none" w:sz="0" w:space="0" w:color="auto"/>
        <w:left w:val="none" w:sz="0" w:space="0" w:color="auto"/>
        <w:bottom w:val="none" w:sz="0" w:space="0" w:color="auto"/>
        <w:right w:val="none" w:sz="0" w:space="0" w:color="auto"/>
      </w:divBdr>
      <w:divsChild>
        <w:div w:id="418525336">
          <w:marLeft w:val="0"/>
          <w:marRight w:val="0"/>
          <w:marTop w:val="0"/>
          <w:marBottom w:val="0"/>
          <w:divBdr>
            <w:top w:val="none" w:sz="0" w:space="0" w:color="auto"/>
            <w:left w:val="none" w:sz="0" w:space="0" w:color="auto"/>
            <w:bottom w:val="none" w:sz="0" w:space="0" w:color="auto"/>
            <w:right w:val="none" w:sz="0" w:space="0" w:color="auto"/>
          </w:divBdr>
        </w:div>
        <w:div w:id="1500271395">
          <w:marLeft w:val="0"/>
          <w:marRight w:val="0"/>
          <w:marTop w:val="0"/>
          <w:marBottom w:val="0"/>
          <w:divBdr>
            <w:top w:val="none" w:sz="0" w:space="0" w:color="auto"/>
            <w:left w:val="none" w:sz="0" w:space="0" w:color="auto"/>
            <w:bottom w:val="none" w:sz="0" w:space="0" w:color="auto"/>
            <w:right w:val="none" w:sz="0" w:space="0" w:color="auto"/>
          </w:divBdr>
        </w:div>
      </w:divsChild>
    </w:div>
    <w:div w:id="342511471">
      <w:bodyDiv w:val="1"/>
      <w:marLeft w:val="0"/>
      <w:marRight w:val="0"/>
      <w:marTop w:val="0"/>
      <w:marBottom w:val="0"/>
      <w:divBdr>
        <w:top w:val="none" w:sz="0" w:space="0" w:color="auto"/>
        <w:left w:val="none" w:sz="0" w:space="0" w:color="auto"/>
        <w:bottom w:val="none" w:sz="0" w:space="0" w:color="auto"/>
        <w:right w:val="none" w:sz="0" w:space="0" w:color="auto"/>
      </w:divBdr>
    </w:div>
    <w:div w:id="463743508">
      <w:bodyDiv w:val="1"/>
      <w:marLeft w:val="0"/>
      <w:marRight w:val="0"/>
      <w:marTop w:val="0"/>
      <w:marBottom w:val="0"/>
      <w:divBdr>
        <w:top w:val="none" w:sz="0" w:space="0" w:color="auto"/>
        <w:left w:val="none" w:sz="0" w:space="0" w:color="auto"/>
        <w:bottom w:val="none" w:sz="0" w:space="0" w:color="auto"/>
        <w:right w:val="none" w:sz="0" w:space="0" w:color="auto"/>
      </w:divBdr>
      <w:divsChild>
        <w:div w:id="672419039">
          <w:marLeft w:val="0"/>
          <w:marRight w:val="0"/>
          <w:marTop w:val="0"/>
          <w:marBottom w:val="0"/>
          <w:divBdr>
            <w:top w:val="none" w:sz="0" w:space="0" w:color="auto"/>
            <w:left w:val="none" w:sz="0" w:space="0" w:color="auto"/>
            <w:bottom w:val="none" w:sz="0" w:space="0" w:color="auto"/>
            <w:right w:val="none" w:sz="0" w:space="0" w:color="auto"/>
          </w:divBdr>
        </w:div>
        <w:div w:id="885916613">
          <w:marLeft w:val="0"/>
          <w:marRight w:val="0"/>
          <w:marTop w:val="0"/>
          <w:marBottom w:val="0"/>
          <w:divBdr>
            <w:top w:val="none" w:sz="0" w:space="0" w:color="auto"/>
            <w:left w:val="none" w:sz="0" w:space="0" w:color="auto"/>
            <w:bottom w:val="none" w:sz="0" w:space="0" w:color="auto"/>
            <w:right w:val="none" w:sz="0" w:space="0" w:color="auto"/>
          </w:divBdr>
        </w:div>
      </w:divsChild>
    </w:div>
    <w:div w:id="474181237">
      <w:bodyDiv w:val="1"/>
      <w:marLeft w:val="0"/>
      <w:marRight w:val="0"/>
      <w:marTop w:val="0"/>
      <w:marBottom w:val="0"/>
      <w:divBdr>
        <w:top w:val="none" w:sz="0" w:space="0" w:color="auto"/>
        <w:left w:val="none" w:sz="0" w:space="0" w:color="auto"/>
        <w:bottom w:val="none" w:sz="0" w:space="0" w:color="auto"/>
        <w:right w:val="none" w:sz="0" w:space="0" w:color="auto"/>
      </w:divBdr>
      <w:divsChild>
        <w:div w:id="638849539">
          <w:marLeft w:val="0"/>
          <w:marRight w:val="0"/>
          <w:marTop w:val="0"/>
          <w:marBottom w:val="0"/>
          <w:divBdr>
            <w:top w:val="none" w:sz="0" w:space="0" w:color="auto"/>
            <w:left w:val="none" w:sz="0" w:space="0" w:color="auto"/>
            <w:bottom w:val="none" w:sz="0" w:space="0" w:color="auto"/>
            <w:right w:val="none" w:sz="0" w:space="0" w:color="auto"/>
          </w:divBdr>
        </w:div>
        <w:div w:id="982348063">
          <w:marLeft w:val="0"/>
          <w:marRight w:val="0"/>
          <w:marTop w:val="0"/>
          <w:marBottom w:val="0"/>
          <w:divBdr>
            <w:top w:val="none" w:sz="0" w:space="0" w:color="auto"/>
            <w:left w:val="none" w:sz="0" w:space="0" w:color="auto"/>
            <w:bottom w:val="none" w:sz="0" w:space="0" w:color="auto"/>
            <w:right w:val="none" w:sz="0" w:space="0" w:color="auto"/>
          </w:divBdr>
        </w:div>
        <w:div w:id="1045326012">
          <w:marLeft w:val="0"/>
          <w:marRight w:val="0"/>
          <w:marTop w:val="0"/>
          <w:marBottom w:val="0"/>
          <w:divBdr>
            <w:top w:val="none" w:sz="0" w:space="0" w:color="auto"/>
            <w:left w:val="none" w:sz="0" w:space="0" w:color="auto"/>
            <w:bottom w:val="none" w:sz="0" w:space="0" w:color="auto"/>
            <w:right w:val="none" w:sz="0" w:space="0" w:color="auto"/>
          </w:divBdr>
        </w:div>
        <w:div w:id="1142846954">
          <w:marLeft w:val="-75"/>
          <w:marRight w:val="0"/>
          <w:marTop w:val="30"/>
          <w:marBottom w:val="30"/>
          <w:divBdr>
            <w:top w:val="none" w:sz="0" w:space="0" w:color="auto"/>
            <w:left w:val="none" w:sz="0" w:space="0" w:color="auto"/>
            <w:bottom w:val="none" w:sz="0" w:space="0" w:color="auto"/>
            <w:right w:val="none" w:sz="0" w:space="0" w:color="auto"/>
          </w:divBdr>
          <w:divsChild>
            <w:div w:id="98110723">
              <w:marLeft w:val="0"/>
              <w:marRight w:val="0"/>
              <w:marTop w:val="0"/>
              <w:marBottom w:val="0"/>
              <w:divBdr>
                <w:top w:val="none" w:sz="0" w:space="0" w:color="auto"/>
                <w:left w:val="none" w:sz="0" w:space="0" w:color="auto"/>
                <w:bottom w:val="none" w:sz="0" w:space="0" w:color="auto"/>
                <w:right w:val="none" w:sz="0" w:space="0" w:color="auto"/>
              </w:divBdr>
              <w:divsChild>
                <w:div w:id="1585188154">
                  <w:marLeft w:val="0"/>
                  <w:marRight w:val="0"/>
                  <w:marTop w:val="0"/>
                  <w:marBottom w:val="0"/>
                  <w:divBdr>
                    <w:top w:val="none" w:sz="0" w:space="0" w:color="auto"/>
                    <w:left w:val="none" w:sz="0" w:space="0" w:color="auto"/>
                    <w:bottom w:val="none" w:sz="0" w:space="0" w:color="auto"/>
                    <w:right w:val="none" w:sz="0" w:space="0" w:color="auto"/>
                  </w:divBdr>
                </w:div>
              </w:divsChild>
            </w:div>
            <w:div w:id="221598964">
              <w:marLeft w:val="0"/>
              <w:marRight w:val="0"/>
              <w:marTop w:val="0"/>
              <w:marBottom w:val="0"/>
              <w:divBdr>
                <w:top w:val="none" w:sz="0" w:space="0" w:color="auto"/>
                <w:left w:val="none" w:sz="0" w:space="0" w:color="auto"/>
                <w:bottom w:val="none" w:sz="0" w:space="0" w:color="auto"/>
                <w:right w:val="none" w:sz="0" w:space="0" w:color="auto"/>
              </w:divBdr>
              <w:divsChild>
                <w:div w:id="707921434">
                  <w:marLeft w:val="0"/>
                  <w:marRight w:val="0"/>
                  <w:marTop w:val="0"/>
                  <w:marBottom w:val="0"/>
                  <w:divBdr>
                    <w:top w:val="none" w:sz="0" w:space="0" w:color="auto"/>
                    <w:left w:val="none" w:sz="0" w:space="0" w:color="auto"/>
                    <w:bottom w:val="none" w:sz="0" w:space="0" w:color="auto"/>
                    <w:right w:val="none" w:sz="0" w:space="0" w:color="auto"/>
                  </w:divBdr>
                </w:div>
                <w:div w:id="1608348387">
                  <w:marLeft w:val="0"/>
                  <w:marRight w:val="0"/>
                  <w:marTop w:val="0"/>
                  <w:marBottom w:val="0"/>
                  <w:divBdr>
                    <w:top w:val="none" w:sz="0" w:space="0" w:color="auto"/>
                    <w:left w:val="none" w:sz="0" w:space="0" w:color="auto"/>
                    <w:bottom w:val="none" w:sz="0" w:space="0" w:color="auto"/>
                    <w:right w:val="none" w:sz="0" w:space="0" w:color="auto"/>
                  </w:divBdr>
                </w:div>
              </w:divsChild>
            </w:div>
            <w:div w:id="367533771">
              <w:marLeft w:val="0"/>
              <w:marRight w:val="0"/>
              <w:marTop w:val="0"/>
              <w:marBottom w:val="0"/>
              <w:divBdr>
                <w:top w:val="none" w:sz="0" w:space="0" w:color="auto"/>
                <w:left w:val="none" w:sz="0" w:space="0" w:color="auto"/>
                <w:bottom w:val="none" w:sz="0" w:space="0" w:color="auto"/>
                <w:right w:val="none" w:sz="0" w:space="0" w:color="auto"/>
              </w:divBdr>
              <w:divsChild>
                <w:div w:id="243613964">
                  <w:marLeft w:val="0"/>
                  <w:marRight w:val="0"/>
                  <w:marTop w:val="0"/>
                  <w:marBottom w:val="0"/>
                  <w:divBdr>
                    <w:top w:val="none" w:sz="0" w:space="0" w:color="auto"/>
                    <w:left w:val="none" w:sz="0" w:space="0" w:color="auto"/>
                    <w:bottom w:val="none" w:sz="0" w:space="0" w:color="auto"/>
                    <w:right w:val="none" w:sz="0" w:space="0" w:color="auto"/>
                  </w:divBdr>
                </w:div>
                <w:div w:id="777873579">
                  <w:marLeft w:val="0"/>
                  <w:marRight w:val="0"/>
                  <w:marTop w:val="0"/>
                  <w:marBottom w:val="0"/>
                  <w:divBdr>
                    <w:top w:val="none" w:sz="0" w:space="0" w:color="auto"/>
                    <w:left w:val="none" w:sz="0" w:space="0" w:color="auto"/>
                    <w:bottom w:val="none" w:sz="0" w:space="0" w:color="auto"/>
                    <w:right w:val="none" w:sz="0" w:space="0" w:color="auto"/>
                  </w:divBdr>
                </w:div>
              </w:divsChild>
            </w:div>
            <w:div w:id="415397725">
              <w:marLeft w:val="0"/>
              <w:marRight w:val="0"/>
              <w:marTop w:val="0"/>
              <w:marBottom w:val="0"/>
              <w:divBdr>
                <w:top w:val="none" w:sz="0" w:space="0" w:color="auto"/>
                <w:left w:val="none" w:sz="0" w:space="0" w:color="auto"/>
                <w:bottom w:val="none" w:sz="0" w:space="0" w:color="auto"/>
                <w:right w:val="none" w:sz="0" w:space="0" w:color="auto"/>
              </w:divBdr>
              <w:divsChild>
                <w:div w:id="1139346794">
                  <w:marLeft w:val="0"/>
                  <w:marRight w:val="0"/>
                  <w:marTop w:val="0"/>
                  <w:marBottom w:val="0"/>
                  <w:divBdr>
                    <w:top w:val="none" w:sz="0" w:space="0" w:color="auto"/>
                    <w:left w:val="none" w:sz="0" w:space="0" w:color="auto"/>
                    <w:bottom w:val="none" w:sz="0" w:space="0" w:color="auto"/>
                    <w:right w:val="none" w:sz="0" w:space="0" w:color="auto"/>
                  </w:divBdr>
                </w:div>
                <w:div w:id="1977953228">
                  <w:marLeft w:val="0"/>
                  <w:marRight w:val="0"/>
                  <w:marTop w:val="0"/>
                  <w:marBottom w:val="0"/>
                  <w:divBdr>
                    <w:top w:val="none" w:sz="0" w:space="0" w:color="auto"/>
                    <w:left w:val="none" w:sz="0" w:space="0" w:color="auto"/>
                    <w:bottom w:val="none" w:sz="0" w:space="0" w:color="auto"/>
                    <w:right w:val="none" w:sz="0" w:space="0" w:color="auto"/>
                  </w:divBdr>
                </w:div>
              </w:divsChild>
            </w:div>
            <w:div w:id="588661843">
              <w:marLeft w:val="0"/>
              <w:marRight w:val="0"/>
              <w:marTop w:val="0"/>
              <w:marBottom w:val="0"/>
              <w:divBdr>
                <w:top w:val="none" w:sz="0" w:space="0" w:color="auto"/>
                <w:left w:val="none" w:sz="0" w:space="0" w:color="auto"/>
                <w:bottom w:val="none" w:sz="0" w:space="0" w:color="auto"/>
                <w:right w:val="none" w:sz="0" w:space="0" w:color="auto"/>
              </w:divBdr>
              <w:divsChild>
                <w:div w:id="1328053287">
                  <w:marLeft w:val="0"/>
                  <w:marRight w:val="0"/>
                  <w:marTop w:val="0"/>
                  <w:marBottom w:val="0"/>
                  <w:divBdr>
                    <w:top w:val="none" w:sz="0" w:space="0" w:color="auto"/>
                    <w:left w:val="none" w:sz="0" w:space="0" w:color="auto"/>
                    <w:bottom w:val="none" w:sz="0" w:space="0" w:color="auto"/>
                    <w:right w:val="none" w:sz="0" w:space="0" w:color="auto"/>
                  </w:divBdr>
                </w:div>
              </w:divsChild>
            </w:div>
            <w:div w:id="714932268">
              <w:marLeft w:val="0"/>
              <w:marRight w:val="0"/>
              <w:marTop w:val="0"/>
              <w:marBottom w:val="0"/>
              <w:divBdr>
                <w:top w:val="none" w:sz="0" w:space="0" w:color="auto"/>
                <w:left w:val="none" w:sz="0" w:space="0" w:color="auto"/>
                <w:bottom w:val="none" w:sz="0" w:space="0" w:color="auto"/>
                <w:right w:val="none" w:sz="0" w:space="0" w:color="auto"/>
              </w:divBdr>
              <w:divsChild>
                <w:div w:id="911744218">
                  <w:marLeft w:val="0"/>
                  <w:marRight w:val="0"/>
                  <w:marTop w:val="0"/>
                  <w:marBottom w:val="0"/>
                  <w:divBdr>
                    <w:top w:val="none" w:sz="0" w:space="0" w:color="auto"/>
                    <w:left w:val="none" w:sz="0" w:space="0" w:color="auto"/>
                    <w:bottom w:val="none" w:sz="0" w:space="0" w:color="auto"/>
                    <w:right w:val="none" w:sz="0" w:space="0" w:color="auto"/>
                  </w:divBdr>
                </w:div>
                <w:div w:id="1955752198">
                  <w:marLeft w:val="0"/>
                  <w:marRight w:val="0"/>
                  <w:marTop w:val="0"/>
                  <w:marBottom w:val="0"/>
                  <w:divBdr>
                    <w:top w:val="none" w:sz="0" w:space="0" w:color="auto"/>
                    <w:left w:val="none" w:sz="0" w:space="0" w:color="auto"/>
                    <w:bottom w:val="none" w:sz="0" w:space="0" w:color="auto"/>
                    <w:right w:val="none" w:sz="0" w:space="0" w:color="auto"/>
                  </w:divBdr>
                </w:div>
              </w:divsChild>
            </w:div>
            <w:div w:id="1221476329">
              <w:marLeft w:val="0"/>
              <w:marRight w:val="0"/>
              <w:marTop w:val="0"/>
              <w:marBottom w:val="0"/>
              <w:divBdr>
                <w:top w:val="none" w:sz="0" w:space="0" w:color="auto"/>
                <w:left w:val="none" w:sz="0" w:space="0" w:color="auto"/>
                <w:bottom w:val="none" w:sz="0" w:space="0" w:color="auto"/>
                <w:right w:val="none" w:sz="0" w:space="0" w:color="auto"/>
              </w:divBdr>
              <w:divsChild>
                <w:div w:id="394477741">
                  <w:marLeft w:val="0"/>
                  <w:marRight w:val="0"/>
                  <w:marTop w:val="0"/>
                  <w:marBottom w:val="0"/>
                  <w:divBdr>
                    <w:top w:val="none" w:sz="0" w:space="0" w:color="auto"/>
                    <w:left w:val="none" w:sz="0" w:space="0" w:color="auto"/>
                    <w:bottom w:val="none" w:sz="0" w:space="0" w:color="auto"/>
                    <w:right w:val="none" w:sz="0" w:space="0" w:color="auto"/>
                  </w:divBdr>
                </w:div>
                <w:div w:id="682324595">
                  <w:marLeft w:val="0"/>
                  <w:marRight w:val="0"/>
                  <w:marTop w:val="0"/>
                  <w:marBottom w:val="0"/>
                  <w:divBdr>
                    <w:top w:val="none" w:sz="0" w:space="0" w:color="auto"/>
                    <w:left w:val="none" w:sz="0" w:space="0" w:color="auto"/>
                    <w:bottom w:val="none" w:sz="0" w:space="0" w:color="auto"/>
                    <w:right w:val="none" w:sz="0" w:space="0" w:color="auto"/>
                  </w:divBdr>
                </w:div>
                <w:div w:id="1450513340">
                  <w:marLeft w:val="0"/>
                  <w:marRight w:val="0"/>
                  <w:marTop w:val="0"/>
                  <w:marBottom w:val="0"/>
                  <w:divBdr>
                    <w:top w:val="none" w:sz="0" w:space="0" w:color="auto"/>
                    <w:left w:val="none" w:sz="0" w:space="0" w:color="auto"/>
                    <w:bottom w:val="none" w:sz="0" w:space="0" w:color="auto"/>
                    <w:right w:val="none" w:sz="0" w:space="0" w:color="auto"/>
                  </w:divBdr>
                </w:div>
              </w:divsChild>
            </w:div>
            <w:div w:id="1406101956">
              <w:marLeft w:val="0"/>
              <w:marRight w:val="0"/>
              <w:marTop w:val="0"/>
              <w:marBottom w:val="0"/>
              <w:divBdr>
                <w:top w:val="none" w:sz="0" w:space="0" w:color="auto"/>
                <w:left w:val="none" w:sz="0" w:space="0" w:color="auto"/>
                <w:bottom w:val="none" w:sz="0" w:space="0" w:color="auto"/>
                <w:right w:val="none" w:sz="0" w:space="0" w:color="auto"/>
              </w:divBdr>
              <w:divsChild>
                <w:div w:id="353845907">
                  <w:marLeft w:val="0"/>
                  <w:marRight w:val="0"/>
                  <w:marTop w:val="0"/>
                  <w:marBottom w:val="0"/>
                  <w:divBdr>
                    <w:top w:val="none" w:sz="0" w:space="0" w:color="auto"/>
                    <w:left w:val="none" w:sz="0" w:space="0" w:color="auto"/>
                    <w:bottom w:val="none" w:sz="0" w:space="0" w:color="auto"/>
                    <w:right w:val="none" w:sz="0" w:space="0" w:color="auto"/>
                  </w:divBdr>
                </w:div>
                <w:div w:id="474879563">
                  <w:marLeft w:val="0"/>
                  <w:marRight w:val="0"/>
                  <w:marTop w:val="0"/>
                  <w:marBottom w:val="0"/>
                  <w:divBdr>
                    <w:top w:val="none" w:sz="0" w:space="0" w:color="auto"/>
                    <w:left w:val="none" w:sz="0" w:space="0" w:color="auto"/>
                    <w:bottom w:val="none" w:sz="0" w:space="0" w:color="auto"/>
                    <w:right w:val="none" w:sz="0" w:space="0" w:color="auto"/>
                  </w:divBdr>
                </w:div>
              </w:divsChild>
            </w:div>
            <w:div w:id="1572498313">
              <w:marLeft w:val="0"/>
              <w:marRight w:val="0"/>
              <w:marTop w:val="0"/>
              <w:marBottom w:val="0"/>
              <w:divBdr>
                <w:top w:val="none" w:sz="0" w:space="0" w:color="auto"/>
                <w:left w:val="none" w:sz="0" w:space="0" w:color="auto"/>
                <w:bottom w:val="none" w:sz="0" w:space="0" w:color="auto"/>
                <w:right w:val="none" w:sz="0" w:space="0" w:color="auto"/>
              </w:divBdr>
              <w:divsChild>
                <w:div w:id="1534225878">
                  <w:marLeft w:val="0"/>
                  <w:marRight w:val="0"/>
                  <w:marTop w:val="0"/>
                  <w:marBottom w:val="0"/>
                  <w:divBdr>
                    <w:top w:val="none" w:sz="0" w:space="0" w:color="auto"/>
                    <w:left w:val="none" w:sz="0" w:space="0" w:color="auto"/>
                    <w:bottom w:val="none" w:sz="0" w:space="0" w:color="auto"/>
                    <w:right w:val="none" w:sz="0" w:space="0" w:color="auto"/>
                  </w:divBdr>
                </w:div>
                <w:div w:id="1639215301">
                  <w:marLeft w:val="0"/>
                  <w:marRight w:val="0"/>
                  <w:marTop w:val="0"/>
                  <w:marBottom w:val="0"/>
                  <w:divBdr>
                    <w:top w:val="none" w:sz="0" w:space="0" w:color="auto"/>
                    <w:left w:val="none" w:sz="0" w:space="0" w:color="auto"/>
                    <w:bottom w:val="none" w:sz="0" w:space="0" w:color="auto"/>
                    <w:right w:val="none" w:sz="0" w:space="0" w:color="auto"/>
                  </w:divBdr>
                </w:div>
              </w:divsChild>
            </w:div>
            <w:div w:id="1880825141">
              <w:marLeft w:val="0"/>
              <w:marRight w:val="0"/>
              <w:marTop w:val="0"/>
              <w:marBottom w:val="0"/>
              <w:divBdr>
                <w:top w:val="none" w:sz="0" w:space="0" w:color="auto"/>
                <w:left w:val="none" w:sz="0" w:space="0" w:color="auto"/>
                <w:bottom w:val="none" w:sz="0" w:space="0" w:color="auto"/>
                <w:right w:val="none" w:sz="0" w:space="0" w:color="auto"/>
              </w:divBdr>
              <w:divsChild>
                <w:div w:id="1013457562">
                  <w:marLeft w:val="0"/>
                  <w:marRight w:val="0"/>
                  <w:marTop w:val="0"/>
                  <w:marBottom w:val="0"/>
                  <w:divBdr>
                    <w:top w:val="none" w:sz="0" w:space="0" w:color="auto"/>
                    <w:left w:val="none" w:sz="0" w:space="0" w:color="auto"/>
                    <w:bottom w:val="none" w:sz="0" w:space="0" w:color="auto"/>
                    <w:right w:val="none" w:sz="0" w:space="0" w:color="auto"/>
                  </w:divBdr>
                </w:div>
              </w:divsChild>
            </w:div>
            <w:div w:id="1913849225">
              <w:marLeft w:val="0"/>
              <w:marRight w:val="0"/>
              <w:marTop w:val="0"/>
              <w:marBottom w:val="0"/>
              <w:divBdr>
                <w:top w:val="none" w:sz="0" w:space="0" w:color="auto"/>
                <w:left w:val="none" w:sz="0" w:space="0" w:color="auto"/>
                <w:bottom w:val="none" w:sz="0" w:space="0" w:color="auto"/>
                <w:right w:val="none" w:sz="0" w:space="0" w:color="auto"/>
              </w:divBdr>
              <w:divsChild>
                <w:div w:id="270555409">
                  <w:marLeft w:val="0"/>
                  <w:marRight w:val="0"/>
                  <w:marTop w:val="0"/>
                  <w:marBottom w:val="0"/>
                  <w:divBdr>
                    <w:top w:val="none" w:sz="0" w:space="0" w:color="auto"/>
                    <w:left w:val="none" w:sz="0" w:space="0" w:color="auto"/>
                    <w:bottom w:val="none" w:sz="0" w:space="0" w:color="auto"/>
                    <w:right w:val="none" w:sz="0" w:space="0" w:color="auto"/>
                  </w:divBdr>
                </w:div>
              </w:divsChild>
            </w:div>
            <w:div w:id="1913999062">
              <w:marLeft w:val="0"/>
              <w:marRight w:val="0"/>
              <w:marTop w:val="0"/>
              <w:marBottom w:val="0"/>
              <w:divBdr>
                <w:top w:val="none" w:sz="0" w:space="0" w:color="auto"/>
                <w:left w:val="none" w:sz="0" w:space="0" w:color="auto"/>
                <w:bottom w:val="none" w:sz="0" w:space="0" w:color="auto"/>
                <w:right w:val="none" w:sz="0" w:space="0" w:color="auto"/>
              </w:divBdr>
              <w:divsChild>
                <w:div w:id="1166824930">
                  <w:marLeft w:val="0"/>
                  <w:marRight w:val="0"/>
                  <w:marTop w:val="0"/>
                  <w:marBottom w:val="0"/>
                  <w:divBdr>
                    <w:top w:val="none" w:sz="0" w:space="0" w:color="auto"/>
                    <w:left w:val="none" w:sz="0" w:space="0" w:color="auto"/>
                    <w:bottom w:val="none" w:sz="0" w:space="0" w:color="auto"/>
                    <w:right w:val="none" w:sz="0" w:space="0" w:color="auto"/>
                  </w:divBdr>
                </w:div>
                <w:div w:id="158999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87908">
          <w:marLeft w:val="0"/>
          <w:marRight w:val="0"/>
          <w:marTop w:val="0"/>
          <w:marBottom w:val="0"/>
          <w:divBdr>
            <w:top w:val="none" w:sz="0" w:space="0" w:color="auto"/>
            <w:left w:val="none" w:sz="0" w:space="0" w:color="auto"/>
            <w:bottom w:val="none" w:sz="0" w:space="0" w:color="auto"/>
            <w:right w:val="none" w:sz="0" w:space="0" w:color="auto"/>
          </w:divBdr>
        </w:div>
        <w:div w:id="2127192152">
          <w:marLeft w:val="-75"/>
          <w:marRight w:val="0"/>
          <w:marTop w:val="30"/>
          <w:marBottom w:val="30"/>
          <w:divBdr>
            <w:top w:val="none" w:sz="0" w:space="0" w:color="auto"/>
            <w:left w:val="none" w:sz="0" w:space="0" w:color="auto"/>
            <w:bottom w:val="none" w:sz="0" w:space="0" w:color="auto"/>
            <w:right w:val="none" w:sz="0" w:space="0" w:color="auto"/>
          </w:divBdr>
          <w:divsChild>
            <w:div w:id="16397406">
              <w:marLeft w:val="0"/>
              <w:marRight w:val="0"/>
              <w:marTop w:val="0"/>
              <w:marBottom w:val="0"/>
              <w:divBdr>
                <w:top w:val="none" w:sz="0" w:space="0" w:color="auto"/>
                <w:left w:val="none" w:sz="0" w:space="0" w:color="auto"/>
                <w:bottom w:val="none" w:sz="0" w:space="0" w:color="auto"/>
                <w:right w:val="none" w:sz="0" w:space="0" w:color="auto"/>
              </w:divBdr>
              <w:divsChild>
                <w:div w:id="1279869546">
                  <w:marLeft w:val="0"/>
                  <w:marRight w:val="0"/>
                  <w:marTop w:val="0"/>
                  <w:marBottom w:val="0"/>
                  <w:divBdr>
                    <w:top w:val="none" w:sz="0" w:space="0" w:color="auto"/>
                    <w:left w:val="none" w:sz="0" w:space="0" w:color="auto"/>
                    <w:bottom w:val="none" w:sz="0" w:space="0" w:color="auto"/>
                    <w:right w:val="none" w:sz="0" w:space="0" w:color="auto"/>
                  </w:divBdr>
                </w:div>
              </w:divsChild>
            </w:div>
            <w:div w:id="33359284">
              <w:marLeft w:val="0"/>
              <w:marRight w:val="0"/>
              <w:marTop w:val="0"/>
              <w:marBottom w:val="0"/>
              <w:divBdr>
                <w:top w:val="none" w:sz="0" w:space="0" w:color="auto"/>
                <w:left w:val="none" w:sz="0" w:space="0" w:color="auto"/>
                <w:bottom w:val="none" w:sz="0" w:space="0" w:color="auto"/>
                <w:right w:val="none" w:sz="0" w:space="0" w:color="auto"/>
              </w:divBdr>
              <w:divsChild>
                <w:div w:id="395011850">
                  <w:marLeft w:val="0"/>
                  <w:marRight w:val="0"/>
                  <w:marTop w:val="0"/>
                  <w:marBottom w:val="0"/>
                  <w:divBdr>
                    <w:top w:val="none" w:sz="0" w:space="0" w:color="auto"/>
                    <w:left w:val="none" w:sz="0" w:space="0" w:color="auto"/>
                    <w:bottom w:val="none" w:sz="0" w:space="0" w:color="auto"/>
                    <w:right w:val="none" w:sz="0" w:space="0" w:color="auto"/>
                  </w:divBdr>
                </w:div>
              </w:divsChild>
            </w:div>
            <w:div w:id="189147638">
              <w:marLeft w:val="0"/>
              <w:marRight w:val="0"/>
              <w:marTop w:val="0"/>
              <w:marBottom w:val="0"/>
              <w:divBdr>
                <w:top w:val="none" w:sz="0" w:space="0" w:color="auto"/>
                <w:left w:val="none" w:sz="0" w:space="0" w:color="auto"/>
                <w:bottom w:val="none" w:sz="0" w:space="0" w:color="auto"/>
                <w:right w:val="none" w:sz="0" w:space="0" w:color="auto"/>
              </w:divBdr>
              <w:divsChild>
                <w:div w:id="1052774348">
                  <w:marLeft w:val="0"/>
                  <w:marRight w:val="0"/>
                  <w:marTop w:val="0"/>
                  <w:marBottom w:val="0"/>
                  <w:divBdr>
                    <w:top w:val="none" w:sz="0" w:space="0" w:color="auto"/>
                    <w:left w:val="none" w:sz="0" w:space="0" w:color="auto"/>
                    <w:bottom w:val="none" w:sz="0" w:space="0" w:color="auto"/>
                    <w:right w:val="none" w:sz="0" w:space="0" w:color="auto"/>
                  </w:divBdr>
                </w:div>
              </w:divsChild>
            </w:div>
            <w:div w:id="395786929">
              <w:marLeft w:val="0"/>
              <w:marRight w:val="0"/>
              <w:marTop w:val="0"/>
              <w:marBottom w:val="0"/>
              <w:divBdr>
                <w:top w:val="none" w:sz="0" w:space="0" w:color="auto"/>
                <w:left w:val="none" w:sz="0" w:space="0" w:color="auto"/>
                <w:bottom w:val="none" w:sz="0" w:space="0" w:color="auto"/>
                <w:right w:val="none" w:sz="0" w:space="0" w:color="auto"/>
              </w:divBdr>
              <w:divsChild>
                <w:div w:id="607929701">
                  <w:marLeft w:val="0"/>
                  <w:marRight w:val="0"/>
                  <w:marTop w:val="0"/>
                  <w:marBottom w:val="0"/>
                  <w:divBdr>
                    <w:top w:val="none" w:sz="0" w:space="0" w:color="auto"/>
                    <w:left w:val="none" w:sz="0" w:space="0" w:color="auto"/>
                    <w:bottom w:val="none" w:sz="0" w:space="0" w:color="auto"/>
                    <w:right w:val="none" w:sz="0" w:space="0" w:color="auto"/>
                  </w:divBdr>
                </w:div>
                <w:div w:id="1143740734">
                  <w:marLeft w:val="0"/>
                  <w:marRight w:val="0"/>
                  <w:marTop w:val="0"/>
                  <w:marBottom w:val="0"/>
                  <w:divBdr>
                    <w:top w:val="none" w:sz="0" w:space="0" w:color="auto"/>
                    <w:left w:val="none" w:sz="0" w:space="0" w:color="auto"/>
                    <w:bottom w:val="none" w:sz="0" w:space="0" w:color="auto"/>
                    <w:right w:val="none" w:sz="0" w:space="0" w:color="auto"/>
                  </w:divBdr>
                </w:div>
                <w:div w:id="1668558858">
                  <w:marLeft w:val="0"/>
                  <w:marRight w:val="0"/>
                  <w:marTop w:val="0"/>
                  <w:marBottom w:val="0"/>
                  <w:divBdr>
                    <w:top w:val="none" w:sz="0" w:space="0" w:color="auto"/>
                    <w:left w:val="none" w:sz="0" w:space="0" w:color="auto"/>
                    <w:bottom w:val="none" w:sz="0" w:space="0" w:color="auto"/>
                    <w:right w:val="none" w:sz="0" w:space="0" w:color="auto"/>
                  </w:divBdr>
                </w:div>
              </w:divsChild>
            </w:div>
            <w:div w:id="424960535">
              <w:marLeft w:val="0"/>
              <w:marRight w:val="0"/>
              <w:marTop w:val="0"/>
              <w:marBottom w:val="0"/>
              <w:divBdr>
                <w:top w:val="none" w:sz="0" w:space="0" w:color="auto"/>
                <w:left w:val="none" w:sz="0" w:space="0" w:color="auto"/>
                <w:bottom w:val="none" w:sz="0" w:space="0" w:color="auto"/>
                <w:right w:val="none" w:sz="0" w:space="0" w:color="auto"/>
              </w:divBdr>
              <w:divsChild>
                <w:div w:id="549027653">
                  <w:marLeft w:val="0"/>
                  <w:marRight w:val="0"/>
                  <w:marTop w:val="0"/>
                  <w:marBottom w:val="0"/>
                  <w:divBdr>
                    <w:top w:val="none" w:sz="0" w:space="0" w:color="auto"/>
                    <w:left w:val="none" w:sz="0" w:space="0" w:color="auto"/>
                    <w:bottom w:val="none" w:sz="0" w:space="0" w:color="auto"/>
                    <w:right w:val="none" w:sz="0" w:space="0" w:color="auto"/>
                  </w:divBdr>
                </w:div>
              </w:divsChild>
            </w:div>
            <w:div w:id="476343758">
              <w:marLeft w:val="0"/>
              <w:marRight w:val="0"/>
              <w:marTop w:val="0"/>
              <w:marBottom w:val="0"/>
              <w:divBdr>
                <w:top w:val="none" w:sz="0" w:space="0" w:color="auto"/>
                <w:left w:val="none" w:sz="0" w:space="0" w:color="auto"/>
                <w:bottom w:val="none" w:sz="0" w:space="0" w:color="auto"/>
                <w:right w:val="none" w:sz="0" w:space="0" w:color="auto"/>
              </w:divBdr>
              <w:divsChild>
                <w:div w:id="1144934730">
                  <w:marLeft w:val="0"/>
                  <w:marRight w:val="0"/>
                  <w:marTop w:val="0"/>
                  <w:marBottom w:val="0"/>
                  <w:divBdr>
                    <w:top w:val="none" w:sz="0" w:space="0" w:color="auto"/>
                    <w:left w:val="none" w:sz="0" w:space="0" w:color="auto"/>
                    <w:bottom w:val="none" w:sz="0" w:space="0" w:color="auto"/>
                    <w:right w:val="none" w:sz="0" w:space="0" w:color="auto"/>
                  </w:divBdr>
                </w:div>
              </w:divsChild>
            </w:div>
            <w:div w:id="536702889">
              <w:marLeft w:val="0"/>
              <w:marRight w:val="0"/>
              <w:marTop w:val="0"/>
              <w:marBottom w:val="0"/>
              <w:divBdr>
                <w:top w:val="none" w:sz="0" w:space="0" w:color="auto"/>
                <w:left w:val="none" w:sz="0" w:space="0" w:color="auto"/>
                <w:bottom w:val="none" w:sz="0" w:space="0" w:color="auto"/>
                <w:right w:val="none" w:sz="0" w:space="0" w:color="auto"/>
              </w:divBdr>
              <w:divsChild>
                <w:div w:id="74010237">
                  <w:marLeft w:val="0"/>
                  <w:marRight w:val="0"/>
                  <w:marTop w:val="0"/>
                  <w:marBottom w:val="0"/>
                  <w:divBdr>
                    <w:top w:val="none" w:sz="0" w:space="0" w:color="auto"/>
                    <w:left w:val="none" w:sz="0" w:space="0" w:color="auto"/>
                    <w:bottom w:val="none" w:sz="0" w:space="0" w:color="auto"/>
                    <w:right w:val="none" w:sz="0" w:space="0" w:color="auto"/>
                  </w:divBdr>
                </w:div>
              </w:divsChild>
            </w:div>
            <w:div w:id="811410460">
              <w:marLeft w:val="0"/>
              <w:marRight w:val="0"/>
              <w:marTop w:val="0"/>
              <w:marBottom w:val="0"/>
              <w:divBdr>
                <w:top w:val="none" w:sz="0" w:space="0" w:color="auto"/>
                <w:left w:val="none" w:sz="0" w:space="0" w:color="auto"/>
                <w:bottom w:val="none" w:sz="0" w:space="0" w:color="auto"/>
                <w:right w:val="none" w:sz="0" w:space="0" w:color="auto"/>
              </w:divBdr>
              <w:divsChild>
                <w:div w:id="446890766">
                  <w:marLeft w:val="0"/>
                  <w:marRight w:val="0"/>
                  <w:marTop w:val="0"/>
                  <w:marBottom w:val="0"/>
                  <w:divBdr>
                    <w:top w:val="none" w:sz="0" w:space="0" w:color="auto"/>
                    <w:left w:val="none" w:sz="0" w:space="0" w:color="auto"/>
                    <w:bottom w:val="none" w:sz="0" w:space="0" w:color="auto"/>
                    <w:right w:val="none" w:sz="0" w:space="0" w:color="auto"/>
                  </w:divBdr>
                </w:div>
                <w:div w:id="918439635">
                  <w:marLeft w:val="0"/>
                  <w:marRight w:val="0"/>
                  <w:marTop w:val="0"/>
                  <w:marBottom w:val="0"/>
                  <w:divBdr>
                    <w:top w:val="none" w:sz="0" w:space="0" w:color="auto"/>
                    <w:left w:val="none" w:sz="0" w:space="0" w:color="auto"/>
                    <w:bottom w:val="none" w:sz="0" w:space="0" w:color="auto"/>
                    <w:right w:val="none" w:sz="0" w:space="0" w:color="auto"/>
                  </w:divBdr>
                </w:div>
              </w:divsChild>
            </w:div>
            <w:div w:id="1033850006">
              <w:marLeft w:val="0"/>
              <w:marRight w:val="0"/>
              <w:marTop w:val="0"/>
              <w:marBottom w:val="0"/>
              <w:divBdr>
                <w:top w:val="none" w:sz="0" w:space="0" w:color="auto"/>
                <w:left w:val="none" w:sz="0" w:space="0" w:color="auto"/>
                <w:bottom w:val="none" w:sz="0" w:space="0" w:color="auto"/>
                <w:right w:val="none" w:sz="0" w:space="0" w:color="auto"/>
              </w:divBdr>
              <w:divsChild>
                <w:div w:id="1453672107">
                  <w:marLeft w:val="0"/>
                  <w:marRight w:val="0"/>
                  <w:marTop w:val="0"/>
                  <w:marBottom w:val="0"/>
                  <w:divBdr>
                    <w:top w:val="none" w:sz="0" w:space="0" w:color="auto"/>
                    <w:left w:val="none" w:sz="0" w:space="0" w:color="auto"/>
                    <w:bottom w:val="none" w:sz="0" w:space="0" w:color="auto"/>
                    <w:right w:val="none" w:sz="0" w:space="0" w:color="auto"/>
                  </w:divBdr>
                </w:div>
              </w:divsChild>
            </w:div>
            <w:div w:id="1277322814">
              <w:marLeft w:val="0"/>
              <w:marRight w:val="0"/>
              <w:marTop w:val="0"/>
              <w:marBottom w:val="0"/>
              <w:divBdr>
                <w:top w:val="none" w:sz="0" w:space="0" w:color="auto"/>
                <w:left w:val="none" w:sz="0" w:space="0" w:color="auto"/>
                <w:bottom w:val="none" w:sz="0" w:space="0" w:color="auto"/>
                <w:right w:val="none" w:sz="0" w:space="0" w:color="auto"/>
              </w:divBdr>
              <w:divsChild>
                <w:div w:id="1063793800">
                  <w:marLeft w:val="0"/>
                  <w:marRight w:val="0"/>
                  <w:marTop w:val="0"/>
                  <w:marBottom w:val="0"/>
                  <w:divBdr>
                    <w:top w:val="none" w:sz="0" w:space="0" w:color="auto"/>
                    <w:left w:val="none" w:sz="0" w:space="0" w:color="auto"/>
                    <w:bottom w:val="none" w:sz="0" w:space="0" w:color="auto"/>
                    <w:right w:val="none" w:sz="0" w:space="0" w:color="auto"/>
                  </w:divBdr>
                </w:div>
              </w:divsChild>
            </w:div>
            <w:div w:id="2042897731">
              <w:marLeft w:val="0"/>
              <w:marRight w:val="0"/>
              <w:marTop w:val="0"/>
              <w:marBottom w:val="0"/>
              <w:divBdr>
                <w:top w:val="none" w:sz="0" w:space="0" w:color="auto"/>
                <w:left w:val="none" w:sz="0" w:space="0" w:color="auto"/>
                <w:bottom w:val="none" w:sz="0" w:space="0" w:color="auto"/>
                <w:right w:val="none" w:sz="0" w:space="0" w:color="auto"/>
              </w:divBdr>
              <w:divsChild>
                <w:div w:id="1149711914">
                  <w:marLeft w:val="0"/>
                  <w:marRight w:val="0"/>
                  <w:marTop w:val="0"/>
                  <w:marBottom w:val="0"/>
                  <w:divBdr>
                    <w:top w:val="none" w:sz="0" w:space="0" w:color="auto"/>
                    <w:left w:val="none" w:sz="0" w:space="0" w:color="auto"/>
                    <w:bottom w:val="none" w:sz="0" w:space="0" w:color="auto"/>
                    <w:right w:val="none" w:sz="0" w:space="0" w:color="auto"/>
                  </w:divBdr>
                </w:div>
              </w:divsChild>
            </w:div>
            <w:div w:id="2051412110">
              <w:marLeft w:val="0"/>
              <w:marRight w:val="0"/>
              <w:marTop w:val="0"/>
              <w:marBottom w:val="0"/>
              <w:divBdr>
                <w:top w:val="none" w:sz="0" w:space="0" w:color="auto"/>
                <w:left w:val="none" w:sz="0" w:space="0" w:color="auto"/>
                <w:bottom w:val="none" w:sz="0" w:space="0" w:color="auto"/>
                <w:right w:val="none" w:sz="0" w:space="0" w:color="auto"/>
              </w:divBdr>
              <w:divsChild>
                <w:div w:id="15304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01016">
      <w:bodyDiv w:val="1"/>
      <w:marLeft w:val="0"/>
      <w:marRight w:val="0"/>
      <w:marTop w:val="0"/>
      <w:marBottom w:val="0"/>
      <w:divBdr>
        <w:top w:val="none" w:sz="0" w:space="0" w:color="auto"/>
        <w:left w:val="none" w:sz="0" w:space="0" w:color="auto"/>
        <w:bottom w:val="none" w:sz="0" w:space="0" w:color="auto"/>
        <w:right w:val="none" w:sz="0" w:space="0" w:color="auto"/>
      </w:divBdr>
    </w:div>
    <w:div w:id="614485575">
      <w:bodyDiv w:val="1"/>
      <w:marLeft w:val="0"/>
      <w:marRight w:val="0"/>
      <w:marTop w:val="0"/>
      <w:marBottom w:val="0"/>
      <w:divBdr>
        <w:top w:val="none" w:sz="0" w:space="0" w:color="auto"/>
        <w:left w:val="none" w:sz="0" w:space="0" w:color="auto"/>
        <w:bottom w:val="none" w:sz="0" w:space="0" w:color="auto"/>
        <w:right w:val="none" w:sz="0" w:space="0" w:color="auto"/>
      </w:divBdr>
    </w:div>
    <w:div w:id="639697023">
      <w:bodyDiv w:val="1"/>
      <w:marLeft w:val="0"/>
      <w:marRight w:val="0"/>
      <w:marTop w:val="0"/>
      <w:marBottom w:val="0"/>
      <w:divBdr>
        <w:top w:val="none" w:sz="0" w:space="0" w:color="auto"/>
        <w:left w:val="none" w:sz="0" w:space="0" w:color="auto"/>
        <w:bottom w:val="none" w:sz="0" w:space="0" w:color="auto"/>
        <w:right w:val="none" w:sz="0" w:space="0" w:color="auto"/>
      </w:divBdr>
    </w:div>
    <w:div w:id="640770623">
      <w:bodyDiv w:val="1"/>
      <w:marLeft w:val="0"/>
      <w:marRight w:val="0"/>
      <w:marTop w:val="0"/>
      <w:marBottom w:val="0"/>
      <w:divBdr>
        <w:top w:val="none" w:sz="0" w:space="0" w:color="auto"/>
        <w:left w:val="none" w:sz="0" w:space="0" w:color="auto"/>
        <w:bottom w:val="none" w:sz="0" w:space="0" w:color="auto"/>
        <w:right w:val="none" w:sz="0" w:space="0" w:color="auto"/>
      </w:divBdr>
    </w:div>
    <w:div w:id="744300877">
      <w:bodyDiv w:val="1"/>
      <w:marLeft w:val="0"/>
      <w:marRight w:val="0"/>
      <w:marTop w:val="0"/>
      <w:marBottom w:val="0"/>
      <w:divBdr>
        <w:top w:val="none" w:sz="0" w:space="0" w:color="auto"/>
        <w:left w:val="none" w:sz="0" w:space="0" w:color="auto"/>
        <w:bottom w:val="none" w:sz="0" w:space="0" w:color="auto"/>
        <w:right w:val="none" w:sz="0" w:space="0" w:color="auto"/>
      </w:divBdr>
    </w:div>
    <w:div w:id="746801923">
      <w:marLeft w:val="0"/>
      <w:marRight w:val="0"/>
      <w:marTop w:val="0"/>
      <w:marBottom w:val="0"/>
      <w:divBdr>
        <w:top w:val="none" w:sz="0" w:space="0" w:color="auto"/>
        <w:left w:val="none" w:sz="0" w:space="0" w:color="auto"/>
        <w:bottom w:val="none" w:sz="0" w:space="0" w:color="auto"/>
        <w:right w:val="none" w:sz="0" w:space="0" w:color="auto"/>
      </w:divBdr>
    </w:div>
    <w:div w:id="759906426">
      <w:bodyDiv w:val="1"/>
      <w:marLeft w:val="0"/>
      <w:marRight w:val="0"/>
      <w:marTop w:val="0"/>
      <w:marBottom w:val="0"/>
      <w:divBdr>
        <w:top w:val="none" w:sz="0" w:space="0" w:color="auto"/>
        <w:left w:val="none" w:sz="0" w:space="0" w:color="auto"/>
        <w:bottom w:val="none" w:sz="0" w:space="0" w:color="auto"/>
        <w:right w:val="none" w:sz="0" w:space="0" w:color="auto"/>
      </w:divBdr>
      <w:divsChild>
        <w:div w:id="23945813">
          <w:marLeft w:val="0"/>
          <w:marRight w:val="0"/>
          <w:marTop w:val="0"/>
          <w:marBottom w:val="0"/>
          <w:divBdr>
            <w:top w:val="none" w:sz="0" w:space="0" w:color="auto"/>
            <w:left w:val="none" w:sz="0" w:space="0" w:color="auto"/>
            <w:bottom w:val="none" w:sz="0" w:space="0" w:color="auto"/>
            <w:right w:val="none" w:sz="0" w:space="0" w:color="auto"/>
          </w:divBdr>
        </w:div>
        <w:div w:id="83958633">
          <w:marLeft w:val="0"/>
          <w:marRight w:val="0"/>
          <w:marTop w:val="0"/>
          <w:marBottom w:val="0"/>
          <w:divBdr>
            <w:top w:val="none" w:sz="0" w:space="0" w:color="auto"/>
            <w:left w:val="none" w:sz="0" w:space="0" w:color="auto"/>
            <w:bottom w:val="none" w:sz="0" w:space="0" w:color="auto"/>
            <w:right w:val="none" w:sz="0" w:space="0" w:color="auto"/>
          </w:divBdr>
        </w:div>
        <w:div w:id="554783406">
          <w:marLeft w:val="0"/>
          <w:marRight w:val="0"/>
          <w:marTop w:val="0"/>
          <w:marBottom w:val="0"/>
          <w:divBdr>
            <w:top w:val="none" w:sz="0" w:space="0" w:color="auto"/>
            <w:left w:val="none" w:sz="0" w:space="0" w:color="auto"/>
            <w:bottom w:val="none" w:sz="0" w:space="0" w:color="auto"/>
            <w:right w:val="none" w:sz="0" w:space="0" w:color="auto"/>
          </w:divBdr>
        </w:div>
        <w:div w:id="583689205">
          <w:marLeft w:val="0"/>
          <w:marRight w:val="0"/>
          <w:marTop w:val="0"/>
          <w:marBottom w:val="0"/>
          <w:divBdr>
            <w:top w:val="none" w:sz="0" w:space="0" w:color="auto"/>
            <w:left w:val="none" w:sz="0" w:space="0" w:color="auto"/>
            <w:bottom w:val="none" w:sz="0" w:space="0" w:color="auto"/>
            <w:right w:val="none" w:sz="0" w:space="0" w:color="auto"/>
          </w:divBdr>
        </w:div>
        <w:div w:id="620038796">
          <w:marLeft w:val="0"/>
          <w:marRight w:val="0"/>
          <w:marTop w:val="0"/>
          <w:marBottom w:val="0"/>
          <w:divBdr>
            <w:top w:val="none" w:sz="0" w:space="0" w:color="auto"/>
            <w:left w:val="none" w:sz="0" w:space="0" w:color="auto"/>
            <w:bottom w:val="none" w:sz="0" w:space="0" w:color="auto"/>
            <w:right w:val="none" w:sz="0" w:space="0" w:color="auto"/>
          </w:divBdr>
        </w:div>
        <w:div w:id="887766995">
          <w:marLeft w:val="0"/>
          <w:marRight w:val="0"/>
          <w:marTop w:val="0"/>
          <w:marBottom w:val="0"/>
          <w:divBdr>
            <w:top w:val="none" w:sz="0" w:space="0" w:color="auto"/>
            <w:left w:val="none" w:sz="0" w:space="0" w:color="auto"/>
            <w:bottom w:val="none" w:sz="0" w:space="0" w:color="auto"/>
            <w:right w:val="none" w:sz="0" w:space="0" w:color="auto"/>
          </w:divBdr>
        </w:div>
        <w:div w:id="929318814">
          <w:marLeft w:val="0"/>
          <w:marRight w:val="0"/>
          <w:marTop w:val="0"/>
          <w:marBottom w:val="0"/>
          <w:divBdr>
            <w:top w:val="none" w:sz="0" w:space="0" w:color="auto"/>
            <w:left w:val="none" w:sz="0" w:space="0" w:color="auto"/>
            <w:bottom w:val="none" w:sz="0" w:space="0" w:color="auto"/>
            <w:right w:val="none" w:sz="0" w:space="0" w:color="auto"/>
          </w:divBdr>
        </w:div>
        <w:div w:id="1313145727">
          <w:marLeft w:val="0"/>
          <w:marRight w:val="0"/>
          <w:marTop w:val="0"/>
          <w:marBottom w:val="0"/>
          <w:divBdr>
            <w:top w:val="none" w:sz="0" w:space="0" w:color="auto"/>
            <w:left w:val="none" w:sz="0" w:space="0" w:color="auto"/>
            <w:bottom w:val="none" w:sz="0" w:space="0" w:color="auto"/>
            <w:right w:val="none" w:sz="0" w:space="0" w:color="auto"/>
          </w:divBdr>
        </w:div>
        <w:div w:id="2112625230">
          <w:marLeft w:val="0"/>
          <w:marRight w:val="0"/>
          <w:marTop w:val="0"/>
          <w:marBottom w:val="0"/>
          <w:divBdr>
            <w:top w:val="none" w:sz="0" w:space="0" w:color="auto"/>
            <w:left w:val="none" w:sz="0" w:space="0" w:color="auto"/>
            <w:bottom w:val="none" w:sz="0" w:space="0" w:color="auto"/>
            <w:right w:val="none" w:sz="0" w:space="0" w:color="auto"/>
          </w:divBdr>
        </w:div>
      </w:divsChild>
    </w:div>
    <w:div w:id="785931996">
      <w:bodyDiv w:val="1"/>
      <w:marLeft w:val="0"/>
      <w:marRight w:val="0"/>
      <w:marTop w:val="0"/>
      <w:marBottom w:val="0"/>
      <w:divBdr>
        <w:top w:val="none" w:sz="0" w:space="0" w:color="auto"/>
        <w:left w:val="none" w:sz="0" w:space="0" w:color="auto"/>
        <w:bottom w:val="none" w:sz="0" w:space="0" w:color="auto"/>
        <w:right w:val="none" w:sz="0" w:space="0" w:color="auto"/>
      </w:divBdr>
    </w:div>
    <w:div w:id="813330368">
      <w:bodyDiv w:val="1"/>
      <w:marLeft w:val="0"/>
      <w:marRight w:val="0"/>
      <w:marTop w:val="0"/>
      <w:marBottom w:val="0"/>
      <w:divBdr>
        <w:top w:val="none" w:sz="0" w:space="0" w:color="auto"/>
        <w:left w:val="none" w:sz="0" w:space="0" w:color="auto"/>
        <w:bottom w:val="none" w:sz="0" w:space="0" w:color="auto"/>
        <w:right w:val="none" w:sz="0" w:space="0" w:color="auto"/>
      </w:divBdr>
      <w:divsChild>
        <w:div w:id="399521641">
          <w:marLeft w:val="0"/>
          <w:marRight w:val="0"/>
          <w:marTop w:val="0"/>
          <w:marBottom w:val="0"/>
          <w:divBdr>
            <w:top w:val="none" w:sz="0" w:space="0" w:color="auto"/>
            <w:left w:val="none" w:sz="0" w:space="0" w:color="auto"/>
            <w:bottom w:val="none" w:sz="0" w:space="0" w:color="auto"/>
            <w:right w:val="none" w:sz="0" w:space="0" w:color="auto"/>
          </w:divBdr>
        </w:div>
        <w:div w:id="1207640343">
          <w:marLeft w:val="0"/>
          <w:marRight w:val="0"/>
          <w:marTop w:val="0"/>
          <w:marBottom w:val="0"/>
          <w:divBdr>
            <w:top w:val="none" w:sz="0" w:space="0" w:color="auto"/>
            <w:left w:val="none" w:sz="0" w:space="0" w:color="auto"/>
            <w:bottom w:val="none" w:sz="0" w:space="0" w:color="auto"/>
            <w:right w:val="none" w:sz="0" w:space="0" w:color="auto"/>
          </w:divBdr>
        </w:div>
        <w:div w:id="2144106189">
          <w:marLeft w:val="0"/>
          <w:marRight w:val="0"/>
          <w:marTop w:val="0"/>
          <w:marBottom w:val="0"/>
          <w:divBdr>
            <w:top w:val="none" w:sz="0" w:space="0" w:color="auto"/>
            <w:left w:val="none" w:sz="0" w:space="0" w:color="auto"/>
            <w:bottom w:val="none" w:sz="0" w:space="0" w:color="auto"/>
            <w:right w:val="none" w:sz="0" w:space="0" w:color="auto"/>
          </w:divBdr>
        </w:div>
      </w:divsChild>
    </w:div>
    <w:div w:id="820733622">
      <w:bodyDiv w:val="1"/>
      <w:marLeft w:val="0"/>
      <w:marRight w:val="0"/>
      <w:marTop w:val="0"/>
      <w:marBottom w:val="0"/>
      <w:divBdr>
        <w:top w:val="none" w:sz="0" w:space="0" w:color="auto"/>
        <w:left w:val="none" w:sz="0" w:space="0" w:color="auto"/>
        <w:bottom w:val="none" w:sz="0" w:space="0" w:color="auto"/>
        <w:right w:val="none" w:sz="0" w:space="0" w:color="auto"/>
      </w:divBdr>
      <w:divsChild>
        <w:div w:id="137189035">
          <w:marLeft w:val="0"/>
          <w:marRight w:val="0"/>
          <w:marTop w:val="0"/>
          <w:marBottom w:val="0"/>
          <w:divBdr>
            <w:top w:val="none" w:sz="0" w:space="0" w:color="auto"/>
            <w:left w:val="none" w:sz="0" w:space="0" w:color="auto"/>
            <w:bottom w:val="none" w:sz="0" w:space="0" w:color="auto"/>
            <w:right w:val="none" w:sz="0" w:space="0" w:color="auto"/>
          </w:divBdr>
        </w:div>
        <w:div w:id="1158114930">
          <w:marLeft w:val="0"/>
          <w:marRight w:val="0"/>
          <w:marTop w:val="0"/>
          <w:marBottom w:val="0"/>
          <w:divBdr>
            <w:top w:val="none" w:sz="0" w:space="0" w:color="auto"/>
            <w:left w:val="none" w:sz="0" w:space="0" w:color="auto"/>
            <w:bottom w:val="none" w:sz="0" w:space="0" w:color="auto"/>
            <w:right w:val="none" w:sz="0" w:space="0" w:color="auto"/>
          </w:divBdr>
        </w:div>
        <w:div w:id="1307777298">
          <w:marLeft w:val="0"/>
          <w:marRight w:val="0"/>
          <w:marTop w:val="0"/>
          <w:marBottom w:val="0"/>
          <w:divBdr>
            <w:top w:val="none" w:sz="0" w:space="0" w:color="auto"/>
            <w:left w:val="none" w:sz="0" w:space="0" w:color="auto"/>
            <w:bottom w:val="none" w:sz="0" w:space="0" w:color="auto"/>
            <w:right w:val="none" w:sz="0" w:space="0" w:color="auto"/>
          </w:divBdr>
        </w:div>
        <w:div w:id="1846895722">
          <w:marLeft w:val="0"/>
          <w:marRight w:val="0"/>
          <w:marTop w:val="0"/>
          <w:marBottom w:val="0"/>
          <w:divBdr>
            <w:top w:val="none" w:sz="0" w:space="0" w:color="auto"/>
            <w:left w:val="none" w:sz="0" w:space="0" w:color="auto"/>
            <w:bottom w:val="none" w:sz="0" w:space="0" w:color="auto"/>
            <w:right w:val="none" w:sz="0" w:space="0" w:color="auto"/>
          </w:divBdr>
        </w:div>
      </w:divsChild>
    </w:div>
    <w:div w:id="850755545">
      <w:bodyDiv w:val="1"/>
      <w:marLeft w:val="0"/>
      <w:marRight w:val="0"/>
      <w:marTop w:val="0"/>
      <w:marBottom w:val="0"/>
      <w:divBdr>
        <w:top w:val="none" w:sz="0" w:space="0" w:color="auto"/>
        <w:left w:val="none" w:sz="0" w:space="0" w:color="auto"/>
        <w:bottom w:val="none" w:sz="0" w:space="0" w:color="auto"/>
        <w:right w:val="none" w:sz="0" w:space="0" w:color="auto"/>
      </w:divBdr>
    </w:div>
    <w:div w:id="878055239">
      <w:bodyDiv w:val="1"/>
      <w:marLeft w:val="0"/>
      <w:marRight w:val="0"/>
      <w:marTop w:val="0"/>
      <w:marBottom w:val="0"/>
      <w:divBdr>
        <w:top w:val="none" w:sz="0" w:space="0" w:color="auto"/>
        <w:left w:val="none" w:sz="0" w:space="0" w:color="auto"/>
        <w:bottom w:val="none" w:sz="0" w:space="0" w:color="auto"/>
        <w:right w:val="none" w:sz="0" w:space="0" w:color="auto"/>
      </w:divBdr>
    </w:div>
    <w:div w:id="924220699">
      <w:bodyDiv w:val="1"/>
      <w:marLeft w:val="0"/>
      <w:marRight w:val="0"/>
      <w:marTop w:val="0"/>
      <w:marBottom w:val="0"/>
      <w:divBdr>
        <w:top w:val="none" w:sz="0" w:space="0" w:color="auto"/>
        <w:left w:val="none" w:sz="0" w:space="0" w:color="auto"/>
        <w:bottom w:val="none" w:sz="0" w:space="0" w:color="auto"/>
        <w:right w:val="none" w:sz="0" w:space="0" w:color="auto"/>
      </w:divBdr>
      <w:divsChild>
        <w:div w:id="30961243">
          <w:marLeft w:val="0"/>
          <w:marRight w:val="0"/>
          <w:marTop w:val="0"/>
          <w:marBottom w:val="0"/>
          <w:divBdr>
            <w:top w:val="none" w:sz="0" w:space="0" w:color="auto"/>
            <w:left w:val="none" w:sz="0" w:space="0" w:color="auto"/>
            <w:bottom w:val="none" w:sz="0" w:space="0" w:color="auto"/>
            <w:right w:val="none" w:sz="0" w:space="0" w:color="auto"/>
          </w:divBdr>
        </w:div>
        <w:div w:id="248664713">
          <w:marLeft w:val="0"/>
          <w:marRight w:val="0"/>
          <w:marTop w:val="0"/>
          <w:marBottom w:val="0"/>
          <w:divBdr>
            <w:top w:val="none" w:sz="0" w:space="0" w:color="auto"/>
            <w:left w:val="none" w:sz="0" w:space="0" w:color="auto"/>
            <w:bottom w:val="none" w:sz="0" w:space="0" w:color="auto"/>
            <w:right w:val="none" w:sz="0" w:space="0" w:color="auto"/>
          </w:divBdr>
        </w:div>
        <w:div w:id="975796268">
          <w:marLeft w:val="0"/>
          <w:marRight w:val="0"/>
          <w:marTop w:val="0"/>
          <w:marBottom w:val="0"/>
          <w:divBdr>
            <w:top w:val="none" w:sz="0" w:space="0" w:color="auto"/>
            <w:left w:val="none" w:sz="0" w:space="0" w:color="auto"/>
            <w:bottom w:val="none" w:sz="0" w:space="0" w:color="auto"/>
            <w:right w:val="none" w:sz="0" w:space="0" w:color="auto"/>
          </w:divBdr>
        </w:div>
        <w:div w:id="1255238102">
          <w:marLeft w:val="0"/>
          <w:marRight w:val="0"/>
          <w:marTop w:val="0"/>
          <w:marBottom w:val="0"/>
          <w:divBdr>
            <w:top w:val="none" w:sz="0" w:space="0" w:color="auto"/>
            <w:left w:val="none" w:sz="0" w:space="0" w:color="auto"/>
            <w:bottom w:val="none" w:sz="0" w:space="0" w:color="auto"/>
            <w:right w:val="none" w:sz="0" w:space="0" w:color="auto"/>
          </w:divBdr>
        </w:div>
        <w:div w:id="1691832294">
          <w:marLeft w:val="0"/>
          <w:marRight w:val="0"/>
          <w:marTop w:val="0"/>
          <w:marBottom w:val="0"/>
          <w:divBdr>
            <w:top w:val="none" w:sz="0" w:space="0" w:color="auto"/>
            <w:left w:val="none" w:sz="0" w:space="0" w:color="auto"/>
            <w:bottom w:val="none" w:sz="0" w:space="0" w:color="auto"/>
            <w:right w:val="none" w:sz="0" w:space="0" w:color="auto"/>
          </w:divBdr>
        </w:div>
        <w:div w:id="1699163369">
          <w:marLeft w:val="0"/>
          <w:marRight w:val="0"/>
          <w:marTop w:val="0"/>
          <w:marBottom w:val="0"/>
          <w:divBdr>
            <w:top w:val="none" w:sz="0" w:space="0" w:color="auto"/>
            <w:left w:val="none" w:sz="0" w:space="0" w:color="auto"/>
            <w:bottom w:val="none" w:sz="0" w:space="0" w:color="auto"/>
            <w:right w:val="none" w:sz="0" w:space="0" w:color="auto"/>
          </w:divBdr>
        </w:div>
        <w:div w:id="1771776415">
          <w:marLeft w:val="0"/>
          <w:marRight w:val="0"/>
          <w:marTop w:val="0"/>
          <w:marBottom w:val="0"/>
          <w:divBdr>
            <w:top w:val="none" w:sz="0" w:space="0" w:color="auto"/>
            <w:left w:val="none" w:sz="0" w:space="0" w:color="auto"/>
            <w:bottom w:val="none" w:sz="0" w:space="0" w:color="auto"/>
            <w:right w:val="none" w:sz="0" w:space="0" w:color="auto"/>
          </w:divBdr>
        </w:div>
        <w:div w:id="1791783323">
          <w:marLeft w:val="0"/>
          <w:marRight w:val="0"/>
          <w:marTop w:val="0"/>
          <w:marBottom w:val="0"/>
          <w:divBdr>
            <w:top w:val="none" w:sz="0" w:space="0" w:color="auto"/>
            <w:left w:val="none" w:sz="0" w:space="0" w:color="auto"/>
            <w:bottom w:val="none" w:sz="0" w:space="0" w:color="auto"/>
            <w:right w:val="none" w:sz="0" w:space="0" w:color="auto"/>
          </w:divBdr>
        </w:div>
      </w:divsChild>
    </w:div>
    <w:div w:id="1018965560">
      <w:bodyDiv w:val="1"/>
      <w:marLeft w:val="0"/>
      <w:marRight w:val="0"/>
      <w:marTop w:val="0"/>
      <w:marBottom w:val="0"/>
      <w:divBdr>
        <w:top w:val="none" w:sz="0" w:space="0" w:color="auto"/>
        <w:left w:val="none" w:sz="0" w:space="0" w:color="auto"/>
        <w:bottom w:val="none" w:sz="0" w:space="0" w:color="auto"/>
        <w:right w:val="none" w:sz="0" w:space="0" w:color="auto"/>
      </w:divBdr>
      <w:divsChild>
        <w:div w:id="350034105">
          <w:marLeft w:val="0"/>
          <w:marRight w:val="0"/>
          <w:marTop w:val="0"/>
          <w:marBottom w:val="0"/>
          <w:divBdr>
            <w:top w:val="none" w:sz="0" w:space="0" w:color="auto"/>
            <w:left w:val="none" w:sz="0" w:space="0" w:color="auto"/>
            <w:bottom w:val="none" w:sz="0" w:space="0" w:color="auto"/>
            <w:right w:val="none" w:sz="0" w:space="0" w:color="auto"/>
          </w:divBdr>
        </w:div>
        <w:div w:id="507869881">
          <w:marLeft w:val="0"/>
          <w:marRight w:val="0"/>
          <w:marTop w:val="0"/>
          <w:marBottom w:val="0"/>
          <w:divBdr>
            <w:top w:val="none" w:sz="0" w:space="0" w:color="auto"/>
            <w:left w:val="none" w:sz="0" w:space="0" w:color="auto"/>
            <w:bottom w:val="none" w:sz="0" w:space="0" w:color="auto"/>
            <w:right w:val="none" w:sz="0" w:space="0" w:color="auto"/>
          </w:divBdr>
        </w:div>
        <w:div w:id="889925948">
          <w:marLeft w:val="0"/>
          <w:marRight w:val="0"/>
          <w:marTop w:val="0"/>
          <w:marBottom w:val="0"/>
          <w:divBdr>
            <w:top w:val="none" w:sz="0" w:space="0" w:color="auto"/>
            <w:left w:val="none" w:sz="0" w:space="0" w:color="auto"/>
            <w:bottom w:val="none" w:sz="0" w:space="0" w:color="auto"/>
            <w:right w:val="none" w:sz="0" w:space="0" w:color="auto"/>
          </w:divBdr>
        </w:div>
        <w:div w:id="1099835332">
          <w:marLeft w:val="0"/>
          <w:marRight w:val="0"/>
          <w:marTop w:val="0"/>
          <w:marBottom w:val="0"/>
          <w:divBdr>
            <w:top w:val="none" w:sz="0" w:space="0" w:color="auto"/>
            <w:left w:val="none" w:sz="0" w:space="0" w:color="auto"/>
            <w:bottom w:val="none" w:sz="0" w:space="0" w:color="auto"/>
            <w:right w:val="none" w:sz="0" w:space="0" w:color="auto"/>
          </w:divBdr>
        </w:div>
        <w:div w:id="1449928279">
          <w:marLeft w:val="0"/>
          <w:marRight w:val="0"/>
          <w:marTop w:val="0"/>
          <w:marBottom w:val="0"/>
          <w:divBdr>
            <w:top w:val="none" w:sz="0" w:space="0" w:color="auto"/>
            <w:left w:val="none" w:sz="0" w:space="0" w:color="auto"/>
            <w:bottom w:val="none" w:sz="0" w:space="0" w:color="auto"/>
            <w:right w:val="none" w:sz="0" w:space="0" w:color="auto"/>
          </w:divBdr>
        </w:div>
        <w:div w:id="1499614560">
          <w:marLeft w:val="0"/>
          <w:marRight w:val="0"/>
          <w:marTop w:val="0"/>
          <w:marBottom w:val="0"/>
          <w:divBdr>
            <w:top w:val="none" w:sz="0" w:space="0" w:color="auto"/>
            <w:left w:val="none" w:sz="0" w:space="0" w:color="auto"/>
            <w:bottom w:val="none" w:sz="0" w:space="0" w:color="auto"/>
            <w:right w:val="none" w:sz="0" w:space="0" w:color="auto"/>
          </w:divBdr>
        </w:div>
        <w:div w:id="1750928410">
          <w:marLeft w:val="0"/>
          <w:marRight w:val="0"/>
          <w:marTop w:val="0"/>
          <w:marBottom w:val="0"/>
          <w:divBdr>
            <w:top w:val="none" w:sz="0" w:space="0" w:color="auto"/>
            <w:left w:val="none" w:sz="0" w:space="0" w:color="auto"/>
            <w:bottom w:val="none" w:sz="0" w:space="0" w:color="auto"/>
            <w:right w:val="none" w:sz="0" w:space="0" w:color="auto"/>
          </w:divBdr>
        </w:div>
        <w:div w:id="2021396624">
          <w:marLeft w:val="0"/>
          <w:marRight w:val="0"/>
          <w:marTop w:val="0"/>
          <w:marBottom w:val="0"/>
          <w:divBdr>
            <w:top w:val="none" w:sz="0" w:space="0" w:color="auto"/>
            <w:left w:val="none" w:sz="0" w:space="0" w:color="auto"/>
            <w:bottom w:val="none" w:sz="0" w:space="0" w:color="auto"/>
            <w:right w:val="none" w:sz="0" w:space="0" w:color="auto"/>
          </w:divBdr>
        </w:div>
        <w:div w:id="2034375994">
          <w:marLeft w:val="0"/>
          <w:marRight w:val="0"/>
          <w:marTop w:val="0"/>
          <w:marBottom w:val="0"/>
          <w:divBdr>
            <w:top w:val="none" w:sz="0" w:space="0" w:color="auto"/>
            <w:left w:val="none" w:sz="0" w:space="0" w:color="auto"/>
            <w:bottom w:val="none" w:sz="0" w:space="0" w:color="auto"/>
            <w:right w:val="none" w:sz="0" w:space="0" w:color="auto"/>
          </w:divBdr>
        </w:div>
      </w:divsChild>
    </w:div>
    <w:div w:id="1059864832">
      <w:bodyDiv w:val="1"/>
      <w:marLeft w:val="0"/>
      <w:marRight w:val="0"/>
      <w:marTop w:val="0"/>
      <w:marBottom w:val="0"/>
      <w:divBdr>
        <w:top w:val="none" w:sz="0" w:space="0" w:color="auto"/>
        <w:left w:val="none" w:sz="0" w:space="0" w:color="auto"/>
        <w:bottom w:val="none" w:sz="0" w:space="0" w:color="auto"/>
        <w:right w:val="none" w:sz="0" w:space="0" w:color="auto"/>
      </w:divBdr>
      <w:divsChild>
        <w:div w:id="247662766">
          <w:marLeft w:val="0"/>
          <w:marRight w:val="0"/>
          <w:marTop w:val="0"/>
          <w:marBottom w:val="0"/>
          <w:divBdr>
            <w:top w:val="none" w:sz="0" w:space="0" w:color="auto"/>
            <w:left w:val="none" w:sz="0" w:space="0" w:color="auto"/>
            <w:bottom w:val="none" w:sz="0" w:space="0" w:color="auto"/>
            <w:right w:val="none" w:sz="0" w:space="0" w:color="auto"/>
          </w:divBdr>
        </w:div>
        <w:div w:id="252009297">
          <w:marLeft w:val="0"/>
          <w:marRight w:val="0"/>
          <w:marTop w:val="0"/>
          <w:marBottom w:val="0"/>
          <w:divBdr>
            <w:top w:val="none" w:sz="0" w:space="0" w:color="auto"/>
            <w:left w:val="none" w:sz="0" w:space="0" w:color="auto"/>
            <w:bottom w:val="none" w:sz="0" w:space="0" w:color="auto"/>
            <w:right w:val="none" w:sz="0" w:space="0" w:color="auto"/>
          </w:divBdr>
        </w:div>
        <w:div w:id="1045367787">
          <w:marLeft w:val="0"/>
          <w:marRight w:val="0"/>
          <w:marTop w:val="0"/>
          <w:marBottom w:val="0"/>
          <w:divBdr>
            <w:top w:val="none" w:sz="0" w:space="0" w:color="auto"/>
            <w:left w:val="none" w:sz="0" w:space="0" w:color="auto"/>
            <w:bottom w:val="none" w:sz="0" w:space="0" w:color="auto"/>
            <w:right w:val="none" w:sz="0" w:space="0" w:color="auto"/>
          </w:divBdr>
        </w:div>
        <w:div w:id="1061253330">
          <w:marLeft w:val="0"/>
          <w:marRight w:val="0"/>
          <w:marTop w:val="0"/>
          <w:marBottom w:val="0"/>
          <w:divBdr>
            <w:top w:val="none" w:sz="0" w:space="0" w:color="auto"/>
            <w:left w:val="none" w:sz="0" w:space="0" w:color="auto"/>
            <w:bottom w:val="none" w:sz="0" w:space="0" w:color="auto"/>
            <w:right w:val="none" w:sz="0" w:space="0" w:color="auto"/>
          </w:divBdr>
        </w:div>
        <w:div w:id="1253050610">
          <w:marLeft w:val="0"/>
          <w:marRight w:val="0"/>
          <w:marTop w:val="0"/>
          <w:marBottom w:val="0"/>
          <w:divBdr>
            <w:top w:val="none" w:sz="0" w:space="0" w:color="auto"/>
            <w:left w:val="none" w:sz="0" w:space="0" w:color="auto"/>
            <w:bottom w:val="none" w:sz="0" w:space="0" w:color="auto"/>
            <w:right w:val="none" w:sz="0" w:space="0" w:color="auto"/>
          </w:divBdr>
        </w:div>
        <w:div w:id="1446535435">
          <w:marLeft w:val="0"/>
          <w:marRight w:val="0"/>
          <w:marTop w:val="0"/>
          <w:marBottom w:val="0"/>
          <w:divBdr>
            <w:top w:val="none" w:sz="0" w:space="0" w:color="auto"/>
            <w:left w:val="none" w:sz="0" w:space="0" w:color="auto"/>
            <w:bottom w:val="none" w:sz="0" w:space="0" w:color="auto"/>
            <w:right w:val="none" w:sz="0" w:space="0" w:color="auto"/>
          </w:divBdr>
        </w:div>
        <w:div w:id="1563521054">
          <w:marLeft w:val="0"/>
          <w:marRight w:val="0"/>
          <w:marTop w:val="0"/>
          <w:marBottom w:val="0"/>
          <w:divBdr>
            <w:top w:val="none" w:sz="0" w:space="0" w:color="auto"/>
            <w:left w:val="none" w:sz="0" w:space="0" w:color="auto"/>
            <w:bottom w:val="none" w:sz="0" w:space="0" w:color="auto"/>
            <w:right w:val="none" w:sz="0" w:space="0" w:color="auto"/>
          </w:divBdr>
        </w:div>
        <w:div w:id="1903173593">
          <w:marLeft w:val="0"/>
          <w:marRight w:val="0"/>
          <w:marTop w:val="0"/>
          <w:marBottom w:val="0"/>
          <w:divBdr>
            <w:top w:val="none" w:sz="0" w:space="0" w:color="auto"/>
            <w:left w:val="none" w:sz="0" w:space="0" w:color="auto"/>
            <w:bottom w:val="none" w:sz="0" w:space="0" w:color="auto"/>
            <w:right w:val="none" w:sz="0" w:space="0" w:color="auto"/>
          </w:divBdr>
        </w:div>
        <w:div w:id="2002006767">
          <w:marLeft w:val="0"/>
          <w:marRight w:val="0"/>
          <w:marTop w:val="0"/>
          <w:marBottom w:val="0"/>
          <w:divBdr>
            <w:top w:val="none" w:sz="0" w:space="0" w:color="auto"/>
            <w:left w:val="none" w:sz="0" w:space="0" w:color="auto"/>
            <w:bottom w:val="none" w:sz="0" w:space="0" w:color="auto"/>
            <w:right w:val="none" w:sz="0" w:space="0" w:color="auto"/>
          </w:divBdr>
        </w:div>
        <w:div w:id="2014794708">
          <w:marLeft w:val="0"/>
          <w:marRight w:val="0"/>
          <w:marTop w:val="0"/>
          <w:marBottom w:val="0"/>
          <w:divBdr>
            <w:top w:val="none" w:sz="0" w:space="0" w:color="auto"/>
            <w:left w:val="none" w:sz="0" w:space="0" w:color="auto"/>
            <w:bottom w:val="none" w:sz="0" w:space="0" w:color="auto"/>
            <w:right w:val="none" w:sz="0" w:space="0" w:color="auto"/>
          </w:divBdr>
        </w:div>
      </w:divsChild>
    </w:div>
    <w:div w:id="1105073601">
      <w:bodyDiv w:val="1"/>
      <w:marLeft w:val="0"/>
      <w:marRight w:val="0"/>
      <w:marTop w:val="0"/>
      <w:marBottom w:val="0"/>
      <w:divBdr>
        <w:top w:val="none" w:sz="0" w:space="0" w:color="auto"/>
        <w:left w:val="none" w:sz="0" w:space="0" w:color="auto"/>
        <w:bottom w:val="none" w:sz="0" w:space="0" w:color="auto"/>
        <w:right w:val="none" w:sz="0" w:space="0" w:color="auto"/>
      </w:divBdr>
      <w:divsChild>
        <w:div w:id="374547470">
          <w:marLeft w:val="0"/>
          <w:marRight w:val="0"/>
          <w:marTop w:val="0"/>
          <w:marBottom w:val="0"/>
          <w:divBdr>
            <w:top w:val="none" w:sz="0" w:space="0" w:color="auto"/>
            <w:left w:val="none" w:sz="0" w:space="0" w:color="auto"/>
            <w:bottom w:val="none" w:sz="0" w:space="0" w:color="auto"/>
            <w:right w:val="none" w:sz="0" w:space="0" w:color="auto"/>
          </w:divBdr>
        </w:div>
        <w:div w:id="602953247">
          <w:marLeft w:val="0"/>
          <w:marRight w:val="0"/>
          <w:marTop w:val="0"/>
          <w:marBottom w:val="0"/>
          <w:divBdr>
            <w:top w:val="none" w:sz="0" w:space="0" w:color="auto"/>
            <w:left w:val="none" w:sz="0" w:space="0" w:color="auto"/>
            <w:bottom w:val="none" w:sz="0" w:space="0" w:color="auto"/>
            <w:right w:val="none" w:sz="0" w:space="0" w:color="auto"/>
          </w:divBdr>
        </w:div>
        <w:div w:id="823546912">
          <w:marLeft w:val="0"/>
          <w:marRight w:val="0"/>
          <w:marTop w:val="0"/>
          <w:marBottom w:val="0"/>
          <w:divBdr>
            <w:top w:val="none" w:sz="0" w:space="0" w:color="auto"/>
            <w:left w:val="none" w:sz="0" w:space="0" w:color="auto"/>
            <w:bottom w:val="none" w:sz="0" w:space="0" w:color="auto"/>
            <w:right w:val="none" w:sz="0" w:space="0" w:color="auto"/>
          </w:divBdr>
        </w:div>
        <w:div w:id="1963420453">
          <w:marLeft w:val="0"/>
          <w:marRight w:val="0"/>
          <w:marTop w:val="0"/>
          <w:marBottom w:val="0"/>
          <w:divBdr>
            <w:top w:val="none" w:sz="0" w:space="0" w:color="auto"/>
            <w:left w:val="none" w:sz="0" w:space="0" w:color="auto"/>
            <w:bottom w:val="none" w:sz="0" w:space="0" w:color="auto"/>
            <w:right w:val="none" w:sz="0" w:space="0" w:color="auto"/>
          </w:divBdr>
        </w:div>
      </w:divsChild>
    </w:div>
    <w:div w:id="1109543897">
      <w:bodyDiv w:val="1"/>
      <w:marLeft w:val="0"/>
      <w:marRight w:val="0"/>
      <w:marTop w:val="0"/>
      <w:marBottom w:val="0"/>
      <w:divBdr>
        <w:top w:val="none" w:sz="0" w:space="0" w:color="auto"/>
        <w:left w:val="none" w:sz="0" w:space="0" w:color="auto"/>
        <w:bottom w:val="none" w:sz="0" w:space="0" w:color="auto"/>
        <w:right w:val="none" w:sz="0" w:space="0" w:color="auto"/>
      </w:divBdr>
    </w:div>
    <w:div w:id="1119253727">
      <w:bodyDiv w:val="1"/>
      <w:marLeft w:val="0"/>
      <w:marRight w:val="0"/>
      <w:marTop w:val="0"/>
      <w:marBottom w:val="0"/>
      <w:divBdr>
        <w:top w:val="none" w:sz="0" w:space="0" w:color="auto"/>
        <w:left w:val="none" w:sz="0" w:space="0" w:color="auto"/>
        <w:bottom w:val="none" w:sz="0" w:space="0" w:color="auto"/>
        <w:right w:val="none" w:sz="0" w:space="0" w:color="auto"/>
      </w:divBdr>
      <w:divsChild>
        <w:div w:id="4095596">
          <w:marLeft w:val="0"/>
          <w:marRight w:val="0"/>
          <w:marTop w:val="0"/>
          <w:marBottom w:val="0"/>
          <w:divBdr>
            <w:top w:val="none" w:sz="0" w:space="0" w:color="auto"/>
            <w:left w:val="none" w:sz="0" w:space="0" w:color="auto"/>
            <w:bottom w:val="none" w:sz="0" w:space="0" w:color="auto"/>
            <w:right w:val="none" w:sz="0" w:space="0" w:color="auto"/>
          </w:divBdr>
          <w:divsChild>
            <w:div w:id="918714950">
              <w:marLeft w:val="0"/>
              <w:marRight w:val="0"/>
              <w:marTop w:val="0"/>
              <w:marBottom w:val="0"/>
              <w:divBdr>
                <w:top w:val="none" w:sz="0" w:space="0" w:color="auto"/>
                <w:left w:val="none" w:sz="0" w:space="0" w:color="auto"/>
                <w:bottom w:val="none" w:sz="0" w:space="0" w:color="auto"/>
                <w:right w:val="none" w:sz="0" w:space="0" w:color="auto"/>
              </w:divBdr>
            </w:div>
          </w:divsChild>
        </w:div>
        <w:div w:id="49228220">
          <w:marLeft w:val="0"/>
          <w:marRight w:val="0"/>
          <w:marTop w:val="0"/>
          <w:marBottom w:val="0"/>
          <w:divBdr>
            <w:top w:val="none" w:sz="0" w:space="0" w:color="auto"/>
            <w:left w:val="none" w:sz="0" w:space="0" w:color="auto"/>
            <w:bottom w:val="none" w:sz="0" w:space="0" w:color="auto"/>
            <w:right w:val="none" w:sz="0" w:space="0" w:color="auto"/>
          </w:divBdr>
          <w:divsChild>
            <w:div w:id="1901012688">
              <w:marLeft w:val="0"/>
              <w:marRight w:val="0"/>
              <w:marTop w:val="0"/>
              <w:marBottom w:val="0"/>
              <w:divBdr>
                <w:top w:val="none" w:sz="0" w:space="0" w:color="auto"/>
                <w:left w:val="none" w:sz="0" w:space="0" w:color="auto"/>
                <w:bottom w:val="none" w:sz="0" w:space="0" w:color="auto"/>
                <w:right w:val="none" w:sz="0" w:space="0" w:color="auto"/>
              </w:divBdr>
            </w:div>
          </w:divsChild>
        </w:div>
        <w:div w:id="141653266">
          <w:marLeft w:val="0"/>
          <w:marRight w:val="0"/>
          <w:marTop w:val="0"/>
          <w:marBottom w:val="0"/>
          <w:divBdr>
            <w:top w:val="none" w:sz="0" w:space="0" w:color="auto"/>
            <w:left w:val="none" w:sz="0" w:space="0" w:color="auto"/>
            <w:bottom w:val="none" w:sz="0" w:space="0" w:color="auto"/>
            <w:right w:val="none" w:sz="0" w:space="0" w:color="auto"/>
          </w:divBdr>
          <w:divsChild>
            <w:div w:id="820997888">
              <w:marLeft w:val="0"/>
              <w:marRight w:val="0"/>
              <w:marTop w:val="0"/>
              <w:marBottom w:val="0"/>
              <w:divBdr>
                <w:top w:val="none" w:sz="0" w:space="0" w:color="auto"/>
                <w:left w:val="none" w:sz="0" w:space="0" w:color="auto"/>
                <w:bottom w:val="none" w:sz="0" w:space="0" w:color="auto"/>
                <w:right w:val="none" w:sz="0" w:space="0" w:color="auto"/>
              </w:divBdr>
            </w:div>
          </w:divsChild>
        </w:div>
        <w:div w:id="273559598">
          <w:marLeft w:val="0"/>
          <w:marRight w:val="0"/>
          <w:marTop w:val="0"/>
          <w:marBottom w:val="0"/>
          <w:divBdr>
            <w:top w:val="none" w:sz="0" w:space="0" w:color="auto"/>
            <w:left w:val="none" w:sz="0" w:space="0" w:color="auto"/>
            <w:bottom w:val="none" w:sz="0" w:space="0" w:color="auto"/>
            <w:right w:val="none" w:sz="0" w:space="0" w:color="auto"/>
          </w:divBdr>
          <w:divsChild>
            <w:div w:id="1973170533">
              <w:marLeft w:val="0"/>
              <w:marRight w:val="0"/>
              <w:marTop w:val="0"/>
              <w:marBottom w:val="0"/>
              <w:divBdr>
                <w:top w:val="none" w:sz="0" w:space="0" w:color="auto"/>
                <w:left w:val="none" w:sz="0" w:space="0" w:color="auto"/>
                <w:bottom w:val="none" w:sz="0" w:space="0" w:color="auto"/>
                <w:right w:val="none" w:sz="0" w:space="0" w:color="auto"/>
              </w:divBdr>
            </w:div>
          </w:divsChild>
        </w:div>
        <w:div w:id="301076916">
          <w:marLeft w:val="0"/>
          <w:marRight w:val="0"/>
          <w:marTop w:val="0"/>
          <w:marBottom w:val="0"/>
          <w:divBdr>
            <w:top w:val="none" w:sz="0" w:space="0" w:color="auto"/>
            <w:left w:val="none" w:sz="0" w:space="0" w:color="auto"/>
            <w:bottom w:val="none" w:sz="0" w:space="0" w:color="auto"/>
            <w:right w:val="none" w:sz="0" w:space="0" w:color="auto"/>
          </w:divBdr>
          <w:divsChild>
            <w:div w:id="614597005">
              <w:marLeft w:val="0"/>
              <w:marRight w:val="0"/>
              <w:marTop w:val="0"/>
              <w:marBottom w:val="0"/>
              <w:divBdr>
                <w:top w:val="none" w:sz="0" w:space="0" w:color="auto"/>
                <w:left w:val="none" w:sz="0" w:space="0" w:color="auto"/>
                <w:bottom w:val="none" w:sz="0" w:space="0" w:color="auto"/>
                <w:right w:val="none" w:sz="0" w:space="0" w:color="auto"/>
              </w:divBdr>
            </w:div>
          </w:divsChild>
        </w:div>
        <w:div w:id="348072030">
          <w:marLeft w:val="0"/>
          <w:marRight w:val="0"/>
          <w:marTop w:val="0"/>
          <w:marBottom w:val="0"/>
          <w:divBdr>
            <w:top w:val="none" w:sz="0" w:space="0" w:color="auto"/>
            <w:left w:val="none" w:sz="0" w:space="0" w:color="auto"/>
            <w:bottom w:val="none" w:sz="0" w:space="0" w:color="auto"/>
            <w:right w:val="none" w:sz="0" w:space="0" w:color="auto"/>
          </w:divBdr>
          <w:divsChild>
            <w:div w:id="1335304875">
              <w:marLeft w:val="0"/>
              <w:marRight w:val="0"/>
              <w:marTop w:val="0"/>
              <w:marBottom w:val="0"/>
              <w:divBdr>
                <w:top w:val="none" w:sz="0" w:space="0" w:color="auto"/>
                <w:left w:val="none" w:sz="0" w:space="0" w:color="auto"/>
                <w:bottom w:val="none" w:sz="0" w:space="0" w:color="auto"/>
                <w:right w:val="none" w:sz="0" w:space="0" w:color="auto"/>
              </w:divBdr>
            </w:div>
          </w:divsChild>
        </w:div>
        <w:div w:id="366688201">
          <w:marLeft w:val="0"/>
          <w:marRight w:val="0"/>
          <w:marTop w:val="0"/>
          <w:marBottom w:val="0"/>
          <w:divBdr>
            <w:top w:val="none" w:sz="0" w:space="0" w:color="auto"/>
            <w:left w:val="none" w:sz="0" w:space="0" w:color="auto"/>
            <w:bottom w:val="none" w:sz="0" w:space="0" w:color="auto"/>
            <w:right w:val="none" w:sz="0" w:space="0" w:color="auto"/>
          </w:divBdr>
          <w:divsChild>
            <w:div w:id="173880798">
              <w:marLeft w:val="0"/>
              <w:marRight w:val="0"/>
              <w:marTop w:val="0"/>
              <w:marBottom w:val="0"/>
              <w:divBdr>
                <w:top w:val="none" w:sz="0" w:space="0" w:color="auto"/>
                <w:left w:val="none" w:sz="0" w:space="0" w:color="auto"/>
                <w:bottom w:val="none" w:sz="0" w:space="0" w:color="auto"/>
                <w:right w:val="none" w:sz="0" w:space="0" w:color="auto"/>
              </w:divBdr>
            </w:div>
          </w:divsChild>
        </w:div>
        <w:div w:id="440338004">
          <w:marLeft w:val="0"/>
          <w:marRight w:val="0"/>
          <w:marTop w:val="0"/>
          <w:marBottom w:val="0"/>
          <w:divBdr>
            <w:top w:val="none" w:sz="0" w:space="0" w:color="auto"/>
            <w:left w:val="none" w:sz="0" w:space="0" w:color="auto"/>
            <w:bottom w:val="none" w:sz="0" w:space="0" w:color="auto"/>
            <w:right w:val="none" w:sz="0" w:space="0" w:color="auto"/>
          </w:divBdr>
          <w:divsChild>
            <w:div w:id="2101950181">
              <w:marLeft w:val="0"/>
              <w:marRight w:val="0"/>
              <w:marTop w:val="0"/>
              <w:marBottom w:val="0"/>
              <w:divBdr>
                <w:top w:val="none" w:sz="0" w:space="0" w:color="auto"/>
                <w:left w:val="none" w:sz="0" w:space="0" w:color="auto"/>
                <w:bottom w:val="none" w:sz="0" w:space="0" w:color="auto"/>
                <w:right w:val="none" w:sz="0" w:space="0" w:color="auto"/>
              </w:divBdr>
            </w:div>
          </w:divsChild>
        </w:div>
        <w:div w:id="527446471">
          <w:marLeft w:val="0"/>
          <w:marRight w:val="0"/>
          <w:marTop w:val="0"/>
          <w:marBottom w:val="0"/>
          <w:divBdr>
            <w:top w:val="none" w:sz="0" w:space="0" w:color="auto"/>
            <w:left w:val="none" w:sz="0" w:space="0" w:color="auto"/>
            <w:bottom w:val="none" w:sz="0" w:space="0" w:color="auto"/>
            <w:right w:val="none" w:sz="0" w:space="0" w:color="auto"/>
          </w:divBdr>
          <w:divsChild>
            <w:div w:id="483817795">
              <w:marLeft w:val="0"/>
              <w:marRight w:val="0"/>
              <w:marTop w:val="0"/>
              <w:marBottom w:val="0"/>
              <w:divBdr>
                <w:top w:val="none" w:sz="0" w:space="0" w:color="auto"/>
                <w:left w:val="none" w:sz="0" w:space="0" w:color="auto"/>
                <w:bottom w:val="none" w:sz="0" w:space="0" w:color="auto"/>
                <w:right w:val="none" w:sz="0" w:space="0" w:color="auto"/>
              </w:divBdr>
            </w:div>
          </w:divsChild>
        </w:div>
        <w:div w:id="563102682">
          <w:marLeft w:val="0"/>
          <w:marRight w:val="0"/>
          <w:marTop w:val="0"/>
          <w:marBottom w:val="0"/>
          <w:divBdr>
            <w:top w:val="none" w:sz="0" w:space="0" w:color="auto"/>
            <w:left w:val="none" w:sz="0" w:space="0" w:color="auto"/>
            <w:bottom w:val="none" w:sz="0" w:space="0" w:color="auto"/>
            <w:right w:val="none" w:sz="0" w:space="0" w:color="auto"/>
          </w:divBdr>
          <w:divsChild>
            <w:div w:id="2046903245">
              <w:marLeft w:val="0"/>
              <w:marRight w:val="0"/>
              <w:marTop w:val="0"/>
              <w:marBottom w:val="0"/>
              <w:divBdr>
                <w:top w:val="none" w:sz="0" w:space="0" w:color="auto"/>
                <w:left w:val="none" w:sz="0" w:space="0" w:color="auto"/>
                <w:bottom w:val="none" w:sz="0" w:space="0" w:color="auto"/>
                <w:right w:val="none" w:sz="0" w:space="0" w:color="auto"/>
              </w:divBdr>
            </w:div>
          </w:divsChild>
        </w:div>
        <w:div w:id="609095305">
          <w:marLeft w:val="0"/>
          <w:marRight w:val="0"/>
          <w:marTop w:val="0"/>
          <w:marBottom w:val="0"/>
          <w:divBdr>
            <w:top w:val="none" w:sz="0" w:space="0" w:color="auto"/>
            <w:left w:val="none" w:sz="0" w:space="0" w:color="auto"/>
            <w:bottom w:val="none" w:sz="0" w:space="0" w:color="auto"/>
            <w:right w:val="none" w:sz="0" w:space="0" w:color="auto"/>
          </w:divBdr>
          <w:divsChild>
            <w:div w:id="933241172">
              <w:marLeft w:val="0"/>
              <w:marRight w:val="0"/>
              <w:marTop w:val="0"/>
              <w:marBottom w:val="0"/>
              <w:divBdr>
                <w:top w:val="none" w:sz="0" w:space="0" w:color="auto"/>
                <w:left w:val="none" w:sz="0" w:space="0" w:color="auto"/>
                <w:bottom w:val="none" w:sz="0" w:space="0" w:color="auto"/>
                <w:right w:val="none" w:sz="0" w:space="0" w:color="auto"/>
              </w:divBdr>
            </w:div>
          </w:divsChild>
        </w:div>
        <w:div w:id="609557146">
          <w:marLeft w:val="0"/>
          <w:marRight w:val="0"/>
          <w:marTop w:val="0"/>
          <w:marBottom w:val="0"/>
          <w:divBdr>
            <w:top w:val="none" w:sz="0" w:space="0" w:color="auto"/>
            <w:left w:val="none" w:sz="0" w:space="0" w:color="auto"/>
            <w:bottom w:val="none" w:sz="0" w:space="0" w:color="auto"/>
            <w:right w:val="none" w:sz="0" w:space="0" w:color="auto"/>
          </w:divBdr>
          <w:divsChild>
            <w:div w:id="506869561">
              <w:marLeft w:val="0"/>
              <w:marRight w:val="0"/>
              <w:marTop w:val="0"/>
              <w:marBottom w:val="0"/>
              <w:divBdr>
                <w:top w:val="none" w:sz="0" w:space="0" w:color="auto"/>
                <w:left w:val="none" w:sz="0" w:space="0" w:color="auto"/>
                <w:bottom w:val="none" w:sz="0" w:space="0" w:color="auto"/>
                <w:right w:val="none" w:sz="0" w:space="0" w:color="auto"/>
              </w:divBdr>
            </w:div>
          </w:divsChild>
        </w:div>
        <w:div w:id="663322191">
          <w:marLeft w:val="0"/>
          <w:marRight w:val="0"/>
          <w:marTop w:val="0"/>
          <w:marBottom w:val="0"/>
          <w:divBdr>
            <w:top w:val="none" w:sz="0" w:space="0" w:color="auto"/>
            <w:left w:val="none" w:sz="0" w:space="0" w:color="auto"/>
            <w:bottom w:val="none" w:sz="0" w:space="0" w:color="auto"/>
            <w:right w:val="none" w:sz="0" w:space="0" w:color="auto"/>
          </w:divBdr>
          <w:divsChild>
            <w:div w:id="1720668237">
              <w:marLeft w:val="0"/>
              <w:marRight w:val="0"/>
              <w:marTop w:val="0"/>
              <w:marBottom w:val="0"/>
              <w:divBdr>
                <w:top w:val="none" w:sz="0" w:space="0" w:color="auto"/>
                <w:left w:val="none" w:sz="0" w:space="0" w:color="auto"/>
                <w:bottom w:val="none" w:sz="0" w:space="0" w:color="auto"/>
                <w:right w:val="none" w:sz="0" w:space="0" w:color="auto"/>
              </w:divBdr>
            </w:div>
          </w:divsChild>
        </w:div>
        <w:div w:id="699471222">
          <w:marLeft w:val="0"/>
          <w:marRight w:val="0"/>
          <w:marTop w:val="0"/>
          <w:marBottom w:val="0"/>
          <w:divBdr>
            <w:top w:val="none" w:sz="0" w:space="0" w:color="auto"/>
            <w:left w:val="none" w:sz="0" w:space="0" w:color="auto"/>
            <w:bottom w:val="none" w:sz="0" w:space="0" w:color="auto"/>
            <w:right w:val="none" w:sz="0" w:space="0" w:color="auto"/>
          </w:divBdr>
          <w:divsChild>
            <w:div w:id="659699450">
              <w:marLeft w:val="0"/>
              <w:marRight w:val="0"/>
              <w:marTop w:val="0"/>
              <w:marBottom w:val="0"/>
              <w:divBdr>
                <w:top w:val="none" w:sz="0" w:space="0" w:color="auto"/>
                <w:left w:val="none" w:sz="0" w:space="0" w:color="auto"/>
                <w:bottom w:val="none" w:sz="0" w:space="0" w:color="auto"/>
                <w:right w:val="none" w:sz="0" w:space="0" w:color="auto"/>
              </w:divBdr>
            </w:div>
          </w:divsChild>
        </w:div>
        <w:div w:id="703480781">
          <w:marLeft w:val="0"/>
          <w:marRight w:val="0"/>
          <w:marTop w:val="0"/>
          <w:marBottom w:val="0"/>
          <w:divBdr>
            <w:top w:val="none" w:sz="0" w:space="0" w:color="auto"/>
            <w:left w:val="none" w:sz="0" w:space="0" w:color="auto"/>
            <w:bottom w:val="none" w:sz="0" w:space="0" w:color="auto"/>
            <w:right w:val="none" w:sz="0" w:space="0" w:color="auto"/>
          </w:divBdr>
          <w:divsChild>
            <w:div w:id="1305500229">
              <w:marLeft w:val="0"/>
              <w:marRight w:val="0"/>
              <w:marTop w:val="0"/>
              <w:marBottom w:val="0"/>
              <w:divBdr>
                <w:top w:val="none" w:sz="0" w:space="0" w:color="auto"/>
                <w:left w:val="none" w:sz="0" w:space="0" w:color="auto"/>
                <w:bottom w:val="none" w:sz="0" w:space="0" w:color="auto"/>
                <w:right w:val="none" w:sz="0" w:space="0" w:color="auto"/>
              </w:divBdr>
            </w:div>
          </w:divsChild>
        </w:div>
        <w:div w:id="839277689">
          <w:marLeft w:val="0"/>
          <w:marRight w:val="0"/>
          <w:marTop w:val="0"/>
          <w:marBottom w:val="0"/>
          <w:divBdr>
            <w:top w:val="none" w:sz="0" w:space="0" w:color="auto"/>
            <w:left w:val="none" w:sz="0" w:space="0" w:color="auto"/>
            <w:bottom w:val="none" w:sz="0" w:space="0" w:color="auto"/>
            <w:right w:val="none" w:sz="0" w:space="0" w:color="auto"/>
          </w:divBdr>
          <w:divsChild>
            <w:div w:id="1526167318">
              <w:marLeft w:val="0"/>
              <w:marRight w:val="0"/>
              <w:marTop w:val="0"/>
              <w:marBottom w:val="0"/>
              <w:divBdr>
                <w:top w:val="none" w:sz="0" w:space="0" w:color="auto"/>
                <w:left w:val="none" w:sz="0" w:space="0" w:color="auto"/>
                <w:bottom w:val="none" w:sz="0" w:space="0" w:color="auto"/>
                <w:right w:val="none" w:sz="0" w:space="0" w:color="auto"/>
              </w:divBdr>
            </w:div>
          </w:divsChild>
        </w:div>
        <w:div w:id="845052386">
          <w:marLeft w:val="0"/>
          <w:marRight w:val="0"/>
          <w:marTop w:val="0"/>
          <w:marBottom w:val="0"/>
          <w:divBdr>
            <w:top w:val="none" w:sz="0" w:space="0" w:color="auto"/>
            <w:left w:val="none" w:sz="0" w:space="0" w:color="auto"/>
            <w:bottom w:val="none" w:sz="0" w:space="0" w:color="auto"/>
            <w:right w:val="none" w:sz="0" w:space="0" w:color="auto"/>
          </w:divBdr>
          <w:divsChild>
            <w:div w:id="653527132">
              <w:marLeft w:val="0"/>
              <w:marRight w:val="0"/>
              <w:marTop w:val="0"/>
              <w:marBottom w:val="0"/>
              <w:divBdr>
                <w:top w:val="none" w:sz="0" w:space="0" w:color="auto"/>
                <w:left w:val="none" w:sz="0" w:space="0" w:color="auto"/>
                <w:bottom w:val="none" w:sz="0" w:space="0" w:color="auto"/>
                <w:right w:val="none" w:sz="0" w:space="0" w:color="auto"/>
              </w:divBdr>
            </w:div>
          </w:divsChild>
        </w:div>
        <w:div w:id="981692747">
          <w:marLeft w:val="0"/>
          <w:marRight w:val="0"/>
          <w:marTop w:val="0"/>
          <w:marBottom w:val="0"/>
          <w:divBdr>
            <w:top w:val="none" w:sz="0" w:space="0" w:color="auto"/>
            <w:left w:val="none" w:sz="0" w:space="0" w:color="auto"/>
            <w:bottom w:val="none" w:sz="0" w:space="0" w:color="auto"/>
            <w:right w:val="none" w:sz="0" w:space="0" w:color="auto"/>
          </w:divBdr>
          <w:divsChild>
            <w:div w:id="1364289898">
              <w:marLeft w:val="0"/>
              <w:marRight w:val="0"/>
              <w:marTop w:val="0"/>
              <w:marBottom w:val="0"/>
              <w:divBdr>
                <w:top w:val="none" w:sz="0" w:space="0" w:color="auto"/>
                <w:left w:val="none" w:sz="0" w:space="0" w:color="auto"/>
                <w:bottom w:val="none" w:sz="0" w:space="0" w:color="auto"/>
                <w:right w:val="none" w:sz="0" w:space="0" w:color="auto"/>
              </w:divBdr>
            </w:div>
          </w:divsChild>
        </w:div>
        <w:div w:id="1016542718">
          <w:marLeft w:val="0"/>
          <w:marRight w:val="0"/>
          <w:marTop w:val="0"/>
          <w:marBottom w:val="0"/>
          <w:divBdr>
            <w:top w:val="none" w:sz="0" w:space="0" w:color="auto"/>
            <w:left w:val="none" w:sz="0" w:space="0" w:color="auto"/>
            <w:bottom w:val="none" w:sz="0" w:space="0" w:color="auto"/>
            <w:right w:val="none" w:sz="0" w:space="0" w:color="auto"/>
          </w:divBdr>
          <w:divsChild>
            <w:div w:id="1784954876">
              <w:marLeft w:val="0"/>
              <w:marRight w:val="0"/>
              <w:marTop w:val="0"/>
              <w:marBottom w:val="0"/>
              <w:divBdr>
                <w:top w:val="none" w:sz="0" w:space="0" w:color="auto"/>
                <w:left w:val="none" w:sz="0" w:space="0" w:color="auto"/>
                <w:bottom w:val="none" w:sz="0" w:space="0" w:color="auto"/>
                <w:right w:val="none" w:sz="0" w:space="0" w:color="auto"/>
              </w:divBdr>
            </w:div>
          </w:divsChild>
        </w:div>
        <w:div w:id="1043288480">
          <w:marLeft w:val="0"/>
          <w:marRight w:val="0"/>
          <w:marTop w:val="0"/>
          <w:marBottom w:val="0"/>
          <w:divBdr>
            <w:top w:val="none" w:sz="0" w:space="0" w:color="auto"/>
            <w:left w:val="none" w:sz="0" w:space="0" w:color="auto"/>
            <w:bottom w:val="none" w:sz="0" w:space="0" w:color="auto"/>
            <w:right w:val="none" w:sz="0" w:space="0" w:color="auto"/>
          </w:divBdr>
          <w:divsChild>
            <w:div w:id="1021202376">
              <w:marLeft w:val="0"/>
              <w:marRight w:val="0"/>
              <w:marTop w:val="0"/>
              <w:marBottom w:val="0"/>
              <w:divBdr>
                <w:top w:val="none" w:sz="0" w:space="0" w:color="auto"/>
                <w:left w:val="none" w:sz="0" w:space="0" w:color="auto"/>
                <w:bottom w:val="none" w:sz="0" w:space="0" w:color="auto"/>
                <w:right w:val="none" w:sz="0" w:space="0" w:color="auto"/>
              </w:divBdr>
            </w:div>
          </w:divsChild>
        </w:div>
        <w:div w:id="1045256419">
          <w:marLeft w:val="0"/>
          <w:marRight w:val="0"/>
          <w:marTop w:val="0"/>
          <w:marBottom w:val="0"/>
          <w:divBdr>
            <w:top w:val="none" w:sz="0" w:space="0" w:color="auto"/>
            <w:left w:val="none" w:sz="0" w:space="0" w:color="auto"/>
            <w:bottom w:val="none" w:sz="0" w:space="0" w:color="auto"/>
            <w:right w:val="none" w:sz="0" w:space="0" w:color="auto"/>
          </w:divBdr>
          <w:divsChild>
            <w:div w:id="189879787">
              <w:marLeft w:val="0"/>
              <w:marRight w:val="0"/>
              <w:marTop w:val="0"/>
              <w:marBottom w:val="0"/>
              <w:divBdr>
                <w:top w:val="none" w:sz="0" w:space="0" w:color="auto"/>
                <w:left w:val="none" w:sz="0" w:space="0" w:color="auto"/>
                <w:bottom w:val="none" w:sz="0" w:space="0" w:color="auto"/>
                <w:right w:val="none" w:sz="0" w:space="0" w:color="auto"/>
              </w:divBdr>
            </w:div>
          </w:divsChild>
        </w:div>
        <w:div w:id="1284188291">
          <w:marLeft w:val="0"/>
          <w:marRight w:val="0"/>
          <w:marTop w:val="0"/>
          <w:marBottom w:val="0"/>
          <w:divBdr>
            <w:top w:val="none" w:sz="0" w:space="0" w:color="auto"/>
            <w:left w:val="none" w:sz="0" w:space="0" w:color="auto"/>
            <w:bottom w:val="none" w:sz="0" w:space="0" w:color="auto"/>
            <w:right w:val="none" w:sz="0" w:space="0" w:color="auto"/>
          </w:divBdr>
          <w:divsChild>
            <w:div w:id="1686056975">
              <w:marLeft w:val="0"/>
              <w:marRight w:val="0"/>
              <w:marTop w:val="0"/>
              <w:marBottom w:val="0"/>
              <w:divBdr>
                <w:top w:val="none" w:sz="0" w:space="0" w:color="auto"/>
                <w:left w:val="none" w:sz="0" w:space="0" w:color="auto"/>
                <w:bottom w:val="none" w:sz="0" w:space="0" w:color="auto"/>
                <w:right w:val="none" w:sz="0" w:space="0" w:color="auto"/>
              </w:divBdr>
            </w:div>
          </w:divsChild>
        </w:div>
        <w:div w:id="1593470469">
          <w:marLeft w:val="0"/>
          <w:marRight w:val="0"/>
          <w:marTop w:val="0"/>
          <w:marBottom w:val="0"/>
          <w:divBdr>
            <w:top w:val="none" w:sz="0" w:space="0" w:color="auto"/>
            <w:left w:val="none" w:sz="0" w:space="0" w:color="auto"/>
            <w:bottom w:val="none" w:sz="0" w:space="0" w:color="auto"/>
            <w:right w:val="none" w:sz="0" w:space="0" w:color="auto"/>
          </w:divBdr>
          <w:divsChild>
            <w:div w:id="741098900">
              <w:marLeft w:val="0"/>
              <w:marRight w:val="0"/>
              <w:marTop w:val="0"/>
              <w:marBottom w:val="0"/>
              <w:divBdr>
                <w:top w:val="none" w:sz="0" w:space="0" w:color="auto"/>
                <w:left w:val="none" w:sz="0" w:space="0" w:color="auto"/>
                <w:bottom w:val="none" w:sz="0" w:space="0" w:color="auto"/>
                <w:right w:val="none" w:sz="0" w:space="0" w:color="auto"/>
              </w:divBdr>
            </w:div>
          </w:divsChild>
        </w:div>
        <w:div w:id="1719740175">
          <w:marLeft w:val="0"/>
          <w:marRight w:val="0"/>
          <w:marTop w:val="0"/>
          <w:marBottom w:val="0"/>
          <w:divBdr>
            <w:top w:val="none" w:sz="0" w:space="0" w:color="auto"/>
            <w:left w:val="none" w:sz="0" w:space="0" w:color="auto"/>
            <w:bottom w:val="none" w:sz="0" w:space="0" w:color="auto"/>
            <w:right w:val="none" w:sz="0" w:space="0" w:color="auto"/>
          </w:divBdr>
          <w:divsChild>
            <w:div w:id="708606614">
              <w:marLeft w:val="0"/>
              <w:marRight w:val="0"/>
              <w:marTop w:val="0"/>
              <w:marBottom w:val="0"/>
              <w:divBdr>
                <w:top w:val="none" w:sz="0" w:space="0" w:color="auto"/>
                <w:left w:val="none" w:sz="0" w:space="0" w:color="auto"/>
                <w:bottom w:val="none" w:sz="0" w:space="0" w:color="auto"/>
                <w:right w:val="none" w:sz="0" w:space="0" w:color="auto"/>
              </w:divBdr>
            </w:div>
          </w:divsChild>
        </w:div>
        <w:div w:id="1747410527">
          <w:marLeft w:val="0"/>
          <w:marRight w:val="0"/>
          <w:marTop w:val="0"/>
          <w:marBottom w:val="0"/>
          <w:divBdr>
            <w:top w:val="none" w:sz="0" w:space="0" w:color="auto"/>
            <w:left w:val="none" w:sz="0" w:space="0" w:color="auto"/>
            <w:bottom w:val="none" w:sz="0" w:space="0" w:color="auto"/>
            <w:right w:val="none" w:sz="0" w:space="0" w:color="auto"/>
          </w:divBdr>
          <w:divsChild>
            <w:div w:id="988826892">
              <w:marLeft w:val="0"/>
              <w:marRight w:val="0"/>
              <w:marTop w:val="0"/>
              <w:marBottom w:val="0"/>
              <w:divBdr>
                <w:top w:val="none" w:sz="0" w:space="0" w:color="auto"/>
                <w:left w:val="none" w:sz="0" w:space="0" w:color="auto"/>
                <w:bottom w:val="none" w:sz="0" w:space="0" w:color="auto"/>
                <w:right w:val="none" w:sz="0" w:space="0" w:color="auto"/>
              </w:divBdr>
            </w:div>
          </w:divsChild>
        </w:div>
        <w:div w:id="1947154737">
          <w:marLeft w:val="0"/>
          <w:marRight w:val="0"/>
          <w:marTop w:val="0"/>
          <w:marBottom w:val="0"/>
          <w:divBdr>
            <w:top w:val="none" w:sz="0" w:space="0" w:color="auto"/>
            <w:left w:val="none" w:sz="0" w:space="0" w:color="auto"/>
            <w:bottom w:val="none" w:sz="0" w:space="0" w:color="auto"/>
            <w:right w:val="none" w:sz="0" w:space="0" w:color="auto"/>
          </w:divBdr>
          <w:divsChild>
            <w:div w:id="1173766428">
              <w:marLeft w:val="0"/>
              <w:marRight w:val="0"/>
              <w:marTop w:val="0"/>
              <w:marBottom w:val="0"/>
              <w:divBdr>
                <w:top w:val="none" w:sz="0" w:space="0" w:color="auto"/>
                <w:left w:val="none" w:sz="0" w:space="0" w:color="auto"/>
                <w:bottom w:val="none" w:sz="0" w:space="0" w:color="auto"/>
                <w:right w:val="none" w:sz="0" w:space="0" w:color="auto"/>
              </w:divBdr>
            </w:div>
          </w:divsChild>
        </w:div>
        <w:div w:id="1993409100">
          <w:marLeft w:val="0"/>
          <w:marRight w:val="0"/>
          <w:marTop w:val="0"/>
          <w:marBottom w:val="0"/>
          <w:divBdr>
            <w:top w:val="none" w:sz="0" w:space="0" w:color="auto"/>
            <w:left w:val="none" w:sz="0" w:space="0" w:color="auto"/>
            <w:bottom w:val="none" w:sz="0" w:space="0" w:color="auto"/>
            <w:right w:val="none" w:sz="0" w:space="0" w:color="auto"/>
          </w:divBdr>
          <w:divsChild>
            <w:div w:id="136804727">
              <w:marLeft w:val="0"/>
              <w:marRight w:val="0"/>
              <w:marTop w:val="0"/>
              <w:marBottom w:val="0"/>
              <w:divBdr>
                <w:top w:val="none" w:sz="0" w:space="0" w:color="auto"/>
                <w:left w:val="none" w:sz="0" w:space="0" w:color="auto"/>
                <w:bottom w:val="none" w:sz="0" w:space="0" w:color="auto"/>
                <w:right w:val="none" w:sz="0" w:space="0" w:color="auto"/>
              </w:divBdr>
            </w:div>
          </w:divsChild>
        </w:div>
        <w:div w:id="2055733411">
          <w:marLeft w:val="0"/>
          <w:marRight w:val="0"/>
          <w:marTop w:val="0"/>
          <w:marBottom w:val="0"/>
          <w:divBdr>
            <w:top w:val="none" w:sz="0" w:space="0" w:color="auto"/>
            <w:left w:val="none" w:sz="0" w:space="0" w:color="auto"/>
            <w:bottom w:val="none" w:sz="0" w:space="0" w:color="auto"/>
            <w:right w:val="none" w:sz="0" w:space="0" w:color="auto"/>
          </w:divBdr>
          <w:divsChild>
            <w:div w:id="793910714">
              <w:marLeft w:val="0"/>
              <w:marRight w:val="0"/>
              <w:marTop w:val="0"/>
              <w:marBottom w:val="0"/>
              <w:divBdr>
                <w:top w:val="none" w:sz="0" w:space="0" w:color="auto"/>
                <w:left w:val="none" w:sz="0" w:space="0" w:color="auto"/>
                <w:bottom w:val="none" w:sz="0" w:space="0" w:color="auto"/>
                <w:right w:val="none" w:sz="0" w:space="0" w:color="auto"/>
              </w:divBdr>
            </w:div>
          </w:divsChild>
        </w:div>
        <w:div w:id="2083872352">
          <w:marLeft w:val="0"/>
          <w:marRight w:val="0"/>
          <w:marTop w:val="0"/>
          <w:marBottom w:val="0"/>
          <w:divBdr>
            <w:top w:val="none" w:sz="0" w:space="0" w:color="auto"/>
            <w:left w:val="none" w:sz="0" w:space="0" w:color="auto"/>
            <w:bottom w:val="none" w:sz="0" w:space="0" w:color="auto"/>
            <w:right w:val="none" w:sz="0" w:space="0" w:color="auto"/>
          </w:divBdr>
          <w:divsChild>
            <w:div w:id="822429174">
              <w:marLeft w:val="0"/>
              <w:marRight w:val="0"/>
              <w:marTop w:val="0"/>
              <w:marBottom w:val="0"/>
              <w:divBdr>
                <w:top w:val="none" w:sz="0" w:space="0" w:color="auto"/>
                <w:left w:val="none" w:sz="0" w:space="0" w:color="auto"/>
                <w:bottom w:val="none" w:sz="0" w:space="0" w:color="auto"/>
                <w:right w:val="none" w:sz="0" w:space="0" w:color="auto"/>
              </w:divBdr>
            </w:div>
          </w:divsChild>
        </w:div>
        <w:div w:id="2108306811">
          <w:marLeft w:val="0"/>
          <w:marRight w:val="0"/>
          <w:marTop w:val="0"/>
          <w:marBottom w:val="0"/>
          <w:divBdr>
            <w:top w:val="none" w:sz="0" w:space="0" w:color="auto"/>
            <w:left w:val="none" w:sz="0" w:space="0" w:color="auto"/>
            <w:bottom w:val="none" w:sz="0" w:space="0" w:color="auto"/>
            <w:right w:val="none" w:sz="0" w:space="0" w:color="auto"/>
          </w:divBdr>
          <w:divsChild>
            <w:div w:id="16663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00016">
      <w:bodyDiv w:val="1"/>
      <w:marLeft w:val="0"/>
      <w:marRight w:val="0"/>
      <w:marTop w:val="0"/>
      <w:marBottom w:val="0"/>
      <w:divBdr>
        <w:top w:val="none" w:sz="0" w:space="0" w:color="auto"/>
        <w:left w:val="none" w:sz="0" w:space="0" w:color="auto"/>
        <w:bottom w:val="none" w:sz="0" w:space="0" w:color="auto"/>
        <w:right w:val="none" w:sz="0" w:space="0" w:color="auto"/>
      </w:divBdr>
      <w:divsChild>
        <w:div w:id="1932663637">
          <w:marLeft w:val="0"/>
          <w:marRight w:val="0"/>
          <w:marTop w:val="0"/>
          <w:marBottom w:val="0"/>
          <w:divBdr>
            <w:top w:val="none" w:sz="0" w:space="0" w:color="auto"/>
            <w:left w:val="none" w:sz="0" w:space="0" w:color="auto"/>
            <w:bottom w:val="none" w:sz="0" w:space="0" w:color="auto"/>
            <w:right w:val="none" w:sz="0" w:space="0" w:color="auto"/>
          </w:divBdr>
          <w:divsChild>
            <w:div w:id="454952983">
              <w:marLeft w:val="0"/>
              <w:marRight w:val="0"/>
              <w:marTop w:val="0"/>
              <w:marBottom w:val="0"/>
              <w:divBdr>
                <w:top w:val="none" w:sz="0" w:space="0" w:color="auto"/>
                <w:left w:val="none" w:sz="0" w:space="0" w:color="auto"/>
                <w:bottom w:val="none" w:sz="0" w:space="0" w:color="auto"/>
                <w:right w:val="none" w:sz="0" w:space="0" w:color="auto"/>
              </w:divBdr>
            </w:div>
            <w:div w:id="575632718">
              <w:marLeft w:val="0"/>
              <w:marRight w:val="0"/>
              <w:marTop w:val="0"/>
              <w:marBottom w:val="0"/>
              <w:divBdr>
                <w:top w:val="none" w:sz="0" w:space="0" w:color="auto"/>
                <w:left w:val="none" w:sz="0" w:space="0" w:color="auto"/>
                <w:bottom w:val="none" w:sz="0" w:space="0" w:color="auto"/>
                <w:right w:val="none" w:sz="0" w:space="0" w:color="auto"/>
              </w:divBdr>
            </w:div>
            <w:div w:id="589048080">
              <w:marLeft w:val="0"/>
              <w:marRight w:val="0"/>
              <w:marTop w:val="0"/>
              <w:marBottom w:val="0"/>
              <w:divBdr>
                <w:top w:val="none" w:sz="0" w:space="0" w:color="auto"/>
                <w:left w:val="none" w:sz="0" w:space="0" w:color="auto"/>
                <w:bottom w:val="none" w:sz="0" w:space="0" w:color="auto"/>
                <w:right w:val="none" w:sz="0" w:space="0" w:color="auto"/>
              </w:divBdr>
            </w:div>
            <w:div w:id="901334307">
              <w:marLeft w:val="0"/>
              <w:marRight w:val="0"/>
              <w:marTop w:val="0"/>
              <w:marBottom w:val="0"/>
              <w:divBdr>
                <w:top w:val="none" w:sz="0" w:space="0" w:color="auto"/>
                <w:left w:val="none" w:sz="0" w:space="0" w:color="auto"/>
                <w:bottom w:val="none" w:sz="0" w:space="0" w:color="auto"/>
                <w:right w:val="none" w:sz="0" w:space="0" w:color="auto"/>
              </w:divBdr>
            </w:div>
            <w:div w:id="996688560">
              <w:marLeft w:val="0"/>
              <w:marRight w:val="0"/>
              <w:marTop w:val="0"/>
              <w:marBottom w:val="0"/>
              <w:divBdr>
                <w:top w:val="none" w:sz="0" w:space="0" w:color="auto"/>
                <w:left w:val="none" w:sz="0" w:space="0" w:color="auto"/>
                <w:bottom w:val="none" w:sz="0" w:space="0" w:color="auto"/>
                <w:right w:val="none" w:sz="0" w:space="0" w:color="auto"/>
              </w:divBdr>
            </w:div>
            <w:div w:id="1062674746">
              <w:marLeft w:val="0"/>
              <w:marRight w:val="0"/>
              <w:marTop w:val="0"/>
              <w:marBottom w:val="0"/>
              <w:divBdr>
                <w:top w:val="none" w:sz="0" w:space="0" w:color="auto"/>
                <w:left w:val="none" w:sz="0" w:space="0" w:color="auto"/>
                <w:bottom w:val="none" w:sz="0" w:space="0" w:color="auto"/>
                <w:right w:val="none" w:sz="0" w:space="0" w:color="auto"/>
              </w:divBdr>
            </w:div>
            <w:div w:id="1086725858">
              <w:marLeft w:val="0"/>
              <w:marRight w:val="0"/>
              <w:marTop w:val="0"/>
              <w:marBottom w:val="0"/>
              <w:divBdr>
                <w:top w:val="none" w:sz="0" w:space="0" w:color="auto"/>
                <w:left w:val="none" w:sz="0" w:space="0" w:color="auto"/>
                <w:bottom w:val="none" w:sz="0" w:space="0" w:color="auto"/>
                <w:right w:val="none" w:sz="0" w:space="0" w:color="auto"/>
              </w:divBdr>
            </w:div>
            <w:div w:id="1300186228">
              <w:marLeft w:val="0"/>
              <w:marRight w:val="0"/>
              <w:marTop w:val="0"/>
              <w:marBottom w:val="0"/>
              <w:divBdr>
                <w:top w:val="none" w:sz="0" w:space="0" w:color="auto"/>
                <w:left w:val="none" w:sz="0" w:space="0" w:color="auto"/>
                <w:bottom w:val="none" w:sz="0" w:space="0" w:color="auto"/>
                <w:right w:val="none" w:sz="0" w:space="0" w:color="auto"/>
              </w:divBdr>
            </w:div>
            <w:div w:id="1348285508">
              <w:marLeft w:val="0"/>
              <w:marRight w:val="0"/>
              <w:marTop w:val="0"/>
              <w:marBottom w:val="0"/>
              <w:divBdr>
                <w:top w:val="none" w:sz="0" w:space="0" w:color="auto"/>
                <w:left w:val="none" w:sz="0" w:space="0" w:color="auto"/>
                <w:bottom w:val="none" w:sz="0" w:space="0" w:color="auto"/>
                <w:right w:val="none" w:sz="0" w:space="0" w:color="auto"/>
              </w:divBdr>
            </w:div>
            <w:div w:id="1691178692">
              <w:marLeft w:val="0"/>
              <w:marRight w:val="0"/>
              <w:marTop w:val="0"/>
              <w:marBottom w:val="0"/>
              <w:divBdr>
                <w:top w:val="none" w:sz="0" w:space="0" w:color="auto"/>
                <w:left w:val="none" w:sz="0" w:space="0" w:color="auto"/>
                <w:bottom w:val="none" w:sz="0" w:space="0" w:color="auto"/>
                <w:right w:val="none" w:sz="0" w:space="0" w:color="auto"/>
              </w:divBdr>
            </w:div>
            <w:div w:id="1821731204">
              <w:marLeft w:val="0"/>
              <w:marRight w:val="0"/>
              <w:marTop w:val="0"/>
              <w:marBottom w:val="0"/>
              <w:divBdr>
                <w:top w:val="none" w:sz="0" w:space="0" w:color="auto"/>
                <w:left w:val="none" w:sz="0" w:space="0" w:color="auto"/>
                <w:bottom w:val="none" w:sz="0" w:space="0" w:color="auto"/>
                <w:right w:val="none" w:sz="0" w:space="0" w:color="auto"/>
              </w:divBdr>
            </w:div>
            <w:div w:id="190895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01028">
      <w:bodyDiv w:val="1"/>
      <w:marLeft w:val="0"/>
      <w:marRight w:val="0"/>
      <w:marTop w:val="0"/>
      <w:marBottom w:val="0"/>
      <w:divBdr>
        <w:top w:val="none" w:sz="0" w:space="0" w:color="auto"/>
        <w:left w:val="none" w:sz="0" w:space="0" w:color="auto"/>
        <w:bottom w:val="none" w:sz="0" w:space="0" w:color="auto"/>
        <w:right w:val="none" w:sz="0" w:space="0" w:color="auto"/>
      </w:divBdr>
    </w:div>
    <w:div w:id="1183327052">
      <w:bodyDiv w:val="1"/>
      <w:marLeft w:val="0"/>
      <w:marRight w:val="0"/>
      <w:marTop w:val="0"/>
      <w:marBottom w:val="0"/>
      <w:divBdr>
        <w:top w:val="none" w:sz="0" w:space="0" w:color="auto"/>
        <w:left w:val="none" w:sz="0" w:space="0" w:color="auto"/>
        <w:bottom w:val="none" w:sz="0" w:space="0" w:color="auto"/>
        <w:right w:val="none" w:sz="0" w:space="0" w:color="auto"/>
      </w:divBdr>
      <w:divsChild>
        <w:div w:id="75170000">
          <w:marLeft w:val="0"/>
          <w:marRight w:val="0"/>
          <w:marTop w:val="0"/>
          <w:marBottom w:val="0"/>
          <w:divBdr>
            <w:top w:val="none" w:sz="0" w:space="0" w:color="auto"/>
            <w:left w:val="none" w:sz="0" w:space="0" w:color="auto"/>
            <w:bottom w:val="none" w:sz="0" w:space="0" w:color="auto"/>
            <w:right w:val="none" w:sz="0" w:space="0" w:color="auto"/>
          </w:divBdr>
        </w:div>
        <w:div w:id="425074119">
          <w:marLeft w:val="0"/>
          <w:marRight w:val="0"/>
          <w:marTop w:val="0"/>
          <w:marBottom w:val="0"/>
          <w:divBdr>
            <w:top w:val="none" w:sz="0" w:space="0" w:color="auto"/>
            <w:left w:val="none" w:sz="0" w:space="0" w:color="auto"/>
            <w:bottom w:val="none" w:sz="0" w:space="0" w:color="auto"/>
            <w:right w:val="none" w:sz="0" w:space="0" w:color="auto"/>
          </w:divBdr>
        </w:div>
        <w:div w:id="652412464">
          <w:marLeft w:val="0"/>
          <w:marRight w:val="0"/>
          <w:marTop w:val="0"/>
          <w:marBottom w:val="0"/>
          <w:divBdr>
            <w:top w:val="none" w:sz="0" w:space="0" w:color="auto"/>
            <w:left w:val="none" w:sz="0" w:space="0" w:color="auto"/>
            <w:bottom w:val="none" w:sz="0" w:space="0" w:color="auto"/>
            <w:right w:val="none" w:sz="0" w:space="0" w:color="auto"/>
          </w:divBdr>
        </w:div>
        <w:div w:id="666519767">
          <w:marLeft w:val="0"/>
          <w:marRight w:val="0"/>
          <w:marTop w:val="0"/>
          <w:marBottom w:val="0"/>
          <w:divBdr>
            <w:top w:val="none" w:sz="0" w:space="0" w:color="auto"/>
            <w:left w:val="none" w:sz="0" w:space="0" w:color="auto"/>
            <w:bottom w:val="none" w:sz="0" w:space="0" w:color="auto"/>
            <w:right w:val="none" w:sz="0" w:space="0" w:color="auto"/>
          </w:divBdr>
        </w:div>
        <w:div w:id="1035042482">
          <w:marLeft w:val="0"/>
          <w:marRight w:val="0"/>
          <w:marTop w:val="0"/>
          <w:marBottom w:val="0"/>
          <w:divBdr>
            <w:top w:val="none" w:sz="0" w:space="0" w:color="auto"/>
            <w:left w:val="none" w:sz="0" w:space="0" w:color="auto"/>
            <w:bottom w:val="none" w:sz="0" w:space="0" w:color="auto"/>
            <w:right w:val="none" w:sz="0" w:space="0" w:color="auto"/>
          </w:divBdr>
        </w:div>
        <w:div w:id="1127968681">
          <w:marLeft w:val="0"/>
          <w:marRight w:val="0"/>
          <w:marTop w:val="0"/>
          <w:marBottom w:val="0"/>
          <w:divBdr>
            <w:top w:val="none" w:sz="0" w:space="0" w:color="auto"/>
            <w:left w:val="none" w:sz="0" w:space="0" w:color="auto"/>
            <w:bottom w:val="none" w:sz="0" w:space="0" w:color="auto"/>
            <w:right w:val="none" w:sz="0" w:space="0" w:color="auto"/>
          </w:divBdr>
        </w:div>
        <w:div w:id="1364480684">
          <w:marLeft w:val="0"/>
          <w:marRight w:val="0"/>
          <w:marTop w:val="0"/>
          <w:marBottom w:val="0"/>
          <w:divBdr>
            <w:top w:val="none" w:sz="0" w:space="0" w:color="auto"/>
            <w:left w:val="none" w:sz="0" w:space="0" w:color="auto"/>
            <w:bottom w:val="none" w:sz="0" w:space="0" w:color="auto"/>
            <w:right w:val="none" w:sz="0" w:space="0" w:color="auto"/>
          </w:divBdr>
          <w:divsChild>
            <w:div w:id="531189117">
              <w:marLeft w:val="-75"/>
              <w:marRight w:val="0"/>
              <w:marTop w:val="30"/>
              <w:marBottom w:val="30"/>
              <w:divBdr>
                <w:top w:val="none" w:sz="0" w:space="0" w:color="auto"/>
                <w:left w:val="none" w:sz="0" w:space="0" w:color="auto"/>
                <w:bottom w:val="none" w:sz="0" w:space="0" w:color="auto"/>
                <w:right w:val="none" w:sz="0" w:space="0" w:color="auto"/>
              </w:divBdr>
              <w:divsChild>
                <w:div w:id="16780926">
                  <w:marLeft w:val="0"/>
                  <w:marRight w:val="0"/>
                  <w:marTop w:val="0"/>
                  <w:marBottom w:val="0"/>
                  <w:divBdr>
                    <w:top w:val="none" w:sz="0" w:space="0" w:color="auto"/>
                    <w:left w:val="none" w:sz="0" w:space="0" w:color="auto"/>
                    <w:bottom w:val="none" w:sz="0" w:space="0" w:color="auto"/>
                    <w:right w:val="none" w:sz="0" w:space="0" w:color="auto"/>
                  </w:divBdr>
                  <w:divsChild>
                    <w:div w:id="93596581">
                      <w:marLeft w:val="0"/>
                      <w:marRight w:val="0"/>
                      <w:marTop w:val="0"/>
                      <w:marBottom w:val="0"/>
                      <w:divBdr>
                        <w:top w:val="none" w:sz="0" w:space="0" w:color="auto"/>
                        <w:left w:val="none" w:sz="0" w:space="0" w:color="auto"/>
                        <w:bottom w:val="none" w:sz="0" w:space="0" w:color="auto"/>
                        <w:right w:val="none" w:sz="0" w:space="0" w:color="auto"/>
                      </w:divBdr>
                    </w:div>
                  </w:divsChild>
                </w:div>
                <w:div w:id="198713590">
                  <w:marLeft w:val="0"/>
                  <w:marRight w:val="0"/>
                  <w:marTop w:val="0"/>
                  <w:marBottom w:val="0"/>
                  <w:divBdr>
                    <w:top w:val="none" w:sz="0" w:space="0" w:color="auto"/>
                    <w:left w:val="none" w:sz="0" w:space="0" w:color="auto"/>
                    <w:bottom w:val="none" w:sz="0" w:space="0" w:color="auto"/>
                    <w:right w:val="none" w:sz="0" w:space="0" w:color="auto"/>
                  </w:divBdr>
                  <w:divsChild>
                    <w:div w:id="1038503478">
                      <w:marLeft w:val="0"/>
                      <w:marRight w:val="0"/>
                      <w:marTop w:val="0"/>
                      <w:marBottom w:val="0"/>
                      <w:divBdr>
                        <w:top w:val="none" w:sz="0" w:space="0" w:color="auto"/>
                        <w:left w:val="none" w:sz="0" w:space="0" w:color="auto"/>
                        <w:bottom w:val="none" w:sz="0" w:space="0" w:color="auto"/>
                        <w:right w:val="none" w:sz="0" w:space="0" w:color="auto"/>
                      </w:divBdr>
                    </w:div>
                  </w:divsChild>
                </w:div>
                <w:div w:id="204949630">
                  <w:marLeft w:val="0"/>
                  <w:marRight w:val="0"/>
                  <w:marTop w:val="0"/>
                  <w:marBottom w:val="0"/>
                  <w:divBdr>
                    <w:top w:val="none" w:sz="0" w:space="0" w:color="auto"/>
                    <w:left w:val="none" w:sz="0" w:space="0" w:color="auto"/>
                    <w:bottom w:val="none" w:sz="0" w:space="0" w:color="auto"/>
                    <w:right w:val="none" w:sz="0" w:space="0" w:color="auto"/>
                  </w:divBdr>
                  <w:divsChild>
                    <w:div w:id="1587104767">
                      <w:marLeft w:val="0"/>
                      <w:marRight w:val="0"/>
                      <w:marTop w:val="0"/>
                      <w:marBottom w:val="0"/>
                      <w:divBdr>
                        <w:top w:val="none" w:sz="0" w:space="0" w:color="auto"/>
                        <w:left w:val="none" w:sz="0" w:space="0" w:color="auto"/>
                        <w:bottom w:val="none" w:sz="0" w:space="0" w:color="auto"/>
                        <w:right w:val="none" w:sz="0" w:space="0" w:color="auto"/>
                      </w:divBdr>
                    </w:div>
                  </w:divsChild>
                </w:div>
                <w:div w:id="219440875">
                  <w:marLeft w:val="0"/>
                  <w:marRight w:val="0"/>
                  <w:marTop w:val="0"/>
                  <w:marBottom w:val="0"/>
                  <w:divBdr>
                    <w:top w:val="none" w:sz="0" w:space="0" w:color="auto"/>
                    <w:left w:val="none" w:sz="0" w:space="0" w:color="auto"/>
                    <w:bottom w:val="none" w:sz="0" w:space="0" w:color="auto"/>
                    <w:right w:val="none" w:sz="0" w:space="0" w:color="auto"/>
                  </w:divBdr>
                  <w:divsChild>
                    <w:div w:id="1090466610">
                      <w:marLeft w:val="0"/>
                      <w:marRight w:val="0"/>
                      <w:marTop w:val="0"/>
                      <w:marBottom w:val="0"/>
                      <w:divBdr>
                        <w:top w:val="none" w:sz="0" w:space="0" w:color="auto"/>
                        <w:left w:val="none" w:sz="0" w:space="0" w:color="auto"/>
                        <w:bottom w:val="none" w:sz="0" w:space="0" w:color="auto"/>
                        <w:right w:val="none" w:sz="0" w:space="0" w:color="auto"/>
                      </w:divBdr>
                    </w:div>
                  </w:divsChild>
                </w:div>
                <w:div w:id="283074508">
                  <w:marLeft w:val="0"/>
                  <w:marRight w:val="0"/>
                  <w:marTop w:val="0"/>
                  <w:marBottom w:val="0"/>
                  <w:divBdr>
                    <w:top w:val="none" w:sz="0" w:space="0" w:color="auto"/>
                    <w:left w:val="none" w:sz="0" w:space="0" w:color="auto"/>
                    <w:bottom w:val="none" w:sz="0" w:space="0" w:color="auto"/>
                    <w:right w:val="none" w:sz="0" w:space="0" w:color="auto"/>
                  </w:divBdr>
                  <w:divsChild>
                    <w:div w:id="533463761">
                      <w:marLeft w:val="0"/>
                      <w:marRight w:val="0"/>
                      <w:marTop w:val="0"/>
                      <w:marBottom w:val="0"/>
                      <w:divBdr>
                        <w:top w:val="none" w:sz="0" w:space="0" w:color="auto"/>
                        <w:left w:val="none" w:sz="0" w:space="0" w:color="auto"/>
                        <w:bottom w:val="none" w:sz="0" w:space="0" w:color="auto"/>
                        <w:right w:val="none" w:sz="0" w:space="0" w:color="auto"/>
                      </w:divBdr>
                    </w:div>
                  </w:divsChild>
                </w:div>
                <w:div w:id="330565824">
                  <w:marLeft w:val="0"/>
                  <w:marRight w:val="0"/>
                  <w:marTop w:val="0"/>
                  <w:marBottom w:val="0"/>
                  <w:divBdr>
                    <w:top w:val="none" w:sz="0" w:space="0" w:color="auto"/>
                    <w:left w:val="none" w:sz="0" w:space="0" w:color="auto"/>
                    <w:bottom w:val="none" w:sz="0" w:space="0" w:color="auto"/>
                    <w:right w:val="none" w:sz="0" w:space="0" w:color="auto"/>
                  </w:divBdr>
                  <w:divsChild>
                    <w:div w:id="187646991">
                      <w:marLeft w:val="0"/>
                      <w:marRight w:val="0"/>
                      <w:marTop w:val="0"/>
                      <w:marBottom w:val="0"/>
                      <w:divBdr>
                        <w:top w:val="none" w:sz="0" w:space="0" w:color="auto"/>
                        <w:left w:val="none" w:sz="0" w:space="0" w:color="auto"/>
                        <w:bottom w:val="none" w:sz="0" w:space="0" w:color="auto"/>
                        <w:right w:val="none" w:sz="0" w:space="0" w:color="auto"/>
                      </w:divBdr>
                    </w:div>
                  </w:divsChild>
                </w:div>
                <w:div w:id="351955672">
                  <w:marLeft w:val="0"/>
                  <w:marRight w:val="0"/>
                  <w:marTop w:val="0"/>
                  <w:marBottom w:val="0"/>
                  <w:divBdr>
                    <w:top w:val="none" w:sz="0" w:space="0" w:color="auto"/>
                    <w:left w:val="none" w:sz="0" w:space="0" w:color="auto"/>
                    <w:bottom w:val="none" w:sz="0" w:space="0" w:color="auto"/>
                    <w:right w:val="none" w:sz="0" w:space="0" w:color="auto"/>
                  </w:divBdr>
                  <w:divsChild>
                    <w:div w:id="206450235">
                      <w:marLeft w:val="0"/>
                      <w:marRight w:val="0"/>
                      <w:marTop w:val="0"/>
                      <w:marBottom w:val="0"/>
                      <w:divBdr>
                        <w:top w:val="none" w:sz="0" w:space="0" w:color="auto"/>
                        <w:left w:val="none" w:sz="0" w:space="0" w:color="auto"/>
                        <w:bottom w:val="none" w:sz="0" w:space="0" w:color="auto"/>
                        <w:right w:val="none" w:sz="0" w:space="0" w:color="auto"/>
                      </w:divBdr>
                    </w:div>
                  </w:divsChild>
                </w:div>
                <w:div w:id="445122107">
                  <w:marLeft w:val="0"/>
                  <w:marRight w:val="0"/>
                  <w:marTop w:val="0"/>
                  <w:marBottom w:val="0"/>
                  <w:divBdr>
                    <w:top w:val="none" w:sz="0" w:space="0" w:color="auto"/>
                    <w:left w:val="none" w:sz="0" w:space="0" w:color="auto"/>
                    <w:bottom w:val="none" w:sz="0" w:space="0" w:color="auto"/>
                    <w:right w:val="none" w:sz="0" w:space="0" w:color="auto"/>
                  </w:divBdr>
                  <w:divsChild>
                    <w:div w:id="787511475">
                      <w:marLeft w:val="0"/>
                      <w:marRight w:val="0"/>
                      <w:marTop w:val="0"/>
                      <w:marBottom w:val="0"/>
                      <w:divBdr>
                        <w:top w:val="none" w:sz="0" w:space="0" w:color="auto"/>
                        <w:left w:val="none" w:sz="0" w:space="0" w:color="auto"/>
                        <w:bottom w:val="none" w:sz="0" w:space="0" w:color="auto"/>
                        <w:right w:val="none" w:sz="0" w:space="0" w:color="auto"/>
                      </w:divBdr>
                    </w:div>
                  </w:divsChild>
                </w:div>
                <w:div w:id="452141532">
                  <w:marLeft w:val="0"/>
                  <w:marRight w:val="0"/>
                  <w:marTop w:val="0"/>
                  <w:marBottom w:val="0"/>
                  <w:divBdr>
                    <w:top w:val="none" w:sz="0" w:space="0" w:color="auto"/>
                    <w:left w:val="none" w:sz="0" w:space="0" w:color="auto"/>
                    <w:bottom w:val="none" w:sz="0" w:space="0" w:color="auto"/>
                    <w:right w:val="none" w:sz="0" w:space="0" w:color="auto"/>
                  </w:divBdr>
                  <w:divsChild>
                    <w:div w:id="982275215">
                      <w:marLeft w:val="0"/>
                      <w:marRight w:val="0"/>
                      <w:marTop w:val="0"/>
                      <w:marBottom w:val="0"/>
                      <w:divBdr>
                        <w:top w:val="none" w:sz="0" w:space="0" w:color="auto"/>
                        <w:left w:val="none" w:sz="0" w:space="0" w:color="auto"/>
                        <w:bottom w:val="none" w:sz="0" w:space="0" w:color="auto"/>
                        <w:right w:val="none" w:sz="0" w:space="0" w:color="auto"/>
                      </w:divBdr>
                    </w:div>
                  </w:divsChild>
                </w:div>
                <w:div w:id="480466951">
                  <w:marLeft w:val="0"/>
                  <w:marRight w:val="0"/>
                  <w:marTop w:val="0"/>
                  <w:marBottom w:val="0"/>
                  <w:divBdr>
                    <w:top w:val="none" w:sz="0" w:space="0" w:color="auto"/>
                    <w:left w:val="none" w:sz="0" w:space="0" w:color="auto"/>
                    <w:bottom w:val="none" w:sz="0" w:space="0" w:color="auto"/>
                    <w:right w:val="none" w:sz="0" w:space="0" w:color="auto"/>
                  </w:divBdr>
                  <w:divsChild>
                    <w:div w:id="824859702">
                      <w:marLeft w:val="0"/>
                      <w:marRight w:val="0"/>
                      <w:marTop w:val="0"/>
                      <w:marBottom w:val="0"/>
                      <w:divBdr>
                        <w:top w:val="none" w:sz="0" w:space="0" w:color="auto"/>
                        <w:left w:val="none" w:sz="0" w:space="0" w:color="auto"/>
                        <w:bottom w:val="none" w:sz="0" w:space="0" w:color="auto"/>
                        <w:right w:val="none" w:sz="0" w:space="0" w:color="auto"/>
                      </w:divBdr>
                    </w:div>
                  </w:divsChild>
                </w:div>
                <w:div w:id="496113047">
                  <w:marLeft w:val="0"/>
                  <w:marRight w:val="0"/>
                  <w:marTop w:val="0"/>
                  <w:marBottom w:val="0"/>
                  <w:divBdr>
                    <w:top w:val="none" w:sz="0" w:space="0" w:color="auto"/>
                    <w:left w:val="none" w:sz="0" w:space="0" w:color="auto"/>
                    <w:bottom w:val="none" w:sz="0" w:space="0" w:color="auto"/>
                    <w:right w:val="none" w:sz="0" w:space="0" w:color="auto"/>
                  </w:divBdr>
                  <w:divsChild>
                    <w:div w:id="731201905">
                      <w:marLeft w:val="0"/>
                      <w:marRight w:val="0"/>
                      <w:marTop w:val="0"/>
                      <w:marBottom w:val="0"/>
                      <w:divBdr>
                        <w:top w:val="none" w:sz="0" w:space="0" w:color="auto"/>
                        <w:left w:val="none" w:sz="0" w:space="0" w:color="auto"/>
                        <w:bottom w:val="none" w:sz="0" w:space="0" w:color="auto"/>
                        <w:right w:val="none" w:sz="0" w:space="0" w:color="auto"/>
                      </w:divBdr>
                    </w:div>
                  </w:divsChild>
                </w:div>
                <w:div w:id="498347533">
                  <w:marLeft w:val="0"/>
                  <w:marRight w:val="0"/>
                  <w:marTop w:val="0"/>
                  <w:marBottom w:val="0"/>
                  <w:divBdr>
                    <w:top w:val="none" w:sz="0" w:space="0" w:color="auto"/>
                    <w:left w:val="none" w:sz="0" w:space="0" w:color="auto"/>
                    <w:bottom w:val="none" w:sz="0" w:space="0" w:color="auto"/>
                    <w:right w:val="none" w:sz="0" w:space="0" w:color="auto"/>
                  </w:divBdr>
                  <w:divsChild>
                    <w:div w:id="296959368">
                      <w:marLeft w:val="0"/>
                      <w:marRight w:val="0"/>
                      <w:marTop w:val="0"/>
                      <w:marBottom w:val="0"/>
                      <w:divBdr>
                        <w:top w:val="none" w:sz="0" w:space="0" w:color="auto"/>
                        <w:left w:val="none" w:sz="0" w:space="0" w:color="auto"/>
                        <w:bottom w:val="none" w:sz="0" w:space="0" w:color="auto"/>
                        <w:right w:val="none" w:sz="0" w:space="0" w:color="auto"/>
                      </w:divBdr>
                    </w:div>
                  </w:divsChild>
                </w:div>
                <w:div w:id="561142553">
                  <w:marLeft w:val="0"/>
                  <w:marRight w:val="0"/>
                  <w:marTop w:val="0"/>
                  <w:marBottom w:val="0"/>
                  <w:divBdr>
                    <w:top w:val="none" w:sz="0" w:space="0" w:color="auto"/>
                    <w:left w:val="none" w:sz="0" w:space="0" w:color="auto"/>
                    <w:bottom w:val="none" w:sz="0" w:space="0" w:color="auto"/>
                    <w:right w:val="none" w:sz="0" w:space="0" w:color="auto"/>
                  </w:divBdr>
                  <w:divsChild>
                    <w:div w:id="1702591628">
                      <w:marLeft w:val="0"/>
                      <w:marRight w:val="0"/>
                      <w:marTop w:val="0"/>
                      <w:marBottom w:val="0"/>
                      <w:divBdr>
                        <w:top w:val="none" w:sz="0" w:space="0" w:color="auto"/>
                        <w:left w:val="none" w:sz="0" w:space="0" w:color="auto"/>
                        <w:bottom w:val="none" w:sz="0" w:space="0" w:color="auto"/>
                        <w:right w:val="none" w:sz="0" w:space="0" w:color="auto"/>
                      </w:divBdr>
                    </w:div>
                  </w:divsChild>
                </w:div>
                <w:div w:id="579608119">
                  <w:marLeft w:val="0"/>
                  <w:marRight w:val="0"/>
                  <w:marTop w:val="0"/>
                  <w:marBottom w:val="0"/>
                  <w:divBdr>
                    <w:top w:val="none" w:sz="0" w:space="0" w:color="auto"/>
                    <w:left w:val="none" w:sz="0" w:space="0" w:color="auto"/>
                    <w:bottom w:val="none" w:sz="0" w:space="0" w:color="auto"/>
                    <w:right w:val="none" w:sz="0" w:space="0" w:color="auto"/>
                  </w:divBdr>
                  <w:divsChild>
                    <w:div w:id="357588225">
                      <w:marLeft w:val="0"/>
                      <w:marRight w:val="0"/>
                      <w:marTop w:val="0"/>
                      <w:marBottom w:val="0"/>
                      <w:divBdr>
                        <w:top w:val="none" w:sz="0" w:space="0" w:color="auto"/>
                        <w:left w:val="none" w:sz="0" w:space="0" w:color="auto"/>
                        <w:bottom w:val="none" w:sz="0" w:space="0" w:color="auto"/>
                        <w:right w:val="none" w:sz="0" w:space="0" w:color="auto"/>
                      </w:divBdr>
                    </w:div>
                  </w:divsChild>
                </w:div>
                <w:div w:id="759133888">
                  <w:marLeft w:val="0"/>
                  <w:marRight w:val="0"/>
                  <w:marTop w:val="0"/>
                  <w:marBottom w:val="0"/>
                  <w:divBdr>
                    <w:top w:val="none" w:sz="0" w:space="0" w:color="auto"/>
                    <w:left w:val="none" w:sz="0" w:space="0" w:color="auto"/>
                    <w:bottom w:val="none" w:sz="0" w:space="0" w:color="auto"/>
                    <w:right w:val="none" w:sz="0" w:space="0" w:color="auto"/>
                  </w:divBdr>
                  <w:divsChild>
                    <w:div w:id="377709763">
                      <w:marLeft w:val="0"/>
                      <w:marRight w:val="0"/>
                      <w:marTop w:val="0"/>
                      <w:marBottom w:val="0"/>
                      <w:divBdr>
                        <w:top w:val="none" w:sz="0" w:space="0" w:color="auto"/>
                        <w:left w:val="none" w:sz="0" w:space="0" w:color="auto"/>
                        <w:bottom w:val="none" w:sz="0" w:space="0" w:color="auto"/>
                        <w:right w:val="none" w:sz="0" w:space="0" w:color="auto"/>
                      </w:divBdr>
                    </w:div>
                  </w:divsChild>
                </w:div>
                <w:div w:id="765736683">
                  <w:marLeft w:val="0"/>
                  <w:marRight w:val="0"/>
                  <w:marTop w:val="0"/>
                  <w:marBottom w:val="0"/>
                  <w:divBdr>
                    <w:top w:val="none" w:sz="0" w:space="0" w:color="auto"/>
                    <w:left w:val="none" w:sz="0" w:space="0" w:color="auto"/>
                    <w:bottom w:val="none" w:sz="0" w:space="0" w:color="auto"/>
                    <w:right w:val="none" w:sz="0" w:space="0" w:color="auto"/>
                  </w:divBdr>
                  <w:divsChild>
                    <w:div w:id="941452971">
                      <w:marLeft w:val="0"/>
                      <w:marRight w:val="0"/>
                      <w:marTop w:val="0"/>
                      <w:marBottom w:val="0"/>
                      <w:divBdr>
                        <w:top w:val="none" w:sz="0" w:space="0" w:color="auto"/>
                        <w:left w:val="none" w:sz="0" w:space="0" w:color="auto"/>
                        <w:bottom w:val="none" w:sz="0" w:space="0" w:color="auto"/>
                        <w:right w:val="none" w:sz="0" w:space="0" w:color="auto"/>
                      </w:divBdr>
                    </w:div>
                  </w:divsChild>
                </w:div>
                <w:div w:id="976766964">
                  <w:marLeft w:val="0"/>
                  <w:marRight w:val="0"/>
                  <w:marTop w:val="0"/>
                  <w:marBottom w:val="0"/>
                  <w:divBdr>
                    <w:top w:val="none" w:sz="0" w:space="0" w:color="auto"/>
                    <w:left w:val="none" w:sz="0" w:space="0" w:color="auto"/>
                    <w:bottom w:val="none" w:sz="0" w:space="0" w:color="auto"/>
                    <w:right w:val="none" w:sz="0" w:space="0" w:color="auto"/>
                  </w:divBdr>
                  <w:divsChild>
                    <w:div w:id="681131511">
                      <w:marLeft w:val="0"/>
                      <w:marRight w:val="0"/>
                      <w:marTop w:val="0"/>
                      <w:marBottom w:val="0"/>
                      <w:divBdr>
                        <w:top w:val="none" w:sz="0" w:space="0" w:color="auto"/>
                        <w:left w:val="none" w:sz="0" w:space="0" w:color="auto"/>
                        <w:bottom w:val="none" w:sz="0" w:space="0" w:color="auto"/>
                        <w:right w:val="none" w:sz="0" w:space="0" w:color="auto"/>
                      </w:divBdr>
                    </w:div>
                  </w:divsChild>
                </w:div>
                <w:div w:id="1003095865">
                  <w:marLeft w:val="0"/>
                  <w:marRight w:val="0"/>
                  <w:marTop w:val="0"/>
                  <w:marBottom w:val="0"/>
                  <w:divBdr>
                    <w:top w:val="none" w:sz="0" w:space="0" w:color="auto"/>
                    <w:left w:val="none" w:sz="0" w:space="0" w:color="auto"/>
                    <w:bottom w:val="none" w:sz="0" w:space="0" w:color="auto"/>
                    <w:right w:val="none" w:sz="0" w:space="0" w:color="auto"/>
                  </w:divBdr>
                  <w:divsChild>
                    <w:div w:id="286010700">
                      <w:marLeft w:val="0"/>
                      <w:marRight w:val="0"/>
                      <w:marTop w:val="0"/>
                      <w:marBottom w:val="0"/>
                      <w:divBdr>
                        <w:top w:val="none" w:sz="0" w:space="0" w:color="auto"/>
                        <w:left w:val="none" w:sz="0" w:space="0" w:color="auto"/>
                        <w:bottom w:val="none" w:sz="0" w:space="0" w:color="auto"/>
                        <w:right w:val="none" w:sz="0" w:space="0" w:color="auto"/>
                      </w:divBdr>
                    </w:div>
                    <w:div w:id="490953183">
                      <w:marLeft w:val="0"/>
                      <w:marRight w:val="0"/>
                      <w:marTop w:val="0"/>
                      <w:marBottom w:val="0"/>
                      <w:divBdr>
                        <w:top w:val="none" w:sz="0" w:space="0" w:color="auto"/>
                        <w:left w:val="none" w:sz="0" w:space="0" w:color="auto"/>
                        <w:bottom w:val="none" w:sz="0" w:space="0" w:color="auto"/>
                        <w:right w:val="none" w:sz="0" w:space="0" w:color="auto"/>
                      </w:divBdr>
                    </w:div>
                    <w:div w:id="840438540">
                      <w:marLeft w:val="0"/>
                      <w:marRight w:val="0"/>
                      <w:marTop w:val="0"/>
                      <w:marBottom w:val="0"/>
                      <w:divBdr>
                        <w:top w:val="none" w:sz="0" w:space="0" w:color="auto"/>
                        <w:left w:val="none" w:sz="0" w:space="0" w:color="auto"/>
                        <w:bottom w:val="none" w:sz="0" w:space="0" w:color="auto"/>
                        <w:right w:val="none" w:sz="0" w:space="0" w:color="auto"/>
                      </w:divBdr>
                    </w:div>
                    <w:div w:id="1253584570">
                      <w:marLeft w:val="0"/>
                      <w:marRight w:val="0"/>
                      <w:marTop w:val="0"/>
                      <w:marBottom w:val="0"/>
                      <w:divBdr>
                        <w:top w:val="none" w:sz="0" w:space="0" w:color="auto"/>
                        <w:left w:val="none" w:sz="0" w:space="0" w:color="auto"/>
                        <w:bottom w:val="none" w:sz="0" w:space="0" w:color="auto"/>
                        <w:right w:val="none" w:sz="0" w:space="0" w:color="auto"/>
                      </w:divBdr>
                    </w:div>
                    <w:div w:id="1311598570">
                      <w:marLeft w:val="0"/>
                      <w:marRight w:val="0"/>
                      <w:marTop w:val="0"/>
                      <w:marBottom w:val="0"/>
                      <w:divBdr>
                        <w:top w:val="none" w:sz="0" w:space="0" w:color="auto"/>
                        <w:left w:val="none" w:sz="0" w:space="0" w:color="auto"/>
                        <w:bottom w:val="none" w:sz="0" w:space="0" w:color="auto"/>
                        <w:right w:val="none" w:sz="0" w:space="0" w:color="auto"/>
                      </w:divBdr>
                    </w:div>
                    <w:div w:id="1360617676">
                      <w:marLeft w:val="0"/>
                      <w:marRight w:val="0"/>
                      <w:marTop w:val="0"/>
                      <w:marBottom w:val="0"/>
                      <w:divBdr>
                        <w:top w:val="none" w:sz="0" w:space="0" w:color="auto"/>
                        <w:left w:val="none" w:sz="0" w:space="0" w:color="auto"/>
                        <w:bottom w:val="none" w:sz="0" w:space="0" w:color="auto"/>
                        <w:right w:val="none" w:sz="0" w:space="0" w:color="auto"/>
                      </w:divBdr>
                    </w:div>
                    <w:div w:id="1464077399">
                      <w:marLeft w:val="0"/>
                      <w:marRight w:val="0"/>
                      <w:marTop w:val="0"/>
                      <w:marBottom w:val="0"/>
                      <w:divBdr>
                        <w:top w:val="none" w:sz="0" w:space="0" w:color="auto"/>
                        <w:left w:val="none" w:sz="0" w:space="0" w:color="auto"/>
                        <w:bottom w:val="none" w:sz="0" w:space="0" w:color="auto"/>
                        <w:right w:val="none" w:sz="0" w:space="0" w:color="auto"/>
                      </w:divBdr>
                    </w:div>
                    <w:div w:id="1813711263">
                      <w:marLeft w:val="0"/>
                      <w:marRight w:val="0"/>
                      <w:marTop w:val="0"/>
                      <w:marBottom w:val="0"/>
                      <w:divBdr>
                        <w:top w:val="none" w:sz="0" w:space="0" w:color="auto"/>
                        <w:left w:val="none" w:sz="0" w:space="0" w:color="auto"/>
                        <w:bottom w:val="none" w:sz="0" w:space="0" w:color="auto"/>
                        <w:right w:val="none" w:sz="0" w:space="0" w:color="auto"/>
                      </w:divBdr>
                    </w:div>
                  </w:divsChild>
                </w:div>
                <w:div w:id="1094326693">
                  <w:marLeft w:val="0"/>
                  <w:marRight w:val="0"/>
                  <w:marTop w:val="0"/>
                  <w:marBottom w:val="0"/>
                  <w:divBdr>
                    <w:top w:val="none" w:sz="0" w:space="0" w:color="auto"/>
                    <w:left w:val="none" w:sz="0" w:space="0" w:color="auto"/>
                    <w:bottom w:val="none" w:sz="0" w:space="0" w:color="auto"/>
                    <w:right w:val="none" w:sz="0" w:space="0" w:color="auto"/>
                  </w:divBdr>
                  <w:divsChild>
                    <w:div w:id="383020345">
                      <w:marLeft w:val="0"/>
                      <w:marRight w:val="0"/>
                      <w:marTop w:val="0"/>
                      <w:marBottom w:val="0"/>
                      <w:divBdr>
                        <w:top w:val="none" w:sz="0" w:space="0" w:color="auto"/>
                        <w:left w:val="none" w:sz="0" w:space="0" w:color="auto"/>
                        <w:bottom w:val="none" w:sz="0" w:space="0" w:color="auto"/>
                        <w:right w:val="none" w:sz="0" w:space="0" w:color="auto"/>
                      </w:divBdr>
                    </w:div>
                  </w:divsChild>
                </w:div>
                <w:div w:id="1144859432">
                  <w:marLeft w:val="0"/>
                  <w:marRight w:val="0"/>
                  <w:marTop w:val="0"/>
                  <w:marBottom w:val="0"/>
                  <w:divBdr>
                    <w:top w:val="none" w:sz="0" w:space="0" w:color="auto"/>
                    <w:left w:val="none" w:sz="0" w:space="0" w:color="auto"/>
                    <w:bottom w:val="none" w:sz="0" w:space="0" w:color="auto"/>
                    <w:right w:val="none" w:sz="0" w:space="0" w:color="auto"/>
                  </w:divBdr>
                  <w:divsChild>
                    <w:div w:id="1333801055">
                      <w:marLeft w:val="0"/>
                      <w:marRight w:val="0"/>
                      <w:marTop w:val="0"/>
                      <w:marBottom w:val="0"/>
                      <w:divBdr>
                        <w:top w:val="none" w:sz="0" w:space="0" w:color="auto"/>
                        <w:left w:val="none" w:sz="0" w:space="0" w:color="auto"/>
                        <w:bottom w:val="none" w:sz="0" w:space="0" w:color="auto"/>
                        <w:right w:val="none" w:sz="0" w:space="0" w:color="auto"/>
                      </w:divBdr>
                    </w:div>
                  </w:divsChild>
                </w:div>
                <w:div w:id="1214847129">
                  <w:marLeft w:val="0"/>
                  <w:marRight w:val="0"/>
                  <w:marTop w:val="0"/>
                  <w:marBottom w:val="0"/>
                  <w:divBdr>
                    <w:top w:val="none" w:sz="0" w:space="0" w:color="auto"/>
                    <w:left w:val="none" w:sz="0" w:space="0" w:color="auto"/>
                    <w:bottom w:val="none" w:sz="0" w:space="0" w:color="auto"/>
                    <w:right w:val="none" w:sz="0" w:space="0" w:color="auto"/>
                  </w:divBdr>
                  <w:divsChild>
                    <w:div w:id="1894802965">
                      <w:marLeft w:val="0"/>
                      <w:marRight w:val="0"/>
                      <w:marTop w:val="0"/>
                      <w:marBottom w:val="0"/>
                      <w:divBdr>
                        <w:top w:val="none" w:sz="0" w:space="0" w:color="auto"/>
                        <w:left w:val="none" w:sz="0" w:space="0" w:color="auto"/>
                        <w:bottom w:val="none" w:sz="0" w:space="0" w:color="auto"/>
                        <w:right w:val="none" w:sz="0" w:space="0" w:color="auto"/>
                      </w:divBdr>
                    </w:div>
                  </w:divsChild>
                </w:div>
                <w:div w:id="1218904831">
                  <w:marLeft w:val="0"/>
                  <w:marRight w:val="0"/>
                  <w:marTop w:val="0"/>
                  <w:marBottom w:val="0"/>
                  <w:divBdr>
                    <w:top w:val="none" w:sz="0" w:space="0" w:color="auto"/>
                    <w:left w:val="none" w:sz="0" w:space="0" w:color="auto"/>
                    <w:bottom w:val="none" w:sz="0" w:space="0" w:color="auto"/>
                    <w:right w:val="none" w:sz="0" w:space="0" w:color="auto"/>
                  </w:divBdr>
                  <w:divsChild>
                    <w:div w:id="886450334">
                      <w:marLeft w:val="0"/>
                      <w:marRight w:val="0"/>
                      <w:marTop w:val="0"/>
                      <w:marBottom w:val="0"/>
                      <w:divBdr>
                        <w:top w:val="none" w:sz="0" w:space="0" w:color="auto"/>
                        <w:left w:val="none" w:sz="0" w:space="0" w:color="auto"/>
                        <w:bottom w:val="none" w:sz="0" w:space="0" w:color="auto"/>
                        <w:right w:val="none" w:sz="0" w:space="0" w:color="auto"/>
                      </w:divBdr>
                    </w:div>
                  </w:divsChild>
                </w:div>
                <w:div w:id="1262379349">
                  <w:marLeft w:val="0"/>
                  <w:marRight w:val="0"/>
                  <w:marTop w:val="0"/>
                  <w:marBottom w:val="0"/>
                  <w:divBdr>
                    <w:top w:val="none" w:sz="0" w:space="0" w:color="auto"/>
                    <w:left w:val="none" w:sz="0" w:space="0" w:color="auto"/>
                    <w:bottom w:val="none" w:sz="0" w:space="0" w:color="auto"/>
                    <w:right w:val="none" w:sz="0" w:space="0" w:color="auto"/>
                  </w:divBdr>
                  <w:divsChild>
                    <w:div w:id="99490393">
                      <w:marLeft w:val="0"/>
                      <w:marRight w:val="0"/>
                      <w:marTop w:val="0"/>
                      <w:marBottom w:val="0"/>
                      <w:divBdr>
                        <w:top w:val="none" w:sz="0" w:space="0" w:color="auto"/>
                        <w:left w:val="none" w:sz="0" w:space="0" w:color="auto"/>
                        <w:bottom w:val="none" w:sz="0" w:space="0" w:color="auto"/>
                        <w:right w:val="none" w:sz="0" w:space="0" w:color="auto"/>
                      </w:divBdr>
                    </w:div>
                  </w:divsChild>
                </w:div>
                <w:div w:id="1446391682">
                  <w:marLeft w:val="0"/>
                  <w:marRight w:val="0"/>
                  <w:marTop w:val="0"/>
                  <w:marBottom w:val="0"/>
                  <w:divBdr>
                    <w:top w:val="none" w:sz="0" w:space="0" w:color="auto"/>
                    <w:left w:val="none" w:sz="0" w:space="0" w:color="auto"/>
                    <w:bottom w:val="none" w:sz="0" w:space="0" w:color="auto"/>
                    <w:right w:val="none" w:sz="0" w:space="0" w:color="auto"/>
                  </w:divBdr>
                  <w:divsChild>
                    <w:div w:id="690230183">
                      <w:marLeft w:val="0"/>
                      <w:marRight w:val="0"/>
                      <w:marTop w:val="0"/>
                      <w:marBottom w:val="0"/>
                      <w:divBdr>
                        <w:top w:val="none" w:sz="0" w:space="0" w:color="auto"/>
                        <w:left w:val="none" w:sz="0" w:space="0" w:color="auto"/>
                        <w:bottom w:val="none" w:sz="0" w:space="0" w:color="auto"/>
                        <w:right w:val="none" w:sz="0" w:space="0" w:color="auto"/>
                      </w:divBdr>
                    </w:div>
                    <w:div w:id="1979148184">
                      <w:marLeft w:val="0"/>
                      <w:marRight w:val="0"/>
                      <w:marTop w:val="0"/>
                      <w:marBottom w:val="0"/>
                      <w:divBdr>
                        <w:top w:val="none" w:sz="0" w:space="0" w:color="auto"/>
                        <w:left w:val="none" w:sz="0" w:space="0" w:color="auto"/>
                        <w:bottom w:val="none" w:sz="0" w:space="0" w:color="auto"/>
                        <w:right w:val="none" w:sz="0" w:space="0" w:color="auto"/>
                      </w:divBdr>
                    </w:div>
                    <w:div w:id="2073191340">
                      <w:marLeft w:val="0"/>
                      <w:marRight w:val="0"/>
                      <w:marTop w:val="0"/>
                      <w:marBottom w:val="0"/>
                      <w:divBdr>
                        <w:top w:val="none" w:sz="0" w:space="0" w:color="auto"/>
                        <w:left w:val="none" w:sz="0" w:space="0" w:color="auto"/>
                        <w:bottom w:val="none" w:sz="0" w:space="0" w:color="auto"/>
                        <w:right w:val="none" w:sz="0" w:space="0" w:color="auto"/>
                      </w:divBdr>
                    </w:div>
                  </w:divsChild>
                </w:div>
                <w:div w:id="1496527587">
                  <w:marLeft w:val="0"/>
                  <w:marRight w:val="0"/>
                  <w:marTop w:val="0"/>
                  <w:marBottom w:val="0"/>
                  <w:divBdr>
                    <w:top w:val="none" w:sz="0" w:space="0" w:color="auto"/>
                    <w:left w:val="none" w:sz="0" w:space="0" w:color="auto"/>
                    <w:bottom w:val="none" w:sz="0" w:space="0" w:color="auto"/>
                    <w:right w:val="none" w:sz="0" w:space="0" w:color="auto"/>
                  </w:divBdr>
                  <w:divsChild>
                    <w:div w:id="1590235623">
                      <w:marLeft w:val="0"/>
                      <w:marRight w:val="0"/>
                      <w:marTop w:val="0"/>
                      <w:marBottom w:val="0"/>
                      <w:divBdr>
                        <w:top w:val="none" w:sz="0" w:space="0" w:color="auto"/>
                        <w:left w:val="none" w:sz="0" w:space="0" w:color="auto"/>
                        <w:bottom w:val="none" w:sz="0" w:space="0" w:color="auto"/>
                        <w:right w:val="none" w:sz="0" w:space="0" w:color="auto"/>
                      </w:divBdr>
                    </w:div>
                  </w:divsChild>
                </w:div>
                <w:div w:id="1546134426">
                  <w:marLeft w:val="0"/>
                  <w:marRight w:val="0"/>
                  <w:marTop w:val="0"/>
                  <w:marBottom w:val="0"/>
                  <w:divBdr>
                    <w:top w:val="none" w:sz="0" w:space="0" w:color="auto"/>
                    <w:left w:val="none" w:sz="0" w:space="0" w:color="auto"/>
                    <w:bottom w:val="none" w:sz="0" w:space="0" w:color="auto"/>
                    <w:right w:val="none" w:sz="0" w:space="0" w:color="auto"/>
                  </w:divBdr>
                  <w:divsChild>
                    <w:div w:id="45877701">
                      <w:marLeft w:val="0"/>
                      <w:marRight w:val="0"/>
                      <w:marTop w:val="0"/>
                      <w:marBottom w:val="0"/>
                      <w:divBdr>
                        <w:top w:val="none" w:sz="0" w:space="0" w:color="auto"/>
                        <w:left w:val="none" w:sz="0" w:space="0" w:color="auto"/>
                        <w:bottom w:val="none" w:sz="0" w:space="0" w:color="auto"/>
                        <w:right w:val="none" w:sz="0" w:space="0" w:color="auto"/>
                      </w:divBdr>
                    </w:div>
                    <w:div w:id="613907610">
                      <w:marLeft w:val="0"/>
                      <w:marRight w:val="0"/>
                      <w:marTop w:val="0"/>
                      <w:marBottom w:val="0"/>
                      <w:divBdr>
                        <w:top w:val="none" w:sz="0" w:space="0" w:color="auto"/>
                        <w:left w:val="none" w:sz="0" w:space="0" w:color="auto"/>
                        <w:bottom w:val="none" w:sz="0" w:space="0" w:color="auto"/>
                        <w:right w:val="none" w:sz="0" w:space="0" w:color="auto"/>
                      </w:divBdr>
                    </w:div>
                    <w:div w:id="1215973105">
                      <w:marLeft w:val="0"/>
                      <w:marRight w:val="0"/>
                      <w:marTop w:val="0"/>
                      <w:marBottom w:val="0"/>
                      <w:divBdr>
                        <w:top w:val="none" w:sz="0" w:space="0" w:color="auto"/>
                        <w:left w:val="none" w:sz="0" w:space="0" w:color="auto"/>
                        <w:bottom w:val="none" w:sz="0" w:space="0" w:color="auto"/>
                        <w:right w:val="none" w:sz="0" w:space="0" w:color="auto"/>
                      </w:divBdr>
                    </w:div>
                  </w:divsChild>
                </w:div>
                <w:div w:id="1650016991">
                  <w:marLeft w:val="0"/>
                  <w:marRight w:val="0"/>
                  <w:marTop w:val="0"/>
                  <w:marBottom w:val="0"/>
                  <w:divBdr>
                    <w:top w:val="none" w:sz="0" w:space="0" w:color="auto"/>
                    <w:left w:val="none" w:sz="0" w:space="0" w:color="auto"/>
                    <w:bottom w:val="none" w:sz="0" w:space="0" w:color="auto"/>
                    <w:right w:val="none" w:sz="0" w:space="0" w:color="auto"/>
                  </w:divBdr>
                  <w:divsChild>
                    <w:div w:id="2095585885">
                      <w:marLeft w:val="0"/>
                      <w:marRight w:val="0"/>
                      <w:marTop w:val="0"/>
                      <w:marBottom w:val="0"/>
                      <w:divBdr>
                        <w:top w:val="none" w:sz="0" w:space="0" w:color="auto"/>
                        <w:left w:val="none" w:sz="0" w:space="0" w:color="auto"/>
                        <w:bottom w:val="none" w:sz="0" w:space="0" w:color="auto"/>
                        <w:right w:val="none" w:sz="0" w:space="0" w:color="auto"/>
                      </w:divBdr>
                    </w:div>
                  </w:divsChild>
                </w:div>
                <w:div w:id="1730491424">
                  <w:marLeft w:val="0"/>
                  <w:marRight w:val="0"/>
                  <w:marTop w:val="0"/>
                  <w:marBottom w:val="0"/>
                  <w:divBdr>
                    <w:top w:val="none" w:sz="0" w:space="0" w:color="auto"/>
                    <w:left w:val="none" w:sz="0" w:space="0" w:color="auto"/>
                    <w:bottom w:val="none" w:sz="0" w:space="0" w:color="auto"/>
                    <w:right w:val="none" w:sz="0" w:space="0" w:color="auto"/>
                  </w:divBdr>
                  <w:divsChild>
                    <w:div w:id="813067264">
                      <w:marLeft w:val="0"/>
                      <w:marRight w:val="0"/>
                      <w:marTop w:val="0"/>
                      <w:marBottom w:val="0"/>
                      <w:divBdr>
                        <w:top w:val="none" w:sz="0" w:space="0" w:color="auto"/>
                        <w:left w:val="none" w:sz="0" w:space="0" w:color="auto"/>
                        <w:bottom w:val="none" w:sz="0" w:space="0" w:color="auto"/>
                        <w:right w:val="none" w:sz="0" w:space="0" w:color="auto"/>
                      </w:divBdr>
                    </w:div>
                  </w:divsChild>
                </w:div>
                <w:div w:id="1881698485">
                  <w:marLeft w:val="0"/>
                  <w:marRight w:val="0"/>
                  <w:marTop w:val="0"/>
                  <w:marBottom w:val="0"/>
                  <w:divBdr>
                    <w:top w:val="none" w:sz="0" w:space="0" w:color="auto"/>
                    <w:left w:val="none" w:sz="0" w:space="0" w:color="auto"/>
                    <w:bottom w:val="none" w:sz="0" w:space="0" w:color="auto"/>
                    <w:right w:val="none" w:sz="0" w:space="0" w:color="auto"/>
                  </w:divBdr>
                  <w:divsChild>
                    <w:div w:id="2017462592">
                      <w:marLeft w:val="0"/>
                      <w:marRight w:val="0"/>
                      <w:marTop w:val="0"/>
                      <w:marBottom w:val="0"/>
                      <w:divBdr>
                        <w:top w:val="none" w:sz="0" w:space="0" w:color="auto"/>
                        <w:left w:val="none" w:sz="0" w:space="0" w:color="auto"/>
                        <w:bottom w:val="none" w:sz="0" w:space="0" w:color="auto"/>
                        <w:right w:val="none" w:sz="0" w:space="0" w:color="auto"/>
                      </w:divBdr>
                    </w:div>
                  </w:divsChild>
                </w:div>
                <w:div w:id="1933009663">
                  <w:marLeft w:val="0"/>
                  <w:marRight w:val="0"/>
                  <w:marTop w:val="0"/>
                  <w:marBottom w:val="0"/>
                  <w:divBdr>
                    <w:top w:val="none" w:sz="0" w:space="0" w:color="auto"/>
                    <w:left w:val="none" w:sz="0" w:space="0" w:color="auto"/>
                    <w:bottom w:val="none" w:sz="0" w:space="0" w:color="auto"/>
                    <w:right w:val="none" w:sz="0" w:space="0" w:color="auto"/>
                  </w:divBdr>
                  <w:divsChild>
                    <w:div w:id="2100633668">
                      <w:marLeft w:val="0"/>
                      <w:marRight w:val="0"/>
                      <w:marTop w:val="0"/>
                      <w:marBottom w:val="0"/>
                      <w:divBdr>
                        <w:top w:val="none" w:sz="0" w:space="0" w:color="auto"/>
                        <w:left w:val="none" w:sz="0" w:space="0" w:color="auto"/>
                        <w:bottom w:val="none" w:sz="0" w:space="0" w:color="auto"/>
                        <w:right w:val="none" w:sz="0" w:space="0" w:color="auto"/>
                      </w:divBdr>
                    </w:div>
                  </w:divsChild>
                </w:div>
                <w:div w:id="1997803622">
                  <w:marLeft w:val="0"/>
                  <w:marRight w:val="0"/>
                  <w:marTop w:val="0"/>
                  <w:marBottom w:val="0"/>
                  <w:divBdr>
                    <w:top w:val="none" w:sz="0" w:space="0" w:color="auto"/>
                    <w:left w:val="none" w:sz="0" w:space="0" w:color="auto"/>
                    <w:bottom w:val="none" w:sz="0" w:space="0" w:color="auto"/>
                    <w:right w:val="none" w:sz="0" w:space="0" w:color="auto"/>
                  </w:divBdr>
                  <w:divsChild>
                    <w:div w:id="1356619786">
                      <w:marLeft w:val="0"/>
                      <w:marRight w:val="0"/>
                      <w:marTop w:val="0"/>
                      <w:marBottom w:val="0"/>
                      <w:divBdr>
                        <w:top w:val="none" w:sz="0" w:space="0" w:color="auto"/>
                        <w:left w:val="none" w:sz="0" w:space="0" w:color="auto"/>
                        <w:bottom w:val="none" w:sz="0" w:space="0" w:color="auto"/>
                        <w:right w:val="none" w:sz="0" w:space="0" w:color="auto"/>
                      </w:divBdr>
                    </w:div>
                  </w:divsChild>
                </w:div>
                <w:div w:id="2032604315">
                  <w:marLeft w:val="0"/>
                  <w:marRight w:val="0"/>
                  <w:marTop w:val="0"/>
                  <w:marBottom w:val="0"/>
                  <w:divBdr>
                    <w:top w:val="none" w:sz="0" w:space="0" w:color="auto"/>
                    <w:left w:val="none" w:sz="0" w:space="0" w:color="auto"/>
                    <w:bottom w:val="none" w:sz="0" w:space="0" w:color="auto"/>
                    <w:right w:val="none" w:sz="0" w:space="0" w:color="auto"/>
                  </w:divBdr>
                  <w:divsChild>
                    <w:div w:id="1885023895">
                      <w:marLeft w:val="0"/>
                      <w:marRight w:val="0"/>
                      <w:marTop w:val="0"/>
                      <w:marBottom w:val="0"/>
                      <w:divBdr>
                        <w:top w:val="none" w:sz="0" w:space="0" w:color="auto"/>
                        <w:left w:val="none" w:sz="0" w:space="0" w:color="auto"/>
                        <w:bottom w:val="none" w:sz="0" w:space="0" w:color="auto"/>
                        <w:right w:val="none" w:sz="0" w:space="0" w:color="auto"/>
                      </w:divBdr>
                    </w:div>
                  </w:divsChild>
                </w:div>
                <w:div w:id="2042902910">
                  <w:marLeft w:val="0"/>
                  <w:marRight w:val="0"/>
                  <w:marTop w:val="0"/>
                  <w:marBottom w:val="0"/>
                  <w:divBdr>
                    <w:top w:val="none" w:sz="0" w:space="0" w:color="auto"/>
                    <w:left w:val="none" w:sz="0" w:space="0" w:color="auto"/>
                    <w:bottom w:val="none" w:sz="0" w:space="0" w:color="auto"/>
                    <w:right w:val="none" w:sz="0" w:space="0" w:color="auto"/>
                  </w:divBdr>
                  <w:divsChild>
                    <w:div w:id="323973528">
                      <w:marLeft w:val="0"/>
                      <w:marRight w:val="0"/>
                      <w:marTop w:val="0"/>
                      <w:marBottom w:val="0"/>
                      <w:divBdr>
                        <w:top w:val="none" w:sz="0" w:space="0" w:color="auto"/>
                        <w:left w:val="none" w:sz="0" w:space="0" w:color="auto"/>
                        <w:bottom w:val="none" w:sz="0" w:space="0" w:color="auto"/>
                        <w:right w:val="none" w:sz="0" w:space="0" w:color="auto"/>
                      </w:divBdr>
                    </w:div>
                  </w:divsChild>
                </w:div>
                <w:div w:id="2097825370">
                  <w:marLeft w:val="0"/>
                  <w:marRight w:val="0"/>
                  <w:marTop w:val="0"/>
                  <w:marBottom w:val="0"/>
                  <w:divBdr>
                    <w:top w:val="none" w:sz="0" w:space="0" w:color="auto"/>
                    <w:left w:val="none" w:sz="0" w:space="0" w:color="auto"/>
                    <w:bottom w:val="none" w:sz="0" w:space="0" w:color="auto"/>
                    <w:right w:val="none" w:sz="0" w:space="0" w:color="auto"/>
                  </w:divBdr>
                  <w:divsChild>
                    <w:div w:id="11377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1639">
          <w:marLeft w:val="0"/>
          <w:marRight w:val="0"/>
          <w:marTop w:val="0"/>
          <w:marBottom w:val="0"/>
          <w:divBdr>
            <w:top w:val="none" w:sz="0" w:space="0" w:color="auto"/>
            <w:left w:val="none" w:sz="0" w:space="0" w:color="auto"/>
            <w:bottom w:val="none" w:sz="0" w:space="0" w:color="auto"/>
            <w:right w:val="none" w:sz="0" w:space="0" w:color="auto"/>
          </w:divBdr>
        </w:div>
        <w:div w:id="1674067842">
          <w:marLeft w:val="0"/>
          <w:marRight w:val="0"/>
          <w:marTop w:val="0"/>
          <w:marBottom w:val="0"/>
          <w:divBdr>
            <w:top w:val="none" w:sz="0" w:space="0" w:color="auto"/>
            <w:left w:val="none" w:sz="0" w:space="0" w:color="auto"/>
            <w:bottom w:val="none" w:sz="0" w:space="0" w:color="auto"/>
            <w:right w:val="none" w:sz="0" w:space="0" w:color="auto"/>
          </w:divBdr>
        </w:div>
        <w:div w:id="1825271753">
          <w:marLeft w:val="0"/>
          <w:marRight w:val="0"/>
          <w:marTop w:val="0"/>
          <w:marBottom w:val="0"/>
          <w:divBdr>
            <w:top w:val="none" w:sz="0" w:space="0" w:color="auto"/>
            <w:left w:val="none" w:sz="0" w:space="0" w:color="auto"/>
            <w:bottom w:val="none" w:sz="0" w:space="0" w:color="auto"/>
            <w:right w:val="none" w:sz="0" w:space="0" w:color="auto"/>
          </w:divBdr>
        </w:div>
        <w:div w:id="2129428130">
          <w:marLeft w:val="0"/>
          <w:marRight w:val="0"/>
          <w:marTop w:val="0"/>
          <w:marBottom w:val="0"/>
          <w:divBdr>
            <w:top w:val="none" w:sz="0" w:space="0" w:color="auto"/>
            <w:left w:val="none" w:sz="0" w:space="0" w:color="auto"/>
            <w:bottom w:val="none" w:sz="0" w:space="0" w:color="auto"/>
            <w:right w:val="none" w:sz="0" w:space="0" w:color="auto"/>
          </w:divBdr>
        </w:div>
      </w:divsChild>
    </w:div>
    <w:div w:id="1193303316">
      <w:bodyDiv w:val="1"/>
      <w:marLeft w:val="0"/>
      <w:marRight w:val="0"/>
      <w:marTop w:val="0"/>
      <w:marBottom w:val="0"/>
      <w:divBdr>
        <w:top w:val="none" w:sz="0" w:space="0" w:color="auto"/>
        <w:left w:val="none" w:sz="0" w:space="0" w:color="auto"/>
        <w:bottom w:val="none" w:sz="0" w:space="0" w:color="auto"/>
        <w:right w:val="none" w:sz="0" w:space="0" w:color="auto"/>
      </w:divBdr>
    </w:div>
    <w:div w:id="1200973189">
      <w:bodyDiv w:val="1"/>
      <w:marLeft w:val="0"/>
      <w:marRight w:val="0"/>
      <w:marTop w:val="0"/>
      <w:marBottom w:val="0"/>
      <w:divBdr>
        <w:top w:val="none" w:sz="0" w:space="0" w:color="auto"/>
        <w:left w:val="none" w:sz="0" w:space="0" w:color="auto"/>
        <w:bottom w:val="none" w:sz="0" w:space="0" w:color="auto"/>
        <w:right w:val="none" w:sz="0" w:space="0" w:color="auto"/>
      </w:divBdr>
    </w:div>
    <w:div w:id="1244291558">
      <w:bodyDiv w:val="1"/>
      <w:marLeft w:val="0"/>
      <w:marRight w:val="0"/>
      <w:marTop w:val="0"/>
      <w:marBottom w:val="0"/>
      <w:divBdr>
        <w:top w:val="none" w:sz="0" w:space="0" w:color="auto"/>
        <w:left w:val="none" w:sz="0" w:space="0" w:color="auto"/>
        <w:bottom w:val="none" w:sz="0" w:space="0" w:color="auto"/>
        <w:right w:val="none" w:sz="0" w:space="0" w:color="auto"/>
      </w:divBdr>
      <w:divsChild>
        <w:div w:id="782000203">
          <w:marLeft w:val="0"/>
          <w:marRight w:val="0"/>
          <w:marTop w:val="0"/>
          <w:marBottom w:val="0"/>
          <w:divBdr>
            <w:top w:val="none" w:sz="0" w:space="0" w:color="auto"/>
            <w:left w:val="none" w:sz="0" w:space="0" w:color="auto"/>
            <w:bottom w:val="none" w:sz="0" w:space="0" w:color="auto"/>
            <w:right w:val="none" w:sz="0" w:space="0" w:color="auto"/>
          </w:divBdr>
          <w:divsChild>
            <w:div w:id="153496486">
              <w:marLeft w:val="0"/>
              <w:marRight w:val="0"/>
              <w:marTop w:val="0"/>
              <w:marBottom w:val="0"/>
              <w:divBdr>
                <w:top w:val="none" w:sz="0" w:space="0" w:color="auto"/>
                <w:left w:val="none" w:sz="0" w:space="0" w:color="auto"/>
                <w:bottom w:val="none" w:sz="0" w:space="0" w:color="auto"/>
                <w:right w:val="none" w:sz="0" w:space="0" w:color="auto"/>
              </w:divBdr>
            </w:div>
            <w:div w:id="177238014">
              <w:marLeft w:val="0"/>
              <w:marRight w:val="0"/>
              <w:marTop w:val="0"/>
              <w:marBottom w:val="0"/>
              <w:divBdr>
                <w:top w:val="none" w:sz="0" w:space="0" w:color="auto"/>
                <w:left w:val="none" w:sz="0" w:space="0" w:color="auto"/>
                <w:bottom w:val="none" w:sz="0" w:space="0" w:color="auto"/>
                <w:right w:val="none" w:sz="0" w:space="0" w:color="auto"/>
              </w:divBdr>
            </w:div>
            <w:div w:id="488447019">
              <w:marLeft w:val="0"/>
              <w:marRight w:val="0"/>
              <w:marTop w:val="0"/>
              <w:marBottom w:val="0"/>
              <w:divBdr>
                <w:top w:val="none" w:sz="0" w:space="0" w:color="auto"/>
                <w:left w:val="none" w:sz="0" w:space="0" w:color="auto"/>
                <w:bottom w:val="none" w:sz="0" w:space="0" w:color="auto"/>
                <w:right w:val="none" w:sz="0" w:space="0" w:color="auto"/>
              </w:divBdr>
            </w:div>
            <w:div w:id="1045452091">
              <w:marLeft w:val="0"/>
              <w:marRight w:val="0"/>
              <w:marTop w:val="0"/>
              <w:marBottom w:val="0"/>
              <w:divBdr>
                <w:top w:val="none" w:sz="0" w:space="0" w:color="auto"/>
                <w:left w:val="none" w:sz="0" w:space="0" w:color="auto"/>
                <w:bottom w:val="none" w:sz="0" w:space="0" w:color="auto"/>
                <w:right w:val="none" w:sz="0" w:space="0" w:color="auto"/>
              </w:divBdr>
            </w:div>
            <w:div w:id="1356736759">
              <w:marLeft w:val="0"/>
              <w:marRight w:val="0"/>
              <w:marTop w:val="0"/>
              <w:marBottom w:val="0"/>
              <w:divBdr>
                <w:top w:val="none" w:sz="0" w:space="0" w:color="auto"/>
                <w:left w:val="none" w:sz="0" w:space="0" w:color="auto"/>
                <w:bottom w:val="none" w:sz="0" w:space="0" w:color="auto"/>
                <w:right w:val="none" w:sz="0" w:space="0" w:color="auto"/>
              </w:divBdr>
            </w:div>
          </w:divsChild>
        </w:div>
        <w:div w:id="1663778649">
          <w:marLeft w:val="0"/>
          <w:marRight w:val="0"/>
          <w:marTop w:val="0"/>
          <w:marBottom w:val="0"/>
          <w:divBdr>
            <w:top w:val="none" w:sz="0" w:space="0" w:color="auto"/>
            <w:left w:val="none" w:sz="0" w:space="0" w:color="auto"/>
            <w:bottom w:val="none" w:sz="0" w:space="0" w:color="auto"/>
            <w:right w:val="none" w:sz="0" w:space="0" w:color="auto"/>
          </w:divBdr>
          <w:divsChild>
            <w:div w:id="492647917">
              <w:marLeft w:val="0"/>
              <w:marRight w:val="0"/>
              <w:marTop w:val="0"/>
              <w:marBottom w:val="0"/>
              <w:divBdr>
                <w:top w:val="none" w:sz="0" w:space="0" w:color="auto"/>
                <w:left w:val="none" w:sz="0" w:space="0" w:color="auto"/>
                <w:bottom w:val="none" w:sz="0" w:space="0" w:color="auto"/>
                <w:right w:val="none" w:sz="0" w:space="0" w:color="auto"/>
              </w:divBdr>
            </w:div>
            <w:div w:id="540213762">
              <w:marLeft w:val="0"/>
              <w:marRight w:val="0"/>
              <w:marTop w:val="0"/>
              <w:marBottom w:val="0"/>
              <w:divBdr>
                <w:top w:val="none" w:sz="0" w:space="0" w:color="auto"/>
                <w:left w:val="none" w:sz="0" w:space="0" w:color="auto"/>
                <w:bottom w:val="none" w:sz="0" w:space="0" w:color="auto"/>
                <w:right w:val="none" w:sz="0" w:space="0" w:color="auto"/>
              </w:divBdr>
            </w:div>
            <w:div w:id="1733380596">
              <w:marLeft w:val="0"/>
              <w:marRight w:val="0"/>
              <w:marTop w:val="0"/>
              <w:marBottom w:val="0"/>
              <w:divBdr>
                <w:top w:val="none" w:sz="0" w:space="0" w:color="auto"/>
                <w:left w:val="none" w:sz="0" w:space="0" w:color="auto"/>
                <w:bottom w:val="none" w:sz="0" w:space="0" w:color="auto"/>
                <w:right w:val="none" w:sz="0" w:space="0" w:color="auto"/>
              </w:divBdr>
            </w:div>
            <w:div w:id="1990357875">
              <w:marLeft w:val="0"/>
              <w:marRight w:val="0"/>
              <w:marTop w:val="0"/>
              <w:marBottom w:val="0"/>
              <w:divBdr>
                <w:top w:val="none" w:sz="0" w:space="0" w:color="auto"/>
                <w:left w:val="none" w:sz="0" w:space="0" w:color="auto"/>
                <w:bottom w:val="none" w:sz="0" w:space="0" w:color="auto"/>
                <w:right w:val="none" w:sz="0" w:space="0" w:color="auto"/>
              </w:divBdr>
            </w:div>
            <w:div w:id="20702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20455">
      <w:bodyDiv w:val="1"/>
      <w:marLeft w:val="0"/>
      <w:marRight w:val="0"/>
      <w:marTop w:val="0"/>
      <w:marBottom w:val="0"/>
      <w:divBdr>
        <w:top w:val="none" w:sz="0" w:space="0" w:color="auto"/>
        <w:left w:val="none" w:sz="0" w:space="0" w:color="auto"/>
        <w:bottom w:val="none" w:sz="0" w:space="0" w:color="auto"/>
        <w:right w:val="none" w:sz="0" w:space="0" w:color="auto"/>
      </w:divBdr>
      <w:divsChild>
        <w:div w:id="78988998">
          <w:marLeft w:val="0"/>
          <w:marRight w:val="0"/>
          <w:marTop w:val="0"/>
          <w:marBottom w:val="0"/>
          <w:divBdr>
            <w:top w:val="none" w:sz="0" w:space="0" w:color="auto"/>
            <w:left w:val="none" w:sz="0" w:space="0" w:color="auto"/>
            <w:bottom w:val="none" w:sz="0" w:space="0" w:color="auto"/>
            <w:right w:val="none" w:sz="0" w:space="0" w:color="auto"/>
          </w:divBdr>
        </w:div>
        <w:div w:id="94056931">
          <w:marLeft w:val="0"/>
          <w:marRight w:val="0"/>
          <w:marTop w:val="0"/>
          <w:marBottom w:val="0"/>
          <w:divBdr>
            <w:top w:val="none" w:sz="0" w:space="0" w:color="auto"/>
            <w:left w:val="none" w:sz="0" w:space="0" w:color="auto"/>
            <w:bottom w:val="none" w:sz="0" w:space="0" w:color="auto"/>
            <w:right w:val="none" w:sz="0" w:space="0" w:color="auto"/>
          </w:divBdr>
        </w:div>
        <w:div w:id="96172104">
          <w:marLeft w:val="0"/>
          <w:marRight w:val="0"/>
          <w:marTop w:val="0"/>
          <w:marBottom w:val="0"/>
          <w:divBdr>
            <w:top w:val="none" w:sz="0" w:space="0" w:color="auto"/>
            <w:left w:val="none" w:sz="0" w:space="0" w:color="auto"/>
            <w:bottom w:val="none" w:sz="0" w:space="0" w:color="auto"/>
            <w:right w:val="none" w:sz="0" w:space="0" w:color="auto"/>
          </w:divBdr>
        </w:div>
        <w:div w:id="173106714">
          <w:marLeft w:val="0"/>
          <w:marRight w:val="0"/>
          <w:marTop w:val="0"/>
          <w:marBottom w:val="0"/>
          <w:divBdr>
            <w:top w:val="none" w:sz="0" w:space="0" w:color="auto"/>
            <w:left w:val="none" w:sz="0" w:space="0" w:color="auto"/>
            <w:bottom w:val="none" w:sz="0" w:space="0" w:color="auto"/>
            <w:right w:val="none" w:sz="0" w:space="0" w:color="auto"/>
          </w:divBdr>
        </w:div>
        <w:div w:id="177669610">
          <w:marLeft w:val="0"/>
          <w:marRight w:val="0"/>
          <w:marTop w:val="0"/>
          <w:marBottom w:val="0"/>
          <w:divBdr>
            <w:top w:val="none" w:sz="0" w:space="0" w:color="auto"/>
            <w:left w:val="none" w:sz="0" w:space="0" w:color="auto"/>
            <w:bottom w:val="none" w:sz="0" w:space="0" w:color="auto"/>
            <w:right w:val="none" w:sz="0" w:space="0" w:color="auto"/>
          </w:divBdr>
          <w:divsChild>
            <w:div w:id="713430283">
              <w:marLeft w:val="0"/>
              <w:marRight w:val="0"/>
              <w:marTop w:val="0"/>
              <w:marBottom w:val="0"/>
              <w:divBdr>
                <w:top w:val="none" w:sz="0" w:space="0" w:color="auto"/>
                <w:left w:val="none" w:sz="0" w:space="0" w:color="auto"/>
                <w:bottom w:val="none" w:sz="0" w:space="0" w:color="auto"/>
                <w:right w:val="none" w:sz="0" w:space="0" w:color="auto"/>
              </w:divBdr>
            </w:div>
            <w:div w:id="1315717575">
              <w:marLeft w:val="0"/>
              <w:marRight w:val="0"/>
              <w:marTop w:val="0"/>
              <w:marBottom w:val="0"/>
              <w:divBdr>
                <w:top w:val="none" w:sz="0" w:space="0" w:color="auto"/>
                <w:left w:val="none" w:sz="0" w:space="0" w:color="auto"/>
                <w:bottom w:val="none" w:sz="0" w:space="0" w:color="auto"/>
                <w:right w:val="none" w:sz="0" w:space="0" w:color="auto"/>
              </w:divBdr>
            </w:div>
          </w:divsChild>
        </w:div>
        <w:div w:id="211696704">
          <w:marLeft w:val="0"/>
          <w:marRight w:val="0"/>
          <w:marTop w:val="0"/>
          <w:marBottom w:val="0"/>
          <w:divBdr>
            <w:top w:val="none" w:sz="0" w:space="0" w:color="auto"/>
            <w:left w:val="none" w:sz="0" w:space="0" w:color="auto"/>
            <w:bottom w:val="none" w:sz="0" w:space="0" w:color="auto"/>
            <w:right w:val="none" w:sz="0" w:space="0" w:color="auto"/>
          </w:divBdr>
        </w:div>
        <w:div w:id="378285818">
          <w:marLeft w:val="0"/>
          <w:marRight w:val="0"/>
          <w:marTop w:val="0"/>
          <w:marBottom w:val="0"/>
          <w:divBdr>
            <w:top w:val="none" w:sz="0" w:space="0" w:color="auto"/>
            <w:left w:val="none" w:sz="0" w:space="0" w:color="auto"/>
            <w:bottom w:val="none" w:sz="0" w:space="0" w:color="auto"/>
            <w:right w:val="none" w:sz="0" w:space="0" w:color="auto"/>
          </w:divBdr>
        </w:div>
        <w:div w:id="623271938">
          <w:marLeft w:val="0"/>
          <w:marRight w:val="0"/>
          <w:marTop w:val="0"/>
          <w:marBottom w:val="0"/>
          <w:divBdr>
            <w:top w:val="none" w:sz="0" w:space="0" w:color="auto"/>
            <w:left w:val="none" w:sz="0" w:space="0" w:color="auto"/>
            <w:bottom w:val="none" w:sz="0" w:space="0" w:color="auto"/>
            <w:right w:val="none" w:sz="0" w:space="0" w:color="auto"/>
          </w:divBdr>
          <w:divsChild>
            <w:div w:id="225147949">
              <w:marLeft w:val="0"/>
              <w:marRight w:val="0"/>
              <w:marTop w:val="0"/>
              <w:marBottom w:val="0"/>
              <w:divBdr>
                <w:top w:val="none" w:sz="0" w:space="0" w:color="auto"/>
                <w:left w:val="none" w:sz="0" w:space="0" w:color="auto"/>
                <w:bottom w:val="none" w:sz="0" w:space="0" w:color="auto"/>
                <w:right w:val="none" w:sz="0" w:space="0" w:color="auto"/>
              </w:divBdr>
            </w:div>
            <w:div w:id="503664066">
              <w:marLeft w:val="0"/>
              <w:marRight w:val="0"/>
              <w:marTop w:val="0"/>
              <w:marBottom w:val="0"/>
              <w:divBdr>
                <w:top w:val="none" w:sz="0" w:space="0" w:color="auto"/>
                <w:left w:val="none" w:sz="0" w:space="0" w:color="auto"/>
                <w:bottom w:val="none" w:sz="0" w:space="0" w:color="auto"/>
                <w:right w:val="none" w:sz="0" w:space="0" w:color="auto"/>
              </w:divBdr>
            </w:div>
            <w:div w:id="643391900">
              <w:marLeft w:val="0"/>
              <w:marRight w:val="0"/>
              <w:marTop w:val="0"/>
              <w:marBottom w:val="0"/>
              <w:divBdr>
                <w:top w:val="none" w:sz="0" w:space="0" w:color="auto"/>
                <w:left w:val="none" w:sz="0" w:space="0" w:color="auto"/>
                <w:bottom w:val="none" w:sz="0" w:space="0" w:color="auto"/>
                <w:right w:val="none" w:sz="0" w:space="0" w:color="auto"/>
              </w:divBdr>
            </w:div>
            <w:div w:id="1000933374">
              <w:marLeft w:val="0"/>
              <w:marRight w:val="0"/>
              <w:marTop w:val="0"/>
              <w:marBottom w:val="0"/>
              <w:divBdr>
                <w:top w:val="none" w:sz="0" w:space="0" w:color="auto"/>
                <w:left w:val="none" w:sz="0" w:space="0" w:color="auto"/>
                <w:bottom w:val="none" w:sz="0" w:space="0" w:color="auto"/>
                <w:right w:val="none" w:sz="0" w:space="0" w:color="auto"/>
              </w:divBdr>
            </w:div>
            <w:div w:id="2125683334">
              <w:marLeft w:val="0"/>
              <w:marRight w:val="0"/>
              <w:marTop w:val="0"/>
              <w:marBottom w:val="0"/>
              <w:divBdr>
                <w:top w:val="none" w:sz="0" w:space="0" w:color="auto"/>
                <w:left w:val="none" w:sz="0" w:space="0" w:color="auto"/>
                <w:bottom w:val="none" w:sz="0" w:space="0" w:color="auto"/>
                <w:right w:val="none" w:sz="0" w:space="0" w:color="auto"/>
              </w:divBdr>
            </w:div>
          </w:divsChild>
        </w:div>
        <w:div w:id="653144507">
          <w:marLeft w:val="0"/>
          <w:marRight w:val="0"/>
          <w:marTop w:val="0"/>
          <w:marBottom w:val="0"/>
          <w:divBdr>
            <w:top w:val="none" w:sz="0" w:space="0" w:color="auto"/>
            <w:left w:val="none" w:sz="0" w:space="0" w:color="auto"/>
            <w:bottom w:val="none" w:sz="0" w:space="0" w:color="auto"/>
            <w:right w:val="none" w:sz="0" w:space="0" w:color="auto"/>
          </w:divBdr>
        </w:div>
        <w:div w:id="656033474">
          <w:marLeft w:val="0"/>
          <w:marRight w:val="0"/>
          <w:marTop w:val="0"/>
          <w:marBottom w:val="0"/>
          <w:divBdr>
            <w:top w:val="none" w:sz="0" w:space="0" w:color="auto"/>
            <w:left w:val="none" w:sz="0" w:space="0" w:color="auto"/>
            <w:bottom w:val="none" w:sz="0" w:space="0" w:color="auto"/>
            <w:right w:val="none" w:sz="0" w:space="0" w:color="auto"/>
          </w:divBdr>
        </w:div>
        <w:div w:id="663123138">
          <w:marLeft w:val="0"/>
          <w:marRight w:val="0"/>
          <w:marTop w:val="0"/>
          <w:marBottom w:val="0"/>
          <w:divBdr>
            <w:top w:val="none" w:sz="0" w:space="0" w:color="auto"/>
            <w:left w:val="none" w:sz="0" w:space="0" w:color="auto"/>
            <w:bottom w:val="none" w:sz="0" w:space="0" w:color="auto"/>
            <w:right w:val="none" w:sz="0" w:space="0" w:color="auto"/>
          </w:divBdr>
        </w:div>
        <w:div w:id="708341912">
          <w:marLeft w:val="0"/>
          <w:marRight w:val="0"/>
          <w:marTop w:val="0"/>
          <w:marBottom w:val="0"/>
          <w:divBdr>
            <w:top w:val="none" w:sz="0" w:space="0" w:color="auto"/>
            <w:left w:val="none" w:sz="0" w:space="0" w:color="auto"/>
            <w:bottom w:val="none" w:sz="0" w:space="0" w:color="auto"/>
            <w:right w:val="none" w:sz="0" w:space="0" w:color="auto"/>
          </w:divBdr>
        </w:div>
        <w:div w:id="708992168">
          <w:marLeft w:val="0"/>
          <w:marRight w:val="0"/>
          <w:marTop w:val="0"/>
          <w:marBottom w:val="0"/>
          <w:divBdr>
            <w:top w:val="none" w:sz="0" w:space="0" w:color="auto"/>
            <w:left w:val="none" w:sz="0" w:space="0" w:color="auto"/>
            <w:bottom w:val="none" w:sz="0" w:space="0" w:color="auto"/>
            <w:right w:val="none" w:sz="0" w:space="0" w:color="auto"/>
          </w:divBdr>
        </w:div>
        <w:div w:id="710954247">
          <w:marLeft w:val="0"/>
          <w:marRight w:val="0"/>
          <w:marTop w:val="0"/>
          <w:marBottom w:val="0"/>
          <w:divBdr>
            <w:top w:val="none" w:sz="0" w:space="0" w:color="auto"/>
            <w:left w:val="none" w:sz="0" w:space="0" w:color="auto"/>
            <w:bottom w:val="none" w:sz="0" w:space="0" w:color="auto"/>
            <w:right w:val="none" w:sz="0" w:space="0" w:color="auto"/>
          </w:divBdr>
          <w:divsChild>
            <w:div w:id="124087950">
              <w:marLeft w:val="0"/>
              <w:marRight w:val="0"/>
              <w:marTop w:val="0"/>
              <w:marBottom w:val="0"/>
              <w:divBdr>
                <w:top w:val="none" w:sz="0" w:space="0" w:color="auto"/>
                <w:left w:val="none" w:sz="0" w:space="0" w:color="auto"/>
                <w:bottom w:val="none" w:sz="0" w:space="0" w:color="auto"/>
                <w:right w:val="none" w:sz="0" w:space="0" w:color="auto"/>
              </w:divBdr>
            </w:div>
            <w:div w:id="1664435903">
              <w:marLeft w:val="0"/>
              <w:marRight w:val="0"/>
              <w:marTop w:val="0"/>
              <w:marBottom w:val="0"/>
              <w:divBdr>
                <w:top w:val="none" w:sz="0" w:space="0" w:color="auto"/>
                <w:left w:val="none" w:sz="0" w:space="0" w:color="auto"/>
                <w:bottom w:val="none" w:sz="0" w:space="0" w:color="auto"/>
                <w:right w:val="none" w:sz="0" w:space="0" w:color="auto"/>
              </w:divBdr>
            </w:div>
            <w:div w:id="1781491942">
              <w:marLeft w:val="0"/>
              <w:marRight w:val="0"/>
              <w:marTop w:val="0"/>
              <w:marBottom w:val="0"/>
              <w:divBdr>
                <w:top w:val="none" w:sz="0" w:space="0" w:color="auto"/>
                <w:left w:val="none" w:sz="0" w:space="0" w:color="auto"/>
                <w:bottom w:val="none" w:sz="0" w:space="0" w:color="auto"/>
                <w:right w:val="none" w:sz="0" w:space="0" w:color="auto"/>
              </w:divBdr>
            </w:div>
            <w:div w:id="1940479233">
              <w:marLeft w:val="0"/>
              <w:marRight w:val="0"/>
              <w:marTop w:val="0"/>
              <w:marBottom w:val="0"/>
              <w:divBdr>
                <w:top w:val="none" w:sz="0" w:space="0" w:color="auto"/>
                <w:left w:val="none" w:sz="0" w:space="0" w:color="auto"/>
                <w:bottom w:val="none" w:sz="0" w:space="0" w:color="auto"/>
                <w:right w:val="none" w:sz="0" w:space="0" w:color="auto"/>
              </w:divBdr>
            </w:div>
          </w:divsChild>
        </w:div>
        <w:div w:id="722143284">
          <w:marLeft w:val="0"/>
          <w:marRight w:val="0"/>
          <w:marTop w:val="0"/>
          <w:marBottom w:val="0"/>
          <w:divBdr>
            <w:top w:val="none" w:sz="0" w:space="0" w:color="auto"/>
            <w:left w:val="none" w:sz="0" w:space="0" w:color="auto"/>
            <w:bottom w:val="none" w:sz="0" w:space="0" w:color="auto"/>
            <w:right w:val="none" w:sz="0" w:space="0" w:color="auto"/>
          </w:divBdr>
        </w:div>
        <w:div w:id="741761258">
          <w:marLeft w:val="0"/>
          <w:marRight w:val="0"/>
          <w:marTop w:val="0"/>
          <w:marBottom w:val="0"/>
          <w:divBdr>
            <w:top w:val="none" w:sz="0" w:space="0" w:color="auto"/>
            <w:left w:val="none" w:sz="0" w:space="0" w:color="auto"/>
            <w:bottom w:val="none" w:sz="0" w:space="0" w:color="auto"/>
            <w:right w:val="none" w:sz="0" w:space="0" w:color="auto"/>
          </w:divBdr>
        </w:div>
        <w:div w:id="776294095">
          <w:marLeft w:val="0"/>
          <w:marRight w:val="0"/>
          <w:marTop w:val="0"/>
          <w:marBottom w:val="0"/>
          <w:divBdr>
            <w:top w:val="none" w:sz="0" w:space="0" w:color="auto"/>
            <w:left w:val="none" w:sz="0" w:space="0" w:color="auto"/>
            <w:bottom w:val="none" w:sz="0" w:space="0" w:color="auto"/>
            <w:right w:val="none" w:sz="0" w:space="0" w:color="auto"/>
          </w:divBdr>
        </w:div>
        <w:div w:id="883256743">
          <w:marLeft w:val="0"/>
          <w:marRight w:val="0"/>
          <w:marTop w:val="0"/>
          <w:marBottom w:val="0"/>
          <w:divBdr>
            <w:top w:val="none" w:sz="0" w:space="0" w:color="auto"/>
            <w:left w:val="none" w:sz="0" w:space="0" w:color="auto"/>
            <w:bottom w:val="none" w:sz="0" w:space="0" w:color="auto"/>
            <w:right w:val="none" w:sz="0" w:space="0" w:color="auto"/>
          </w:divBdr>
          <w:divsChild>
            <w:div w:id="113721816">
              <w:marLeft w:val="0"/>
              <w:marRight w:val="0"/>
              <w:marTop w:val="0"/>
              <w:marBottom w:val="0"/>
              <w:divBdr>
                <w:top w:val="none" w:sz="0" w:space="0" w:color="auto"/>
                <w:left w:val="none" w:sz="0" w:space="0" w:color="auto"/>
                <w:bottom w:val="none" w:sz="0" w:space="0" w:color="auto"/>
                <w:right w:val="none" w:sz="0" w:space="0" w:color="auto"/>
              </w:divBdr>
            </w:div>
            <w:div w:id="195580732">
              <w:marLeft w:val="0"/>
              <w:marRight w:val="0"/>
              <w:marTop w:val="0"/>
              <w:marBottom w:val="0"/>
              <w:divBdr>
                <w:top w:val="none" w:sz="0" w:space="0" w:color="auto"/>
                <w:left w:val="none" w:sz="0" w:space="0" w:color="auto"/>
                <w:bottom w:val="none" w:sz="0" w:space="0" w:color="auto"/>
                <w:right w:val="none" w:sz="0" w:space="0" w:color="auto"/>
              </w:divBdr>
            </w:div>
            <w:div w:id="446853741">
              <w:marLeft w:val="0"/>
              <w:marRight w:val="0"/>
              <w:marTop w:val="0"/>
              <w:marBottom w:val="0"/>
              <w:divBdr>
                <w:top w:val="none" w:sz="0" w:space="0" w:color="auto"/>
                <w:left w:val="none" w:sz="0" w:space="0" w:color="auto"/>
                <w:bottom w:val="none" w:sz="0" w:space="0" w:color="auto"/>
                <w:right w:val="none" w:sz="0" w:space="0" w:color="auto"/>
              </w:divBdr>
            </w:div>
            <w:div w:id="948315224">
              <w:marLeft w:val="0"/>
              <w:marRight w:val="0"/>
              <w:marTop w:val="0"/>
              <w:marBottom w:val="0"/>
              <w:divBdr>
                <w:top w:val="none" w:sz="0" w:space="0" w:color="auto"/>
                <w:left w:val="none" w:sz="0" w:space="0" w:color="auto"/>
                <w:bottom w:val="none" w:sz="0" w:space="0" w:color="auto"/>
                <w:right w:val="none" w:sz="0" w:space="0" w:color="auto"/>
              </w:divBdr>
            </w:div>
            <w:div w:id="1332953698">
              <w:marLeft w:val="0"/>
              <w:marRight w:val="0"/>
              <w:marTop w:val="0"/>
              <w:marBottom w:val="0"/>
              <w:divBdr>
                <w:top w:val="none" w:sz="0" w:space="0" w:color="auto"/>
                <w:left w:val="none" w:sz="0" w:space="0" w:color="auto"/>
                <w:bottom w:val="none" w:sz="0" w:space="0" w:color="auto"/>
                <w:right w:val="none" w:sz="0" w:space="0" w:color="auto"/>
              </w:divBdr>
            </w:div>
          </w:divsChild>
        </w:div>
        <w:div w:id="995719701">
          <w:marLeft w:val="0"/>
          <w:marRight w:val="0"/>
          <w:marTop w:val="0"/>
          <w:marBottom w:val="0"/>
          <w:divBdr>
            <w:top w:val="none" w:sz="0" w:space="0" w:color="auto"/>
            <w:left w:val="none" w:sz="0" w:space="0" w:color="auto"/>
            <w:bottom w:val="none" w:sz="0" w:space="0" w:color="auto"/>
            <w:right w:val="none" w:sz="0" w:space="0" w:color="auto"/>
          </w:divBdr>
          <w:divsChild>
            <w:div w:id="473374770">
              <w:marLeft w:val="0"/>
              <w:marRight w:val="0"/>
              <w:marTop w:val="0"/>
              <w:marBottom w:val="0"/>
              <w:divBdr>
                <w:top w:val="none" w:sz="0" w:space="0" w:color="auto"/>
                <w:left w:val="none" w:sz="0" w:space="0" w:color="auto"/>
                <w:bottom w:val="none" w:sz="0" w:space="0" w:color="auto"/>
                <w:right w:val="none" w:sz="0" w:space="0" w:color="auto"/>
              </w:divBdr>
            </w:div>
            <w:div w:id="1004667368">
              <w:marLeft w:val="0"/>
              <w:marRight w:val="0"/>
              <w:marTop w:val="0"/>
              <w:marBottom w:val="0"/>
              <w:divBdr>
                <w:top w:val="none" w:sz="0" w:space="0" w:color="auto"/>
                <w:left w:val="none" w:sz="0" w:space="0" w:color="auto"/>
                <w:bottom w:val="none" w:sz="0" w:space="0" w:color="auto"/>
                <w:right w:val="none" w:sz="0" w:space="0" w:color="auto"/>
              </w:divBdr>
            </w:div>
          </w:divsChild>
        </w:div>
        <w:div w:id="1104956230">
          <w:marLeft w:val="0"/>
          <w:marRight w:val="0"/>
          <w:marTop w:val="0"/>
          <w:marBottom w:val="0"/>
          <w:divBdr>
            <w:top w:val="none" w:sz="0" w:space="0" w:color="auto"/>
            <w:left w:val="none" w:sz="0" w:space="0" w:color="auto"/>
            <w:bottom w:val="none" w:sz="0" w:space="0" w:color="auto"/>
            <w:right w:val="none" w:sz="0" w:space="0" w:color="auto"/>
          </w:divBdr>
        </w:div>
        <w:div w:id="1186746260">
          <w:marLeft w:val="0"/>
          <w:marRight w:val="0"/>
          <w:marTop w:val="0"/>
          <w:marBottom w:val="0"/>
          <w:divBdr>
            <w:top w:val="none" w:sz="0" w:space="0" w:color="auto"/>
            <w:left w:val="none" w:sz="0" w:space="0" w:color="auto"/>
            <w:bottom w:val="none" w:sz="0" w:space="0" w:color="auto"/>
            <w:right w:val="none" w:sz="0" w:space="0" w:color="auto"/>
          </w:divBdr>
        </w:div>
        <w:div w:id="1189832632">
          <w:marLeft w:val="0"/>
          <w:marRight w:val="0"/>
          <w:marTop w:val="0"/>
          <w:marBottom w:val="0"/>
          <w:divBdr>
            <w:top w:val="none" w:sz="0" w:space="0" w:color="auto"/>
            <w:left w:val="none" w:sz="0" w:space="0" w:color="auto"/>
            <w:bottom w:val="none" w:sz="0" w:space="0" w:color="auto"/>
            <w:right w:val="none" w:sz="0" w:space="0" w:color="auto"/>
          </w:divBdr>
        </w:div>
        <w:div w:id="1255434555">
          <w:marLeft w:val="0"/>
          <w:marRight w:val="0"/>
          <w:marTop w:val="0"/>
          <w:marBottom w:val="0"/>
          <w:divBdr>
            <w:top w:val="none" w:sz="0" w:space="0" w:color="auto"/>
            <w:left w:val="none" w:sz="0" w:space="0" w:color="auto"/>
            <w:bottom w:val="none" w:sz="0" w:space="0" w:color="auto"/>
            <w:right w:val="none" w:sz="0" w:space="0" w:color="auto"/>
          </w:divBdr>
        </w:div>
        <w:div w:id="1262638313">
          <w:marLeft w:val="0"/>
          <w:marRight w:val="0"/>
          <w:marTop w:val="0"/>
          <w:marBottom w:val="0"/>
          <w:divBdr>
            <w:top w:val="none" w:sz="0" w:space="0" w:color="auto"/>
            <w:left w:val="none" w:sz="0" w:space="0" w:color="auto"/>
            <w:bottom w:val="none" w:sz="0" w:space="0" w:color="auto"/>
            <w:right w:val="none" w:sz="0" w:space="0" w:color="auto"/>
          </w:divBdr>
          <w:divsChild>
            <w:div w:id="243296542">
              <w:marLeft w:val="0"/>
              <w:marRight w:val="0"/>
              <w:marTop w:val="0"/>
              <w:marBottom w:val="0"/>
              <w:divBdr>
                <w:top w:val="none" w:sz="0" w:space="0" w:color="auto"/>
                <w:left w:val="none" w:sz="0" w:space="0" w:color="auto"/>
                <w:bottom w:val="none" w:sz="0" w:space="0" w:color="auto"/>
                <w:right w:val="none" w:sz="0" w:space="0" w:color="auto"/>
              </w:divBdr>
            </w:div>
            <w:div w:id="408356180">
              <w:marLeft w:val="0"/>
              <w:marRight w:val="0"/>
              <w:marTop w:val="0"/>
              <w:marBottom w:val="0"/>
              <w:divBdr>
                <w:top w:val="none" w:sz="0" w:space="0" w:color="auto"/>
                <w:left w:val="none" w:sz="0" w:space="0" w:color="auto"/>
                <w:bottom w:val="none" w:sz="0" w:space="0" w:color="auto"/>
                <w:right w:val="none" w:sz="0" w:space="0" w:color="auto"/>
              </w:divBdr>
            </w:div>
            <w:div w:id="838080336">
              <w:marLeft w:val="0"/>
              <w:marRight w:val="0"/>
              <w:marTop w:val="0"/>
              <w:marBottom w:val="0"/>
              <w:divBdr>
                <w:top w:val="none" w:sz="0" w:space="0" w:color="auto"/>
                <w:left w:val="none" w:sz="0" w:space="0" w:color="auto"/>
                <w:bottom w:val="none" w:sz="0" w:space="0" w:color="auto"/>
                <w:right w:val="none" w:sz="0" w:space="0" w:color="auto"/>
              </w:divBdr>
            </w:div>
            <w:div w:id="1876850687">
              <w:marLeft w:val="0"/>
              <w:marRight w:val="0"/>
              <w:marTop w:val="0"/>
              <w:marBottom w:val="0"/>
              <w:divBdr>
                <w:top w:val="none" w:sz="0" w:space="0" w:color="auto"/>
                <w:left w:val="none" w:sz="0" w:space="0" w:color="auto"/>
                <w:bottom w:val="none" w:sz="0" w:space="0" w:color="auto"/>
                <w:right w:val="none" w:sz="0" w:space="0" w:color="auto"/>
              </w:divBdr>
            </w:div>
            <w:div w:id="1904290470">
              <w:marLeft w:val="0"/>
              <w:marRight w:val="0"/>
              <w:marTop w:val="0"/>
              <w:marBottom w:val="0"/>
              <w:divBdr>
                <w:top w:val="none" w:sz="0" w:space="0" w:color="auto"/>
                <w:left w:val="none" w:sz="0" w:space="0" w:color="auto"/>
                <w:bottom w:val="none" w:sz="0" w:space="0" w:color="auto"/>
                <w:right w:val="none" w:sz="0" w:space="0" w:color="auto"/>
              </w:divBdr>
            </w:div>
          </w:divsChild>
        </w:div>
        <w:div w:id="1264219988">
          <w:marLeft w:val="0"/>
          <w:marRight w:val="0"/>
          <w:marTop w:val="0"/>
          <w:marBottom w:val="0"/>
          <w:divBdr>
            <w:top w:val="none" w:sz="0" w:space="0" w:color="auto"/>
            <w:left w:val="none" w:sz="0" w:space="0" w:color="auto"/>
            <w:bottom w:val="none" w:sz="0" w:space="0" w:color="auto"/>
            <w:right w:val="none" w:sz="0" w:space="0" w:color="auto"/>
          </w:divBdr>
        </w:div>
        <w:div w:id="1355694952">
          <w:marLeft w:val="0"/>
          <w:marRight w:val="0"/>
          <w:marTop w:val="0"/>
          <w:marBottom w:val="0"/>
          <w:divBdr>
            <w:top w:val="none" w:sz="0" w:space="0" w:color="auto"/>
            <w:left w:val="none" w:sz="0" w:space="0" w:color="auto"/>
            <w:bottom w:val="none" w:sz="0" w:space="0" w:color="auto"/>
            <w:right w:val="none" w:sz="0" w:space="0" w:color="auto"/>
          </w:divBdr>
        </w:div>
        <w:div w:id="1363552920">
          <w:marLeft w:val="0"/>
          <w:marRight w:val="0"/>
          <w:marTop w:val="0"/>
          <w:marBottom w:val="0"/>
          <w:divBdr>
            <w:top w:val="none" w:sz="0" w:space="0" w:color="auto"/>
            <w:left w:val="none" w:sz="0" w:space="0" w:color="auto"/>
            <w:bottom w:val="none" w:sz="0" w:space="0" w:color="auto"/>
            <w:right w:val="none" w:sz="0" w:space="0" w:color="auto"/>
          </w:divBdr>
          <w:divsChild>
            <w:div w:id="2033064370">
              <w:marLeft w:val="-75"/>
              <w:marRight w:val="0"/>
              <w:marTop w:val="30"/>
              <w:marBottom w:val="30"/>
              <w:divBdr>
                <w:top w:val="none" w:sz="0" w:space="0" w:color="auto"/>
                <w:left w:val="none" w:sz="0" w:space="0" w:color="auto"/>
                <w:bottom w:val="none" w:sz="0" w:space="0" w:color="auto"/>
                <w:right w:val="none" w:sz="0" w:space="0" w:color="auto"/>
              </w:divBdr>
              <w:divsChild>
                <w:div w:id="34813715">
                  <w:marLeft w:val="0"/>
                  <w:marRight w:val="0"/>
                  <w:marTop w:val="0"/>
                  <w:marBottom w:val="0"/>
                  <w:divBdr>
                    <w:top w:val="none" w:sz="0" w:space="0" w:color="auto"/>
                    <w:left w:val="none" w:sz="0" w:space="0" w:color="auto"/>
                    <w:bottom w:val="none" w:sz="0" w:space="0" w:color="auto"/>
                    <w:right w:val="none" w:sz="0" w:space="0" w:color="auto"/>
                  </w:divBdr>
                  <w:divsChild>
                    <w:div w:id="118498577">
                      <w:marLeft w:val="0"/>
                      <w:marRight w:val="0"/>
                      <w:marTop w:val="0"/>
                      <w:marBottom w:val="0"/>
                      <w:divBdr>
                        <w:top w:val="none" w:sz="0" w:space="0" w:color="auto"/>
                        <w:left w:val="none" w:sz="0" w:space="0" w:color="auto"/>
                        <w:bottom w:val="none" w:sz="0" w:space="0" w:color="auto"/>
                        <w:right w:val="none" w:sz="0" w:space="0" w:color="auto"/>
                      </w:divBdr>
                    </w:div>
                  </w:divsChild>
                </w:div>
                <w:div w:id="49038495">
                  <w:marLeft w:val="0"/>
                  <w:marRight w:val="0"/>
                  <w:marTop w:val="0"/>
                  <w:marBottom w:val="0"/>
                  <w:divBdr>
                    <w:top w:val="none" w:sz="0" w:space="0" w:color="auto"/>
                    <w:left w:val="none" w:sz="0" w:space="0" w:color="auto"/>
                    <w:bottom w:val="none" w:sz="0" w:space="0" w:color="auto"/>
                    <w:right w:val="none" w:sz="0" w:space="0" w:color="auto"/>
                  </w:divBdr>
                  <w:divsChild>
                    <w:div w:id="1056197787">
                      <w:marLeft w:val="0"/>
                      <w:marRight w:val="0"/>
                      <w:marTop w:val="0"/>
                      <w:marBottom w:val="0"/>
                      <w:divBdr>
                        <w:top w:val="none" w:sz="0" w:space="0" w:color="auto"/>
                        <w:left w:val="none" w:sz="0" w:space="0" w:color="auto"/>
                        <w:bottom w:val="none" w:sz="0" w:space="0" w:color="auto"/>
                        <w:right w:val="none" w:sz="0" w:space="0" w:color="auto"/>
                      </w:divBdr>
                    </w:div>
                  </w:divsChild>
                </w:div>
                <w:div w:id="52125515">
                  <w:marLeft w:val="0"/>
                  <w:marRight w:val="0"/>
                  <w:marTop w:val="0"/>
                  <w:marBottom w:val="0"/>
                  <w:divBdr>
                    <w:top w:val="none" w:sz="0" w:space="0" w:color="auto"/>
                    <w:left w:val="none" w:sz="0" w:space="0" w:color="auto"/>
                    <w:bottom w:val="none" w:sz="0" w:space="0" w:color="auto"/>
                    <w:right w:val="none" w:sz="0" w:space="0" w:color="auto"/>
                  </w:divBdr>
                  <w:divsChild>
                    <w:div w:id="1620721458">
                      <w:marLeft w:val="0"/>
                      <w:marRight w:val="0"/>
                      <w:marTop w:val="0"/>
                      <w:marBottom w:val="0"/>
                      <w:divBdr>
                        <w:top w:val="none" w:sz="0" w:space="0" w:color="auto"/>
                        <w:left w:val="none" w:sz="0" w:space="0" w:color="auto"/>
                        <w:bottom w:val="none" w:sz="0" w:space="0" w:color="auto"/>
                        <w:right w:val="none" w:sz="0" w:space="0" w:color="auto"/>
                      </w:divBdr>
                    </w:div>
                  </w:divsChild>
                </w:div>
                <w:div w:id="58092224">
                  <w:marLeft w:val="0"/>
                  <w:marRight w:val="0"/>
                  <w:marTop w:val="0"/>
                  <w:marBottom w:val="0"/>
                  <w:divBdr>
                    <w:top w:val="none" w:sz="0" w:space="0" w:color="auto"/>
                    <w:left w:val="none" w:sz="0" w:space="0" w:color="auto"/>
                    <w:bottom w:val="none" w:sz="0" w:space="0" w:color="auto"/>
                    <w:right w:val="none" w:sz="0" w:space="0" w:color="auto"/>
                  </w:divBdr>
                  <w:divsChild>
                    <w:div w:id="1167284987">
                      <w:marLeft w:val="0"/>
                      <w:marRight w:val="0"/>
                      <w:marTop w:val="0"/>
                      <w:marBottom w:val="0"/>
                      <w:divBdr>
                        <w:top w:val="none" w:sz="0" w:space="0" w:color="auto"/>
                        <w:left w:val="none" w:sz="0" w:space="0" w:color="auto"/>
                        <w:bottom w:val="none" w:sz="0" w:space="0" w:color="auto"/>
                        <w:right w:val="none" w:sz="0" w:space="0" w:color="auto"/>
                      </w:divBdr>
                    </w:div>
                    <w:div w:id="2012683104">
                      <w:marLeft w:val="0"/>
                      <w:marRight w:val="0"/>
                      <w:marTop w:val="0"/>
                      <w:marBottom w:val="0"/>
                      <w:divBdr>
                        <w:top w:val="none" w:sz="0" w:space="0" w:color="auto"/>
                        <w:left w:val="none" w:sz="0" w:space="0" w:color="auto"/>
                        <w:bottom w:val="none" w:sz="0" w:space="0" w:color="auto"/>
                        <w:right w:val="none" w:sz="0" w:space="0" w:color="auto"/>
                      </w:divBdr>
                    </w:div>
                  </w:divsChild>
                </w:div>
                <w:div w:id="122164442">
                  <w:marLeft w:val="0"/>
                  <w:marRight w:val="0"/>
                  <w:marTop w:val="0"/>
                  <w:marBottom w:val="0"/>
                  <w:divBdr>
                    <w:top w:val="none" w:sz="0" w:space="0" w:color="auto"/>
                    <w:left w:val="none" w:sz="0" w:space="0" w:color="auto"/>
                    <w:bottom w:val="none" w:sz="0" w:space="0" w:color="auto"/>
                    <w:right w:val="none" w:sz="0" w:space="0" w:color="auto"/>
                  </w:divBdr>
                  <w:divsChild>
                    <w:div w:id="1073160781">
                      <w:marLeft w:val="0"/>
                      <w:marRight w:val="0"/>
                      <w:marTop w:val="0"/>
                      <w:marBottom w:val="0"/>
                      <w:divBdr>
                        <w:top w:val="none" w:sz="0" w:space="0" w:color="auto"/>
                        <w:left w:val="none" w:sz="0" w:space="0" w:color="auto"/>
                        <w:bottom w:val="none" w:sz="0" w:space="0" w:color="auto"/>
                        <w:right w:val="none" w:sz="0" w:space="0" w:color="auto"/>
                      </w:divBdr>
                    </w:div>
                  </w:divsChild>
                </w:div>
                <w:div w:id="534586926">
                  <w:marLeft w:val="0"/>
                  <w:marRight w:val="0"/>
                  <w:marTop w:val="0"/>
                  <w:marBottom w:val="0"/>
                  <w:divBdr>
                    <w:top w:val="none" w:sz="0" w:space="0" w:color="auto"/>
                    <w:left w:val="none" w:sz="0" w:space="0" w:color="auto"/>
                    <w:bottom w:val="none" w:sz="0" w:space="0" w:color="auto"/>
                    <w:right w:val="none" w:sz="0" w:space="0" w:color="auto"/>
                  </w:divBdr>
                  <w:divsChild>
                    <w:div w:id="1797486014">
                      <w:marLeft w:val="0"/>
                      <w:marRight w:val="0"/>
                      <w:marTop w:val="0"/>
                      <w:marBottom w:val="0"/>
                      <w:divBdr>
                        <w:top w:val="none" w:sz="0" w:space="0" w:color="auto"/>
                        <w:left w:val="none" w:sz="0" w:space="0" w:color="auto"/>
                        <w:bottom w:val="none" w:sz="0" w:space="0" w:color="auto"/>
                        <w:right w:val="none" w:sz="0" w:space="0" w:color="auto"/>
                      </w:divBdr>
                    </w:div>
                  </w:divsChild>
                </w:div>
                <w:div w:id="822889150">
                  <w:marLeft w:val="0"/>
                  <w:marRight w:val="0"/>
                  <w:marTop w:val="0"/>
                  <w:marBottom w:val="0"/>
                  <w:divBdr>
                    <w:top w:val="none" w:sz="0" w:space="0" w:color="auto"/>
                    <w:left w:val="none" w:sz="0" w:space="0" w:color="auto"/>
                    <w:bottom w:val="none" w:sz="0" w:space="0" w:color="auto"/>
                    <w:right w:val="none" w:sz="0" w:space="0" w:color="auto"/>
                  </w:divBdr>
                  <w:divsChild>
                    <w:div w:id="224075970">
                      <w:marLeft w:val="0"/>
                      <w:marRight w:val="0"/>
                      <w:marTop w:val="0"/>
                      <w:marBottom w:val="0"/>
                      <w:divBdr>
                        <w:top w:val="none" w:sz="0" w:space="0" w:color="auto"/>
                        <w:left w:val="none" w:sz="0" w:space="0" w:color="auto"/>
                        <w:bottom w:val="none" w:sz="0" w:space="0" w:color="auto"/>
                        <w:right w:val="none" w:sz="0" w:space="0" w:color="auto"/>
                      </w:divBdr>
                    </w:div>
                  </w:divsChild>
                </w:div>
                <w:div w:id="926960565">
                  <w:marLeft w:val="0"/>
                  <w:marRight w:val="0"/>
                  <w:marTop w:val="0"/>
                  <w:marBottom w:val="0"/>
                  <w:divBdr>
                    <w:top w:val="none" w:sz="0" w:space="0" w:color="auto"/>
                    <w:left w:val="none" w:sz="0" w:space="0" w:color="auto"/>
                    <w:bottom w:val="none" w:sz="0" w:space="0" w:color="auto"/>
                    <w:right w:val="none" w:sz="0" w:space="0" w:color="auto"/>
                  </w:divBdr>
                  <w:divsChild>
                    <w:div w:id="1662267824">
                      <w:marLeft w:val="0"/>
                      <w:marRight w:val="0"/>
                      <w:marTop w:val="0"/>
                      <w:marBottom w:val="0"/>
                      <w:divBdr>
                        <w:top w:val="none" w:sz="0" w:space="0" w:color="auto"/>
                        <w:left w:val="none" w:sz="0" w:space="0" w:color="auto"/>
                        <w:bottom w:val="none" w:sz="0" w:space="0" w:color="auto"/>
                        <w:right w:val="none" w:sz="0" w:space="0" w:color="auto"/>
                      </w:divBdr>
                    </w:div>
                  </w:divsChild>
                </w:div>
                <w:div w:id="952594296">
                  <w:marLeft w:val="0"/>
                  <w:marRight w:val="0"/>
                  <w:marTop w:val="0"/>
                  <w:marBottom w:val="0"/>
                  <w:divBdr>
                    <w:top w:val="none" w:sz="0" w:space="0" w:color="auto"/>
                    <w:left w:val="none" w:sz="0" w:space="0" w:color="auto"/>
                    <w:bottom w:val="none" w:sz="0" w:space="0" w:color="auto"/>
                    <w:right w:val="none" w:sz="0" w:space="0" w:color="auto"/>
                  </w:divBdr>
                  <w:divsChild>
                    <w:div w:id="1225946342">
                      <w:marLeft w:val="0"/>
                      <w:marRight w:val="0"/>
                      <w:marTop w:val="0"/>
                      <w:marBottom w:val="0"/>
                      <w:divBdr>
                        <w:top w:val="none" w:sz="0" w:space="0" w:color="auto"/>
                        <w:left w:val="none" w:sz="0" w:space="0" w:color="auto"/>
                        <w:bottom w:val="none" w:sz="0" w:space="0" w:color="auto"/>
                        <w:right w:val="none" w:sz="0" w:space="0" w:color="auto"/>
                      </w:divBdr>
                    </w:div>
                  </w:divsChild>
                </w:div>
                <w:div w:id="991330014">
                  <w:marLeft w:val="0"/>
                  <w:marRight w:val="0"/>
                  <w:marTop w:val="0"/>
                  <w:marBottom w:val="0"/>
                  <w:divBdr>
                    <w:top w:val="none" w:sz="0" w:space="0" w:color="auto"/>
                    <w:left w:val="none" w:sz="0" w:space="0" w:color="auto"/>
                    <w:bottom w:val="none" w:sz="0" w:space="0" w:color="auto"/>
                    <w:right w:val="none" w:sz="0" w:space="0" w:color="auto"/>
                  </w:divBdr>
                  <w:divsChild>
                    <w:div w:id="1164007161">
                      <w:marLeft w:val="0"/>
                      <w:marRight w:val="0"/>
                      <w:marTop w:val="0"/>
                      <w:marBottom w:val="0"/>
                      <w:divBdr>
                        <w:top w:val="none" w:sz="0" w:space="0" w:color="auto"/>
                        <w:left w:val="none" w:sz="0" w:space="0" w:color="auto"/>
                        <w:bottom w:val="none" w:sz="0" w:space="0" w:color="auto"/>
                        <w:right w:val="none" w:sz="0" w:space="0" w:color="auto"/>
                      </w:divBdr>
                    </w:div>
                  </w:divsChild>
                </w:div>
                <w:div w:id="1045444005">
                  <w:marLeft w:val="0"/>
                  <w:marRight w:val="0"/>
                  <w:marTop w:val="0"/>
                  <w:marBottom w:val="0"/>
                  <w:divBdr>
                    <w:top w:val="none" w:sz="0" w:space="0" w:color="auto"/>
                    <w:left w:val="none" w:sz="0" w:space="0" w:color="auto"/>
                    <w:bottom w:val="none" w:sz="0" w:space="0" w:color="auto"/>
                    <w:right w:val="none" w:sz="0" w:space="0" w:color="auto"/>
                  </w:divBdr>
                  <w:divsChild>
                    <w:div w:id="655112661">
                      <w:marLeft w:val="0"/>
                      <w:marRight w:val="0"/>
                      <w:marTop w:val="0"/>
                      <w:marBottom w:val="0"/>
                      <w:divBdr>
                        <w:top w:val="none" w:sz="0" w:space="0" w:color="auto"/>
                        <w:left w:val="none" w:sz="0" w:space="0" w:color="auto"/>
                        <w:bottom w:val="none" w:sz="0" w:space="0" w:color="auto"/>
                        <w:right w:val="none" w:sz="0" w:space="0" w:color="auto"/>
                      </w:divBdr>
                    </w:div>
                  </w:divsChild>
                </w:div>
                <w:div w:id="1249773956">
                  <w:marLeft w:val="0"/>
                  <w:marRight w:val="0"/>
                  <w:marTop w:val="0"/>
                  <w:marBottom w:val="0"/>
                  <w:divBdr>
                    <w:top w:val="none" w:sz="0" w:space="0" w:color="auto"/>
                    <w:left w:val="none" w:sz="0" w:space="0" w:color="auto"/>
                    <w:bottom w:val="none" w:sz="0" w:space="0" w:color="auto"/>
                    <w:right w:val="none" w:sz="0" w:space="0" w:color="auto"/>
                  </w:divBdr>
                  <w:divsChild>
                    <w:div w:id="146211458">
                      <w:marLeft w:val="0"/>
                      <w:marRight w:val="0"/>
                      <w:marTop w:val="0"/>
                      <w:marBottom w:val="0"/>
                      <w:divBdr>
                        <w:top w:val="none" w:sz="0" w:space="0" w:color="auto"/>
                        <w:left w:val="none" w:sz="0" w:space="0" w:color="auto"/>
                        <w:bottom w:val="none" w:sz="0" w:space="0" w:color="auto"/>
                        <w:right w:val="none" w:sz="0" w:space="0" w:color="auto"/>
                      </w:divBdr>
                    </w:div>
                  </w:divsChild>
                </w:div>
                <w:div w:id="1539470480">
                  <w:marLeft w:val="0"/>
                  <w:marRight w:val="0"/>
                  <w:marTop w:val="0"/>
                  <w:marBottom w:val="0"/>
                  <w:divBdr>
                    <w:top w:val="none" w:sz="0" w:space="0" w:color="auto"/>
                    <w:left w:val="none" w:sz="0" w:space="0" w:color="auto"/>
                    <w:bottom w:val="none" w:sz="0" w:space="0" w:color="auto"/>
                    <w:right w:val="none" w:sz="0" w:space="0" w:color="auto"/>
                  </w:divBdr>
                  <w:divsChild>
                    <w:div w:id="220748742">
                      <w:marLeft w:val="0"/>
                      <w:marRight w:val="0"/>
                      <w:marTop w:val="0"/>
                      <w:marBottom w:val="0"/>
                      <w:divBdr>
                        <w:top w:val="none" w:sz="0" w:space="0" w:color="auto"/>
                        <w:left w:val="none" w:sz="0" w:space="0" w:color="auto"/>
                        <w:bottom w:val="none" w:sz="0" w:space="0" w:color="auto"/>
                        <w:right w:val="none" w:sz="0" w:space="0" w:color="auto"/>
                      </w:divBdr>
                    </w:div>
                  </w:divsChild>
                </w:div>
                <w:div w:id="1600722962">
                  <w:marLeft w:val="0"/>
                  <w:marRight w:val="0"/>
                  <w:marTop w:val="0"/>
                  <w:marBottom w:val="0"/>
                  <w:divBdr>
                    <w:top w:val="none" w:sz="0" w:space="0" w:color="auto"/>
                    <w:left w:val="none" w:sz="0" w:space="0" w:color="auto"/>
                    <w:bottom w:val="none" w:sz="0" w:space="0" w:color="auto"/>
                    <w:right w:val="none" w:sz="0" w:space="0" w:color="auto"/>
                  </w:divBdr>
                  <w:divsChild>
                    <w:div w:id="863786539">
                      <w:marLeft w:val="0"/>
                      <w:marRight w:val="0"/>
                      <w:marTop w:val="0"/>
                      <w:marBottom w:val="0"/>
                      <w:divBdr>
                        <w:top w:val="none" w:sz="0" w:space="0" w:color="auto"/>
                        <w:left w:val="none" w:sz="0" w:space="0" w:color="auto"/>
                        <w:bottom w:val="none" w:sz="0" w:space="0" w:color="auto"/>
                        <w:right w:val="none" w:sz="0" w:space="0" w:color="auto"/>
                      </w:divBdr>
                    </w:div>
                  </w:divsChild>
                </w:div>
                <w:div w:id="1606423828">
                  <w:marLeft w:val="0"/>
                  <w:marRight w:val="0"/>
                  <w:marTop w:val="0"/>
                  <w:marBottom w:val="0"/>
                  <w:divBdr>
                    <w:top w:val="none" w:sz="0" w:space="0" w:color="auto"/>
                    <w:left w:val="none" w:sz="0" w:space="0" w:color="auto"/>
                    <w:bottom w:val="none" w:sz="0" w:space="0" w:color="auto"/>
                    <w:right w:val="none" w:sz="0" w:space="0" w:color="auto"/>
                  </w:divBdr>
                  <w:divsChild>
                    <w:div w:id="1942109324">
                      <w:marLeft w:val="0"/>
                      <w:marRight w:val="0"/>
                      <w:marTop w:val="0"/>
                      <w:marBottom w:val="0"/>
                      <w:divBdr>
                        <w:top w:val="none" w:sz="0" w:space="0" w:color="auto"/>
                        <w:left w:val="none" w:sz="0" w:space="0" w:color="auto"/>
                        <w:bottom w:val="none" w:sz="0" w:space="0" w:color="auto"/>
                        <w:right w:val="none" w:sz="0" w:space="0" w:color="auto"/>
                      </w:divBdr>
                    </w:div>
                  </w:divsChild>
                </w:div>
                <w:div w:id="1629776398">
                  <w:marLeft w:val="0"/>
                  <w:marRight w:val="0"/>
                  <w:marTop w:val="0"/>
                  <w:marBottom w:val="0"/>
                  <w:divBdr>
                    <w:top w:val="none" w:sz="0" w:space="0" w:color="auto"/>
                    <w:left w:val="none" w:sz="0" w:space="0" w:color="auto"/>
                    <w:bottom w:val="none" w:sz="0" w:space="0" w:color="auto"/>
                    <w:right w:val="none" w:sz="0" w:space="0" w:color="auto"/>
                  </w:divBdr>
                  <w:divsChild>
                    <w:div w:id="592251810">
                      <w:marLeft w:val="0"/>
                      <w:marRight w:val="0"/>
                      <w:marTop w:val="0"/>
                      <w:marBottom w:val="0"/>
                      <w:divBdr>
                        <w:top w:val="none" w:sz="0" w:space="0" w:color="auto"/>
                        <w:left w:val="none" w:sz="0" w:space="0" w:color="auto"/>
                        <w:bottom w:val="none" w:sz="0" w:space="0" w:color="auto"/>
                        <w:right w:val="none" w:sz="0" w:space="0" w:color="auto"/>
                      </w:divBdr>
                    </w:div>
                  </w:divsChild>
                </w:div>
                <w:div w:id="1710643432">
                  <w:marLeft w:val="0"/>
                  <w:marRight w:val="0"/>
                  <w:marTop w:val="0"/>
                  <w:marBottom w:val="0"/>
                  <w:divBdr>
                    <w:top w:val="none" w:sz="0" w:space="0" w:color="auto"/>
                    <w:left w:val="none" w:sz="0" w:space="0" w:color="auto"/>
                    <w:bottom w:val="none" w:sz="0" w:space="0" w:color="auto"/>
                    <w:right w:val="none" w:sz="0" w:space="0" w:color="auto"/>
                  </w:divBdr>
                  <w:divsChild>
                    <w:div w:id="68817604">
                      <w:marLeft w:val="0"/>
                      <w:marRight w:val="0"/>
                      <w:marTop w:val="0"/>
                      <w:marBottom w:val="0"/>
                      <w:divBdr>
                        <w:top w:val="none" w:sz="0" w:space="0" w:color="auto"/>
                        <w:left w:val="none" w:sz="0" w:space="0" w:color="auto"/>
                        <w:bottom w:val="none" w:sz="0" w:space="0" w:color="auto"/>
                        <w:right w:val="none" w:sz="0" w:space="0" w:color="auto"/>
                      </w:divBdr>
                    </w:div>
                  </w:divsChild>
                </w:div>
                <w:div w:id="1738017007">
                  <w:marLeft w:val="0"/>
                  <w:marRight w:val="0"/>
                  <w:marTop w:val="0"/>
                  <w:marBottom w:val="0"/>
                  <w:divBdr>
                    <w:top w:val="none" w:sz="0" w:space="0" w:color="auto"/>
                    <w:left w:val="none" w:sz="0" w:space="0" w:color="auto"/>
                    <w:bottom w:val="none" w:sz="0" w:space="0" w:color="auto"/>
                    <w:right w:val="none" w:sz="0" w:space="0" w:color="auto"/>
                  </w:divBdr>
                  <w:divsChild>
                    <w:div w:id="1590653055">
                      <w:marLeft w:val="0"/>
                      <w:marRight w:val="0"/>
                      <w:marTop w:val="0"/>
                      <w:marBottom w:val="0"/>
                      <w:divBdr>
                        <w:top w:val="none" w:sz="0" w:space="0" w:color="auto"/>
                        <w:left w:val="none" w:sz="0" w:space="0" w:color="auto"/>
                        <w:bottom w:val="none" w:sz="0" w:space="0" w:color="auto"/>
                        <w:right w:val="none" w:sz="0" w:space="0" w:color="auto"/>
                      </w:divBdr>
                    </w:div>
                  </w:divsChild>
                </w:div>
                <w:div w:id="1935438137">
                  <w:marLeft w:val="0"/>
                  <w:marRight w:val="0"/>
                  <w:marTop w:val="0"/>
                  <w:marBottom w:val="0"/>
                  <w:divBdr>
                    <w:top w:val="none" w:sz="0" w:space="0" w:color="auto"/>
                    <w:left w:val="none" w:sz="0" w:space="0" w:color="auto"/>
                    <w:bottom w:val="none" w:sz="0" w:space="0" w:color="auto"/>
                    <w:right w:val="none" w:sz="0" w:space="0" w:color="auto"/>
                  </w:divBdr>
                  <w:divsChild>
                    <w:div w:id="1066337336">
                      <w:marLeft w:val="0"/>
                      <w:marRight w:val="0"/>
                      <w:marTop w:val="0"/>
                      <w:marBottom w:val="0"/>
                      <w:divBdr>
                        <w:top w:val="none" w:sz="0" w:space="0" w:color="auto"/>
                        <w:left w:val="none" w:sz="0" w:space="0" w:color="auto"/>
                        <w:bottom w:val="none" w:sz="0" w:space="0" w:color="auto"/>
                        <w:right w:val="none" w:sz="0" w:space="0" w:color="auto"/>
                      </w:divBdr>
                    </w:div>
                  </w:divsChild>
                </w:div>
                <w:div w:id="1942519684">
                  <w:marLeft w:val="0"/>
                  <w:marRight w:val="0"/>
                  <w:marTop w:val="0"/>
                  <w:marBottom w:val="0"/>
                  <w:divBdr>
                    <w:top w:val="none" w:sz="0" w:space="0" w:color="auto"/>
                    <w:left w:val="none" w:sz="0" w:space="0" w:color="auto"/>
                    <w:bottom w:val="none" w:sz="0" w:space="0" w:color="auto"/>
                    <w:right w:val="none" w:sz="0" w:space="0" w:color="auto"/>
                  </w:divBdr>
                  <w:divsChild>
                    <w:div w:id="11788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368824">
          <w:marLeft w:val="0"/>
          <w:marRight w:val="0"/>
          <w:marTop w:val="0"/>
          <w:marBottom w:val="0"/>
          <w:divBdr>
            <w:top w:val="none" w:sz="0" w:space="0" w:color="auto"/>
            <w:left w:val="none" w:sz="0" w:space="0" w:color="auto"/>
            <w:bottom w:val="none" w:sz="0" w:space="0" w:color="auto"/>
            <w:right w:val="none" w:sz="0" w:space="0" w:color="auto"/>
          </w:divBdr>
          <w:divsChild>
            <w:div w:id="459883260">
              <w:marLeft w:val="0"/>
              <w:marRight w:val="0"/>
              <w:marTop w:val="0"/>
              <w:marBottom w:val="0"/>
              <w:divBdr>
                <w:top w:val="none" w:sz="0" w:space="0" w:color="auto"/>
                <w:left w:val="none" w:sz="0" w:space="0" w:color="auto"/>
                <w:bottom w:val="none" w:sz="0" w:space="0" w:color="auto"/>
                <w:right w:val="none" w:sz="0" w:space="0" w:color="auto"/>
              </w:divBdr>
            </w:div>
            <w:div w:id="650057922">
              <w:marLeft w:val="0"/>
              <w:marRight w:val="0"/>
              <w:marTop w:val="0"/>
              <w:marBottom w:val="0"/>
              <w:divBdr>
                <w:top w:val="none" w:sz="0" w:space="0" w:color="auto"/>
                <w:left w:val="none" w:sz="0" w:space="0" w:color="auto"/>
                <w:bottom w:val="none" w:sz="0" w:space="0" w:color="auto"/>
                <w:right w:val="none" w:sz="0" w:space="0" w:color="auto"/>
              </w:divBdr>
            </w:div>
            <w:div w:id="908611336">
              <w:marLeft w:val="0"/>
              <w:marRight w:val="0"/>
              <w:marTop w:val="0"/>
              <w:marBottom w:val="0"/>
              <w:divBdr>
                <w:top w:val="none" w:sz="0" w:space="0" w:color="auto"/>
                <w:left w:val="none" w:sz="0" w:space="0" w:color="auto"/>
                <w:bottom w:val="none" w:sz="0" w:space="0" w:color="auto"/>
                <w:right w:val="none" w:sz="0" w:space="0" w:color="auto"/>
              </w:divBdr>
            </w:div>
            <w:div w:id="1201436598">
              <w:marLeft w:val="0"/>
              <w:marRight w:val="0"/>
              <w:marTop w:val="0"/>
              <w:marBottom w:val="0"/>
              <w:divBdr>
                <w:top w:val="none" w:sz="0" w:space="0" w:color="auto"/>
                <w:left w:val="none" w:sz="0" w:space="0" w:color="auto"/>
                <w:bottom w:val="none" w:sz="0" w:space="0" w:color="auto"/>
                <w:right w:val="none" w:sz="0" w:space="0" w:color="auto"/>
              </w:divBdr>
            </w:div>
            <w:div w:id="1370908648">
              <w:marLeft w:val="0"/>
              <w:marRight w:val="0"/>
              <w:marTop w:val="0"/>
              <w:marBottom w:val="0"/>
              <w:divBdr>
                <w:top w:val="none" w:sz="0" w:space="0" w:color="auto"/>
                <w:left w:val="none" w:sz="0" w:space="0" w:color="auto"/>
                <w:bottom w:val="none" w:sz="0" w:space="0" w:color="auto"/>
                <w:right w:val="none" w:sz="0" w:space="0" w:color="auto"/>
              </w:divBdr>
            </w:div>
          </w:divsChild>
        </w:div>
        <w:div w:id="1481656972">
          <w:marLeft w:val="0"/>
          <w:marRight w:val="0"/>
          <w:marTop w:val="0"/>
          <w:marBottom w:val="0"/>
          <w:divBdr>
            <w:top w:val="none" w:sz="0" w:space="0" w:color="auto"/>
            <w:left w:val="none" w:sz="0" w:space="0" w:color="auto"/>
            <w:bottom w:val="none" w:sz="0" w:space="0" w:color="auto"/>
            <w:right w:val="none" w:sz="0" w:space="0" w:color="auto"/>
          </w:divBdr>
          <w:divsChild>
            <w:div w:id="2087413876">
              <w:marLeft w:val="-75"/>
              <w:marRight w:val="0"/>
              <w:marTop w:val="30"/>
              <w:marBottom w:val="30"/>
              <w:divBdr>
                <w:top w:val="none" w:sz="0" w:space="0" w:color="auto"/>
                <w:left w:val="none" w:sz="0" w:space="0" w:color="auto"/>
                <w:bottom w:val="none" w:sz="0" w:space="0" w:color="auto"/>
                <w:right w:val="none" w:sz="0" w:space="0" w:color="auto"/>
              </w:divBdr>
              <w:divsChild>
                <w:div w:id="98959584">
                  <w:marLeft w:val="0"/>
                  <w:marRight w:val="0"/>
                  <w:marTop w:val="0"/>
                  <w:marBottom w:val="0"/>
                  <w:divBdr>
                    <w:top w:val="none" w:sz="0" w:space="0" w:color="auto"/>
                    <w:left w:val="none" w:sz="0" w:space="0" w:color="auto"/>
                    <w:bottom w:val="none" w:sz="0" w:space="0" w:color="auto"/>
                    <w:right w:val="none" w:sz="0" w:space="0" w:color="auto"/>
                  </w:divBdr>
                  <w:divsChild>
                    <w:div w:id="1932859284">
                      <w:marLeft w:val="0"/>
                      <w:marRight w:val="0"/>
                      <w:marTop w:val="0"/>
                      <w:marBottom w:val="0"/>
                      <w:divBdr>
                        <w:top w:val="none" w:sz="0" w:space="0" w:color="auto"/>
                        <w:left w:val="none" w:sz="0" w:space="0" w:color="auto"/>
                        <w:bottom w:val="none" w:sz="0" w:space="0" w:color="auto"/>
                        <w:right w:val="none" w:sz="0" w:space="0" w:color="auto"/>
                      </w:divBdr>
                    </w:div>
                  </w:divsChild>
                </w:div>
                <w:div w:id="164252131">
                  <w:marLeft w:val="0"/>
                  <w:marRight w:val="0"/>
                  <w:marTop w:val="0"/>
                  <w:marBottom w:val="0"/>
                  <w:divBdr>
                    <w:top w:val="none" w:sz="0" w:space="0" w:color="auto"/>
                    <w:left w:val="none" w:sz="0" w:space="0" w:color="auto"/>
                    <w:bottom w:val="none" w:sz="0" w:space="0" w:color="auto"/>
                    <w:right w:val="none" w:sz="0" w:space="0" w:color="auto"/>
                  </w:divBdr>
                  <w:divsChild>
                    <w:div w:id="319889917">
                      <w:marLeft w:val="0"/>
                      <w:marRight w:val="0"/>
                      <w:marTop w:val="0"/>
                      <w:marBottom w:val="0"/>
                      <w:divBdr>
                        <w:top w:val="none" w:sz="0" w:space="0" w:color="auto"/>
                        <w:left w:val="none" w:sz="0" w:space="0" w:color="auto"/>
                        <w:bottom w:val="none" w:sz="0" w:space="0" w:color="auto"/>
                        <w:right w:val="none" w:sz="0" w:space="0" w:color="auto"/>
                      </w:divBdr>
                    </w:div>
                    <w:div w:id="596671093">
                      <w:marLeft w:val="0"/>
                      <w:marRight w:val="0"/>
                      <w:marTop w:val="0"/>
                      <w:marBottom w:val="0"/>
                      <w:divBdr>
                        <w:top w:val="none" w:sz="0" w:space="0" w:color="auto"/>
                        <w:left w:val="none" w:sz="0" w:space="0" w:color="auto"/>
                        <w:bottom w:val="none" w:sz="0" w:space="0" w:color="auto"/>
                        <w:right w:val="none" w:sz="0" w:space="0" w:color="auto"/>
                      </w:divBdr>
                    </w:div>
                  </w:divsChild>
                </w:div>
                <w:div w:id="347222526">
                  <w:marLeft w:val="0"/>
                  <w:marRight w:val="0"/>
                  <w:marTop w:val="0"/>
                  <w:marBottom w:val="0"/>
                  <w:divBdr>
                    <w:top w:val="none" w:sz="0" w:space="0" w:color="auto"/>
                    <w:left w:val="none" w:sz="0" w:space="0" w:color="auto"/>
                    <w:bottom w:val="none" w:sz="0" w:space="0" w:color="auto"/>
                    <w:right w:val="none" w:sz="0" w:space="0" w:color="auto"/>
                  </w:divBdr>
                  <w:divsChild>
                    <w:div w:id="1574240824">
                      <w:marLeft w:val="0"/>
                      <w:marRight w:val="0"/>
                      <w:marTop w:val="0"/>
                      <w:marBottom w:val="0"/>
                      <w:divBdr>
                        <w:top w:val="none" w:sz="0" w:space="0" w:color="auto"/>
                        <w:left w:val="none" w:sz="0" w:space="0" w:color="auto"/>
                        <w:bottom w:val="none" w:sz="0" w:space="0" w:color="auto"/>
                        <w:right w:val="none" w:sz="0" w:space="0" w:color="auto"/>
                      </w:divBdr>
                    </w:div>
                  </w:divsChild>
                </w:div>
                <w:div w:id="439031106">
                  <w:marLeft w:val="0"/>
                  <w:marRight w:val="0"/>
                  <w:marTop w:val="0"/>
                  <w:marBottom w:val="0"/>
                  <w:divBdr>
                    <w:top w:val="none" w:sz="0" w:space="0" w:color="auto"/>
                    <w:left w:val="none" w:sz="0" w:space="0" w:color="auto"/>
                    <w:bottom w:val="none" w:sz="0" w:space="0" w:color="auto"/>
                    <w:right w:val="none" w:sz="0" w:space="0" w:color="auto"/>
                  </w:divBdr>
                  <w:divsChild>
                    <w:div w:id="1990551189">
                      <w:marLeft w:val="0"/>
                      <w:marRight w:val="0"/>
                      <w:marTop w:val="0"/>
                      <w:marBottom w:val="0"/>
                      <w:divBdr>
                        <w:top w:val="none" w:sz="0" w:space="0" w:color="auto"/>
                        <w:left w:val="none" w:sz="0" w:space="0" w:color="auto"/>
                        <w:bottom w:val="none" w:sz="0" w:space="0" w:color="auto"/>
                        <w:right w:val="none" w:sz="0" w:space="0" w:color="auto"/>
                      </w:divBdr>
                    </w:div>
                  </w:divsChild>
                </w:div>
                <w:div w:id="955520578">
                  <w:marLeft w:val="0"/>
                  <w:marRight w:val="0"/>
                  <w:marTop w:val="0"/>
                  <w:marBottom w:val="0"/>
                  <w:divBdr>
                    <w:top w:val="none" w:sz="0" w:space="0" w:color="auto"/>
                    <w:left w:val="none" w:sz="0" w:space="0" w:color="auto"/>
                    <w:bottom w:val="none" w:sz="0" w:space="0" w:color="auto"/>
                    <w:right w:val="none" w:sz="0" w:space="0" w:color="auto"/>
                  </w:divBdr>
                  <w:divsChild>
                    <w:div w:id="1536039215">
                      <w:marLeft w:val="0"/>
                      <w:marRight w:val="0"/>
                      <w:marTop w:val="0"/>
                      <w:marBottom w:val="0"/>
                      <w:divBdr>
                        <w:top w:val="none" w:sz="0" w:space="0" w:color="auto"/>
                        <w:left w:val="none" w:sz="0" w:space="0" w:color="auto"/>
                        <w:bottom w:val="none" w:sz="0" w:space="0" w:color="auto"/>
                        <w:right w:val="none" w:sz="0" w:space="0" w:color="auto"/>
                      </w:divBdr>
                    </w:div>
                  </w:divsChild>
                </w:div>
                <w:div w:id="1239631312">
                  <w:marLeft w:val="0"/>
                  <w:marRight w:val="0"/>
                  <w:marTop w:val="0"/>
                  <w:marBottom w:val="0"/>
                  <w:divBdr>
                    <w:top w:val="none" w:sz="0" w:space="0" w:color="auto"/>
                    <w:left w:val="none" w:sz="0" w:space="0" w:color="auto"/>
                    <w:bottom w:val="none" w:sz="0" w:space="0" w:color="auto"/>
                    <w:right w:val="none" w:sz="0" w:space="0" w:color="auto"/>
                  </w:divBdr>
                  <w:divsChild>
                    <w:div w:id="1972637329">
                      <w:marLeft w:val="0"/>
                      <w:marRight w:val="0"/>
                      <w:marTop w:val="0"/>
                      <w:marBottom w:val="0"/>
                      <w:divBdr>
                        <w:top w:val="none" w:sz="0" w:space="0" w:color="auto"/>
                        <w:left w:val="none" w:sz="0" w:space="0" w:color="auto"/>
                        <w:bottom w:val="none" w:sz="0" w:space="0" w:color="auto"/>
                        <w:right w:val="none" w:sz="0" w:space="0" w:color="auto"/>
                      </w:divBdr>
                    </w:div>
                  </w:divsChild>
                </w:div>
                <w:div w:id="1690180530">
                  <w:marLeft w:val="0"/>
                  <w:marRight w:val="0"/>
                  <w:marTop w:val="0"/>
                  <w:marBottom w:val="0"/>
                  <w:divBdr>
                    <w:top w:val="none" w:sz="0" w:space="0" w:color="auto"/>
                    <w:left w:val="none" w:sz="0" w:space="0" w:color="auto"/>
                    <w:bottom w:val="none" w:sz="0" w:space="0" w:color="auto"/>
                    <w:right w:val="none" w:sz="0" w:space="0" w:color="auto"/>
                  </w:divBdr>
                  <w:divsChild>
                    <w:div w:id="342634609">
                      <w:marLeft w:val="0"/>
                      <w:marRight w:val="0"/>
                      <w:marTop w:val="0"/>
                      <w:marBottom w:val="0"/>
                      <w:divBdr>
                        <w:top w:val="none" w:sz="0" w:space="0" w:color="auto"/>
                        <w:left w:val="none" w:sz="0" w:space="0" w:color="auto"/>
                        <w:bottom w:val="none" w:sz="0" w:space="0" w:color="auto"/>
                        <w:right w:val="none" w:sz="0" w:space="0" w:color="auto"/>
                      </w:divBdr>
                    </w:div>
                  </w:divsChild>
                </w:div>
                <w:div w:id="1763257239">
                  <w:marLeft w:val="0"/>
                  <w:marRight w:val="0"/>
                  <w:marTop w:val="0"/>
                  <w:marBottom w:val="0"/>
                  <w:divBdr>
                    <w:top w:val="none" w:sz="0" w:space="0" w:color="auto"/>
                    <w:left w:val="none" w:sz="0" w:space="0" w:color="auto"/>
                    <w:bottom w:val="none" w:sz="0" w:space="0" w:color="auto"/>
                    <w:right w:val="none" w:sz="0" w:space="0" w:color="auto"/>
                  </w:divBdr>
                  <w:divsChild>
                    <w:div w:id="527986445">
                      <w:marLeft w:val="0"/>
                      <w:marRight w:val="0"/>
                      <w:marTop w:val="0"/>
                      <w:marBottom w:val="0"/>
                      <w:divBdr>
                        <w:top w:val="none" w:sz="0" w:space="0" w:color="auto"/>
                        <w:left w:val="none" w:sz="0" w:space="0" w:color="auto"/>
                        <w:bottom w:val="none" w:sz="0" w:space="0" w:color="auto"/>
                        <w:right w:val="none" w:sz="0" w:space="0" w:color="auto"/>
                      </w:divBdr>
                    </w:div>
                  </w:divsChild>
                </w:div>
                <w:div w:id="1821580956">
                  <w:marLeft w:val="0"/>
                  <w:marRight w:val="0"/>
                  <w:marTop w:val="0"/>
                  <w:marBottom w:val="0"/>
                  <w:divBdr>
                    <w:top w:val="none" w:sz="0" w:space="0" w:color="auto"/>
                    <w:left w:val="none" w:sz="0" w:space="0" w:color="auto"/>
                    <w:bottom w:val="none" w:sz="0" w:space="0" w:color="auto"/>
                    <w:right w:val="none" w:sz="0" w:space="0" w:color="auto"/>
                  </w:divBdr>
                  <w:divsChild>
                    <w:div w:id="709378589">
                      <w:marLeft w:val="0"/>
                      <w:marRight w:val="0"/>
                      <w:marTop w:val="0"/>
                      <w:marBottom w:val="0"/>
                      <w:divBdr>
                        <w:top w:val="none" w:sz="0" w:space="0" w:color="auto"/>
                        <w:left w:val="none" w:sz="0" w:space="0" w:color="auto"/>
                        <w:bottom w:val="none" w:sz="0" w:space="0" w:color="auto"/>
                        <w:right w:val="none" w:sz="0" w:space="0" w:color="auto"/>
                      </w:divBdr>
                    </w:div>
                  </w:divsChild>
                </w:div>
                <w:div w:id="1832090877">
                  <w:marLeft w:val="0"/>
                  <w:marRight w:val="0"/>
                  <w:marTop w:val="0"/>
                  <w:marBottom w:val="0"/>
                  <w:divBdr>
                    <w:top w:val="none" w:sz="0" w:space="0" w:color="auto"/>
                    <w:left w:val="none" w:sz="0" w:space="0" w:color="auto"/>
                    <w:bottom w:val="none" w:sz="0" w:space="0" w:color="auto"/>
                    <w:right w:val="none" w:sz="0" w:space="0" w:color="auto"/>
                  </w:divBdr>
                  <w:divsChild>
                    <w:div w:id="8023671">
                      <w:marLeft w:val="0"/>
                      <w:marRight w:val="0"/>
                      <w:marTop w:val="0"/>
                      <w:marBottom w:val="0"/>
                      <w:divBdr>
                        <w:top w:val="none" w:sz="0" w:space="0" w:color="auto"/>
                        <w:left w:val="none" w:sz="0" w:space="0" w:color="auto"/>
                        <w:bottom w:val="none" w:sz="0" w:space="0" w:color="auto"/>
                        <w:right w:val="none" w:sz="0" w:space="0" w:color="auto"/>
                      </w:divBdr>
                    </w:div>
                    <w:div w:id="87428611">
                      <w:marLeft w:val="0"/>
                      <w:marRight w:val="0"/>
                      <w:marTop w:val="0"/>
                      <w:marBottom w:val="0"/>
                      <w:divBdr>
                        <w:top w:val="none" w:sz="0" w:space="0" w:color="auto"/>
                        <w:left w:val="none" w:sz="0" w:space="0" w:color="auto"/>
                        <w:bottom w:val="none" w:sz="0" w:space="0" w:color="auto"/>
                        <w:right w:val="none" w:sz="0" w:space="0" w:color="auto"/>
                      </w:divBdr>
                    </w:div>
                    <w:div w:id="453138157">
                      <w:marLeft w:val="0"/>
                      <w:marRight w:val="0"/>
                      <w:marTop w:val="0"/>
                      <w:marBottom w:val="0"/>
                      <w:divBdr>
                        <w:top w:val="none" w:sz="0" w:space="0" w:color="auto"/>
                        <w:left w:val="none" w:sz="0" w:space="0" w:color="auto"/>
                        <w:bottom w:val="none" w:sz="0" w:space="0" w:color="auto"/>
                        <w:right w:val="none" w:sz="0" w:space="0" w:color="auto"/>
                      </w:divBdr>
                    </w:div>
                    <w:div w:id="1708721806">
                      <w:marLeft w:val="0"/>
                      <w:marRight w:val="0"/>
                      <w:marTop w:val="0"/>
                      <w:marBottom w:val="0"/>
                      <w:divBdr>
                        <w:top w:val="none" w:sz="0" w:space="0" w:color="auto"/>
                        <w:left w:val="none" w:sz="0" w:space="0" w:color="auto"/>
                        <w:bottom w:val="none" w:sz="0" w:space="0" w:color="auto"/>
                        <w:right w:val="none" w:sz="0" w:space="0" w:color="auto"/>
                      </w:divBdr>
                    </w:div>
                    <w:div w:id="2075814188">
                      <w:marLeft w:val="0"/>
                      <w:marRight w:val="0"/>
                      <w:marTop w:val="0"/>
                      <w:marBottom w:val="0"/>
                      <w:divBdr>
                        <w:top w:val="none" w:sz="0" w:space="0" w:color="auto"/>
                        <w:left w:val="none" w:sz="0" w:space="0" w:color="auto"/>
                        <w:bottom w:val="none" w:sz="0" w:space="0" w:color="auto"/>
                        <w:right w:val="none" w:sz="0" w:space="0" w:color="auto"/>
                      </w:divBdr>
                    </w:div>
                  </w:divsChild>
                </w:div>
                <w:div w:id="1904875758">
                  <w:marLeft w:val="0"/>
                  <w:marRight w:val="0"/>
                  <w:marTop w:val="0"/>
                  <w:marBottom w:val="0"/>
                  <w:divBdr>
                    <w:top w:val="none" w:sz="0" w:space="0" w:color="auto"/>
                    <w:left w:val="none" w:sz="0" w:space="0" w:color="auto"/>
                    <w:bottom w:val="none" w:sz="0" w:space="0" w:color="auto"/>
                    <w:right w:val="none" w:sz="0" w:space="0" w:color="auto"/>
                  </w:divBdr>
                  <w:divsChild>
                    <w:div w:id="1961914075">
                      <w:marLeft w:val="0"/>
                      <w:marRight w:val="0"/>
                      <w:marTop w:val="0"/>
                      <w:marBottom w:val="0"/>
                      <w:divBdr>
                        <w:top w:val="none" w:sz="0" w:space="0" w:color="auto"/>
                        <w:left w:val="none" w:sz="0" w:space="0" w:color="auto"/>
                        <w:bottom w:val="none" w:sz="0" w:space="0" w:color="auto"/>
                        <w:right w:val="none" w:sz="0" w:space="0" w:color="auto"/>
                      </w:divBdr>
                    </w:div>
                  </w:divsChild>
                </w:div>
                <w:div w:id="1909072124">
                  <w:marLeft w:val="0"/>
                  <w:marRight w:val="0"/>
                  <w:marTop w:val="0"/>
                  <w:marBottom w:val="0"/>
                  <w:divBdr>
                    <w:top w:val="none" w:sz="0" w:space="0" w:color="auto"/>
                    <w:left w:val="none" w:sz="0" w:space="0" w:color="auto"/>
                    <w:bottom w:val="none" w:sz="0" w:space="0" w:color="auto"/>
                    <w:right w:val="none" w:sz="0" w:space="0" w:color="auto"/>
                  </w:divBdr>
                  <w:divsChild>
                    <w:div w:id="1691300674">
                      <w:marLeft w:val="0"/>
                      <w:marRight w:val="0"/>
                      <w:marTop w:val="0"/>
                      <w:marBottom w:val="0"/>
                      <w:divBdr>
                        <w:top w:val="none" w:sz="0" w:space="0" w:color="auto"/>
                        <w:left w:val="none" w:sz="0" w:space="0" w:color="auto"/>
                        <w:bottom w:val="none" w:sz="0" w:space="0" w:color="auto"/>
                        <w:right w:val="none" w:sz="0" w:space="0" w:color="auto"/>
                      </w:divBdr>
                    </w:div>
                  </w:divsChild>
                </w:div>
                <w:div w:id="1933276154">
                  <w:marLeft w:val="0"/>
                  <w:marRight w:val="0"/>
                  <w:marTop w:val="0"/>
                  <w:marBottom w:val="0"/>
                  <w:divBdr>
                    <w:top w:val="none" w:sz="0" w:space="0" w:color="auto"/>
                    <w:left w:val="none" w:sz="0" w:space="0" w:color="auto"/>
                    <w:bottom w:val="none" w:sz="0" w:space="0" w:color="auto"/>
                    <w:right w:val="none" w:sz="0" w:space="0" w:color="auto"/>
                  </w:divBdr>
                  <w:divsChild>
                    <w:div w:id="402148450">
                      <w:marLeft w:val="0"/>
                      <w:marRight w:val="0"/>
                      <w:marTop w:val="0"/>
                      <w:marBottom w:val="0"/>
                      <w:divBdr>
                        <w:top w:val="none" w:sz="0" w:space="0" w:color="auto"/>
                        <w:left w:val="none" w:sz="0" w:space="0" w:color="auto"/>
                        <w:bottom w:val="none" w:sz="0" w:space="0" w:color="auto"/>
                        <w:right w:val="none" w:sz="0" w:space="0" w:color="auto"/>
                      </w:divBdr>
                    </w:div>
                  </w:divsChild>
                </w:div>
                <w:div w:id="2062823627">
                  <w:marLeft w:val="0"/>
                  <w:marRight w:val="0"/>
                  <w:marTop w:val="0"/>
                  <w:marBottom w:val="0"/>
                  <w:divBdr>
                    <w:top w:val="none" w:sz="0" w:space="0" w:color="auto"/>
                    <w:left w:val="none" w:sz="0" w:space="0" w:color="auto"/>
                    <w:bottom w:val="none" w:sz="0" w:space="0" w:color="auto"/>
                    <w:right w:val="none" w:sz="0" w:space="0" w:color="auto"/>
                  </w:divBdr>
                  <w:divsChild>
                    <w:div w:id="15248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7904">
          <w:marLeft w:val="0"/>
          <w:marRight w:val="0"/>
          <w:marTop w:val="0"/>
          <w:marBottom w:val="0"/>
          <w:divBdr>
            <w:top w:val="none" w:sz="0" w:space="0" w:color="auto"/>
            <w:left w:val="none" w:sz="0" w:space="0" w:color="auto"/>
            <w:bottom w:val="none" w:sz="0" w:space="0" w:color="auto"/>
            <w:right w:val="none" w:sz="0" w:space="0" w:color="auto"/>
          </w:divBdr>
        </w:div>
        <w:div w:id="1615212629">
          <w:marLeft w:val="0"/>
          <w:marRight w:val="0"/>
          <w:marTop w:val="0"/>
          <w:marBottom w:val="0"/>
          <w:divBdr>
            <w:top w:val="none" w:sz="0" w:space="0" w:color="auto"/>
            <w:left w:val="none" w:sz="0" w:space="0" w:color="auto"/>
            <w:bottom w:val="none" w:sz="0" w:space="0" w:color="auto"/>
            <w:right w:val="none" w:sz="0" w:space="0" w:color="auto"/>
          </w:divBdr>
          <w:divsChild>
            <w:div w:id="123619872">
              <w:marLeft w:val="0"/>
              <w:marRight w:val="0"/>
              <w:marTop w:val="0"/>
              <w:marBottom w:val="0"/>
              <w:divBdr>
                <w:top w:val="none" w:sz="0" w:space="0" w:color="auto"/>
                <w:left w:val="none" w:sz="0" w:space="0" w:color="auto"/>
                <w:bottom w:val="none" w:sz="0" w:space="0" w:color="auto"/>
                <w:right w:val="none" w:sz="0" w:space="0" w:color="auto"/>
              </w:divBdr>
            </w:div>
            <w:div w:id="957567752">
              <w:marLeft w:val="0"/>
              <w:marRight w:val="0"/>
              <w:marTop w:val="0"/>
              <w:marBottom w:val="0"/>
              <w:divBdr>
                <w:top w:val="none" w:sz="0" w:space="0" w:color="auto"/>
                <w:left w:val="none" w:sz="0" w:space="0" w:color="auto"/>
                <w:bottom w:val="none" w:sz="0" w:space="0" w:color="auto"/>
                <w:right w:val="none" w:sz="0" w:space="0" w:color="auto"/>
              </w:divBdr>
            </w:div>
            <w:div w:id="1216313632">
              <w:marLeft w:val="0"/>
              <w:marRight w:val="0"/>
              <w:marTop w:val="0"/>
              <w:marBottom w:val="0"/>
              <w:divBdr>
                <w:top w:val="none" w:sz="0" w:space="0" w:color="auto"/>
                <w:left w:val="none" w:sz="0" w:space="0" w:color="auto"/>
                <w:bottom w:val="none" w:sz="0" w:space="0" w:color="auto"/>
                <w:right w:val="none" w:sz="0" w:space="0" w:color="auto"/>
              </w:divBdr>
            </w:div>
            <w:div w:id="1281885667">
              <w:marLeft w:val="0"/>
              <w:marRight w:val="0"/>
              <w:marTop w:val="0"/>
              <w:marBottom w:val="0"/>
              <w:divBdr>
                <w:top w:val="none" w:sz="0" w:space="0" w:color="auto"/>
                <w:left w:val="none" w:sz="0" w:space="0" w:color="auto"/>
                <w:bottom w:val="none" w:sz="0" w:space="0" w:color="auto"/>
                <w:right w:val="none" w:sz="0" w:space="0" w:color="auto"/>
              </w:divBdr>
            </w:div>
            <w:div w:id="1459252827">
              <w:marLeft w:val="0"/>
              <w:marRight w:val="0"/>
              <w:marTop w:val="0"/>
              <w:marBottom w:val="0"/>
              <w:divBdr>
                <w:top w:val="none" w:sz="0" w:space="0" w:color="auto"/>
                <w:left w:val="none" w:sz="0" w:space="0" w:color="auto"/>
                <w:bottom w:val="none" w:sz="0" w:space="0" w:color="auto"/>
                <w:right w:val="none" w:sz="0" w:space="0" w:color="auto"/>
              </w:divBdr>
            </w:div>
          </w:divsChild>
        </w:div>
        <w:div w:id="1617907608">
          <w:marLeft w:val="0"/>
          <w:marRight w:val="0"/>
          <w:marTop w:val="0"/>
          <w:marBottom w:val="0"/>
          <w:divBdr>
            <w:top w:val="none" w:sz="0" w:space="0" w:color="auto"/>
            <w:left w:val="none" w:sz="0" w:space="0" w:color="auto"/>
            <w:bottom w:val="none" w:sz="0" w:space="0" w:color="auto"/>
            <w:right w:val="none" w:sz="0" w:space="0" w:color="auto"/>
          </w:divBdr>
        </w:div>
        <w:div w:id="1663848632">
          <w:marLeft w:val="0"/>
          <w:marRight w:val="0"/>
          <w:marTop w:val="0"/>
          <w:marBottom w:val="0"/>
          <w:divBdr>
            <w:top w:val="none" w:sz="0" w:space="0" w:color="auto"/>
            <w:left w:val="none" w:sz="0" w:space="0" w:color="auto"/>
            <w:bottom w:val="none" w:sz="0" w:space="0" w:color="auto"/>
            <w:right w:val="none" w:sz="0" w:space="0" w:color="auto"/>
          </w:divBdr>
        </w:div>
        <w:div w:id="1668165783">
          <w:marLeft w:val="0"/>
          <w:marRight w:val="0"/>
          <w:marTop w:val="0"/>
          <w:marBottom w:val="0"/>
          <w:divBdr>
            <w:top w:val="none" w:sz="0" w:space="0" w:color="auto"/>
            <w:left w:val="none" w:sz="0" w:space="0" w:color="auto"/>
            <w:bottom w:val="none" w:sz="0" w:space="0" w:color="auto"/>
            <w:right w:val="none" w:sz="0" w:space="0" w:color="auto"/>
          </w:divBdr>
          <w:divsChild>
            <w:div w:id="224268320">
              <w:marLeft w:val="0"/>
              <w:marRight w:val="0"/>
              <w:marTop w:val="0"/>
              <w:marBottom w:val="0"/>
              <w:divBdr>
                <w:top w:val="none" w:sz="0" w:space="0" w:color="auto"/>
                <w:left w:val="none" w:sz="0" w:space="0" w:color="auto"/>
                <w:bottom w:val="none" w:sz="0" w:space="0" w:color="auto"/>
                <w:right w:val="none" w:sz="0" w:space="0" w:color="auto"/>
              </w:divBdr>
            </w:div>
            <w:div w:id="580220758">
              <w:marLeft w:val="0"/>
              <w:marRight w:val="0"/>
              <w:marTop w:val="0"/>
              <w:marBottom w:val="0"/>
              <w:divBdr>
                <w:top w:val="none" w:sz="0" w:space="0" w:color="auto"/>
                <w:left w:val="none" w:sz="0" w:space="0" w:color="auto"/>
                <w:bottom w:val="none" w:sz="0" w:space="0" w:color="auto"/>
                <w:right w:val="none" w:sz="0" w:space="0" w:color="auto"/>
              </w:divBdr>
            </w:div>
            <w:div w:id="921715387">
              <w:marLeft w:val="0"/>
              <w:marRight w:val="0"/>
              <w:marTop w:val="0"/>
              <w:marBottom w:val="0"/>
              <w:divBdr>
                <w:top w:val="none" w:sz="0" w:space="0" w:color="auto"/>
                <w:left w:val="none" w:sz="0" w:space="0" w:color="auto"/>
                <w:bottom w:val="none" w:sz="0" w:space="0" w:color="auto"/>
                <w:right w:val="none" w:sz="0" w:space="0" w:color="auto"/>
              </w:divBdr>
            </w:div>
            <w:div w:id="1004286175">
              <w:marLeft w:val="0"/>
              <w:marRight w:val="0"/>
              <w:marTop w:val="0"/>
              <w:marBottom w:val="0"/>
              <w:divBdr>
                <w:top w:val="none" w:sz="0" w:space="0" w:color="auto"/>
                <w:left w:val="none" w:sz="0" w:space="0" w:color="auto"/>
                <w:bottom w:val="none" w:sz="0" w:space="0" w:color="auto"/>
                <w:right w:val="none" w:sz="0" w:space="0" w:color="auto"/>
              </w:divBdr>
            </w:div>
            <w:div w:id="1842349838">
              <w:marLeft w:val="0"/>
              <w:marRight w:val="0"/>
              <w:marTop w:val="0"/>
              <w:marBottom w:val="0"/>
              <w:divBdr>
                <w:top w:val="none" w:sz="0" w:space="0" w:color="auto"/>
                <w:left w:val="none" w:sz="0" w:space="0" w:color="auto"/>
                <w:bottom w:val="none" w:sz="0" w:space="0" w:color="auto"/>
                <w:right w:val="none" w:sz="0" w:space="0" w:color="auto"/>
              </w:divBdr>
            </w:div>
          </w:divsChild>
        </w:div>
        <w:div w:id="1720127866">
          <w:marLeft w:val="0"/>
          <w:marRight w:val="0"/>
          <w:marTop w:val="0"/>
          <w:marBottom w:val="0"/>
          <w:divBdr>
            <w:top w:val="none" w:sz="0" w:space="0" w:color="auto"/>
            <w:left w:val="none" w:sz="0" w:space="0" w:color="auto"/>
            <w:bottom w:val="none" w:sz="0" w:space="0" w:color="auto"/>
            <w:right w:val="none" w:sz="0" w:space="0" w:color="auto"/>
          </w:divBdr>
        </w:div>
        <w:div w:id="1832065034">
          <w:marLeft w:val="0"/>
          <w:marRight w:val="0"/>
          <w:marTop w:val="0"/>
          <w:marBottom w:val="0"/>
          <w:divBdr>
            <w:top w:val="none" w:sz="0" w:space="0" w:color="auto"/>
            <w:left w:val="none" w:sz="0" w:space="0" w:color="auto"/>
            <w:bottom w:val="none" w:sz="0" w:space="0" w:color="auto"/>
            <w:right w:val="none" w:sz="0" w:space="0" w:color="auto"/>
          </w:divBdr>
        </w:div>
        <w:div w:id="1843857367">
          <w:marLeft w:val="0"/>
          <w:marRight w:val="0"/>
          <w:marTop w:val="0"/>
          <w:marBottom w:val="0"/>
          <w:divBdr>
            <w:top w:val="none" w:sz="0" w:space="0" w:color="auto"/>
            <w:left w:val="none" w:sz="0" w:space="0" w:color="auto"/>
            <w:bottom w:val="none" w:sz="0" w:space="0" w:color="auto"/>
            <w:right w:val="none" w:sz="0" w:space="0" w:color="auto"/>
          </w:divBdr>
        </w:div>
        <w:div w:id="1869874575">
          <w:marLeft w:val="0"/>
          <w:marRight w:val="0"/>
          <w:marTop w:val="0"/>
          <w:marBottom w:val="0"/>
          <w:divBdr>
            <w:top w:val="none" w:sz="0" w:space="0" w:color="auto"/>
            <w:left w:val="none" w:sz="0" w:space="0" w:color="auto"/>
            <w:bottom w:val="none" w:sz="0" w:space="0" w:color="auto"/>
            <w:right w:val="none" w:sz="0" w:space="0" w:color="auto"/>
          </w:divBdr>
        </w:div>
        <w:div w:id="1941639518">
          <w:marLeft w:val="0"/>
          <w:marRight w:val="0"/>
          <w:marTop w:val="0"/>
          <w:marBottom w:val="0"/>
          <w:divBdr>
            <w:top w:val="none" w:sz="0" w:space="0" w:color="auto"/>
            <w:left w:val="none" w:sz="0" w:space="0" w:color="auto"/>
            <w:bottom w:val="none" w:sz="0" w:space="0" w:color="auto"/>
            <w:right w:val="none" w:sz="0" w:space="0" w:color="auto"/>
          </w:divBdr>
          <w:divsChild>
            <w:div w:id="2087258296">
              <w:marLeft w:val="0"/>
              <w:marRight w:val="0"/>
              <w:marTop w:val="0"/>
              <w:marBottom w:val="0"/>
              <w:divBdr>
                <w:top w:val="none" w:sz="0" w:space="0" w:color="auto"/>
                <w:left w:val="none" w:sz="0" w:space="0" w:color="auto"/>
                <w:bottom w:val="none" w:sz="0" w:space="0" w:color="auto"/>
                <w:right w:val="none" w:sz="0" w:space="0" w:color="auto"/>
              </w:divBdr>
            </w:div>
          </w:divsChild>
        </w:div>
        <w:div w:id="1951816816">
          <w:marLeft w:val="0"/>
          <w:marRight w:val="0"/>
          <w:marTop w:val="0"/>
          <w:marBottom w:val="0"/>
          <w:divBdr>
            <w:top w:val="none" w:sz="0" w:space="0" w:color="auto"/>
            <w:left w:val="none" w:sz="0" w:space="0" w:color="auto"/>
            <w:bottom w:val="none" w:sz="0" w:space="0" w:color="auto"/>
            <w:right w:val="none" w:sz="0" w:space="0" w:color="auto"/>
          </w:divBdr>
        </w:div>
        <w:div w:id="1994409943">
          <w:marLeft w:val="0"/>
          <w:marRight w:val="0"/>
          <w:marTop w:val="0"/>
          <w:marBottom w:val="0"/>
          <w:divBdr>
            <w:top w:val="none" w:sz="0" w:space="0" w:color="auto"/>
            <w:left w:val="none" w:sz="0" w:space="0" w:color="auto"/>
            <w:bottom w:val="none" w:sz="0" w:space="0" w:color="auto"/>
            <w:right w:val="none" w:sz="0" w:space="0" w:color="auto"/>
          </w:divBdr>
        </w:div>
        <w:div w:id="2091849859">
          <w:marLeft w:val="0"/>
          <w:marRight w:val="0"/>
          <w:marTop w:val="0"/>
          <w:marBottom w:val="0"/>
          <w:divBdr>
            <w:top w:val="none" w:sz="0" w:space="0" w:color="auto"/>
            <w:left w:val="none" w:sz="0" w:space="0" w:color="auto"/>
            <w:bottom w:val="none" w:sz="0" w:space="0" w:color="auto"/>
            <w:right w:val="none" w:sz="0" w:space="0" w:color="auto"/>
          </w:divBdr>
        </w:div>
      </w:divsChild>
    </w:div>
    <w:div w:id="1294481857">
      <w:bodyDiv w:val="1"/>
      <w:marLeft w:val="0"/>
      <w:marRight w:val="0"/>
      <w:marTop w:val="0"/>
      <w:marBottom w:val="0"/>
      <w:divBdr>
        <w:top w:val="none" w:sz="0" w:space="0" w:color="auto"/>
        <w:left w:val="none" w:sz="0" w:space="0" w:color="auto"/>
        <w:bottom w:val="none" w:sz="0" w:space="0" w:color="auto"/>
        <w:right w:val="none" w:sz="0" w:space="0" w:color="auto"/>
      </w:divBdr>
    </w:div>
    <w:div w:id="1336300158">
      <w:bodyDiv w:val="1"/>
      <w:marLeft w:val="0"/>
      <w:marRight w:val="0"/>
      <w:marTop w:val="0"/>
      <w:marBottom w:val="0"/>
      <w:divBdr>
        <w:top w:val="none" w:sz="0" w:space="0" w:color="auto"/>
        <w:left w:val="none" w:sz="0" w:space="0" w:color="auto"/>
        <w:bottom w:val="none" w:sz="0" w:space="0" w:color="auto"/>
        <w:right w:val="none" w:sz="0" w:space="0" w:color="auto"/>
      </w:divBdr>
    </w:div>
    <w:div w:id="1410729328">
      <w:bodyDiv w:val="1"/>
      <w:marLeft w:val="0"/>
      <w:marRight w:val="0"/>
      <w:marTop w:val="0"/>
      <w:marBottom w:val="0"/>
      <w:divBdr>
        <w:top w:val="none" w:sz="0" w:space="0" w:color="auto"/>
        <w:left w:val="none" w:sz="0" w:space="0" w:color="auto"/>
        <w:bottom w:val="none" w:sz="0" w:space="0" w:color="auto"/>
        <w:right w:val="none" w:sz="0" w:space="0" w:color="auto"/>
      </w:divBdr>
      <w:divsChild>
        <w:div w:id="82460622">
          <w:marLeft w:val="0"/>
          <w:marRight w:val="0"/>
          <w:marTop w:val="0"/>
          <w:marBottom w:val="0"/>
          <w:divBdr>
            <w:top w:val="none" w:sz="0" w:space="0" w:color="auto"/>
            <w:left w:val="none" w:sz="0" w:space="0" w:color="auto"/>
            <w:bottom w:val="none" w:sz="0" w:space="0" w:color="auto"/>
            <w:right w:val="none" w:sz="0" w:space="0" w:color="auto"/>
          </w:divBdr>
        </w:div>
        <w:div w:id="104690621">
          <w:marLeft w:val="0"/>
          <w:marRight w:val="0"/>
          <w:marTop w:val="0"/>
          <w:marBottom w:val="0"/>
          <w:divBdr>
            <w:top w:val="none" w:sz="0" w:space="0" w:color="auto"/>
            <w:left w:val="none" w:sz="0" w:space="0" w:color="auto"/>
            <w:bottom w:val="none" w:sz="0" w:space="0" w:color="auto"/>
            <w:right w:val="none" w:sz="0" w:space="0" w:color="auto"/>
          </w:divBdr>
        </w:div>
        <w:div w:id="140267859">
          <w:marLeft w:val="0"/>
          <w:marRight w:val="0"/>
          <w:marTop w:val="0"/>
          <w:marBottom w:val="0"/>
          <w:divBdr>
            <w:top w:val="none" w:sz="0" w:space="0" w:color="auto"/>
            <w:left w:val="none" w:sz="0" w:space="0" w:color="auto"/>
            <w:bottom w:val="none" w:sz="0" w:space="0" w:color="auto"/>
            <w:right w:val="none" w:sz="0" w:space="0" w:color="auto"/>
          </w:divBdr>
        </w:div>
        <w:div w:id="311907324">
          <w:marLeft w:val="0"/>
          <w:marRight w:val="0"/>
          <w:marTop w:val="0"/>
          <w:marBottom w:val="0"/>
          <w:divBdr>
            <w:top w:val="none" w:sz="0" w:space="0" w:color="auto"/>
            <w:left w:val="none" w:sz="0" w:space="0" w:color="auto"/>
            <w:bottom w:val="none" w:sz="0" w:space="0" w:color="auto"/>
            <w:right w:val="none" w:sz="0" w:space="0" w:color="auto"/>
          </w:divBdr>
        </w:div>
        <w:div w:id="1503815094">
          <w:marLeft w:val="0"/>
          <w:marRight w:val="0"/>
          <w:marTop w:val="0"/>
          <w:marBottom w:val="0"/>
          <w:divBdr>
            <w:top w:val="none" w:sz="0" w:space="0" w:color="auto"/>
            <w:left w:val="none" w:sz="0" w:space="0" w:color="auto"/>
            <w:bottom w:val="none" w:sz="0" w:space="0" w:color="auto"/>
            <w:right w:val="none" w:sz="0" w:space="0" w:color="auto"/>
          </w:divBdr>
        </w:div>
      </w:divsChild>
    </w:div>
    <w:div w:id="1414280383">
      <w:bodyDiv w:val="1"/>
      <w:marLeft w:val="0"/>
      <w:marRight w:val="0"/>
      <w:marTop w:val="0"/>
      <w:marBottom w:val="0"/>
      <w:divBdr>
        <w:top w:val="none" w:sz="0" w:space="0" w:color="auto"/>
        <w:left w:val="none" w:sz="0" w:space="0" w:color="auto"/>
        <w:bottom w:val="none" w:sz="0" w:space="0" w:color="auto"/>
        <w:right w:val="none" w:sz="0" w:space="0" w:color="auto"/>
      </w:divBdr>
      <w:divsChild>
        <w:div w:id="9527659">
          <w:marLeft w:val="0"/>
          <w:marRight w:val="0"/>
          <w:marTop w:val="0"/>
          <w:marBottom w:val="0"/>
          <w:divBdr>
            <w:top w:val="none" w:sz="0" w:space="0" w:color="auto"/>
            <w:left w:val="none" w:sz="0" w:space="0" w:color="auto"/>
            <w:bottom w:val="none" w:sz="0" w:space="0" w:color="auto"/>
            <w:right w:val="none" w:sz="0" w:space="0" w:color="auto"/>
          </w:divBdr>
          <w:divsChild>
            <w:div w:id="447773001">
              <w:marLeft w:val="0"/>
              <w:marRight w:val="0"/>
              <w:marTop w:val="0"/>
              <w:marBottom w:val="0"/>
              <w:divBdr>
                <w:top w:val="none" w:sz="0" w:space="0" w:color="auto"/>
                <w:left w:val="none" w:sz="0" w:space="0" w:color="auto"/>
                <w:bottom w:val="none" w:sz="0" w:space="0" w:color="auto"/>
                <w:right w:val="none" w:sz="0" w:space="0" w:color="auto"/>
              </w:divBdr>
            </w:div>
          </w:divsChild>
        </w:div>
        <w:div w:id="10423984">
          <w:marLeft w:val="0"/>
          <w:marRight w:val="0"/>
          <w:marTop w:val="0"/>
          <w:marBottom w:val="0"/>
          <w:divBdr>
            <w:top w:val="none" w:sz="0" w:space="0" w:color="auto"/>
            <w:left w:val="none" w:sz="0" w:space="0" w:color="auto"/>
            <w:bottom w:val="none" w:sz="0" w:space="0" w:color="auto"/>
            <w:right w:val="none" w:sz="0" w:space="0" w:color="auto"/>
          </w:divBdr>
          <w:divsChild>
            <w:div w:id="1675035088">
              <w:marLeft w:val="0"/>
              <w:marRight w:val="0"/>
              <w:marTop w:val="0"/>
              <w:marBottom w:val="0"/>
              <w:divBdr>
                <w:top w:val="none" w:sz="0" w:space="0" w:color="auto"/>
                <w:left w:val="none" w:sz="0" w:space="0" w:color="auto"/>
                <w:bottom w:val="none" w:sz="0" w:space="0" w:color="auto"/>
                <w:right w:val="none" w:sz="0" w:space="0" w:color="auto"/>
              </w:divBdr>
            </w:div>
          </w:divsChild>
        </w:div>
        <w:div w:id="14579748">
          <w:marLeft w:val="0"/>
          <w:marRight w:val="0"/>
          <w:marTop w:val="0"/>
          <w:marBottom w:val="0"/>
          <w:divBdr>
            <w:top w:val="none" w:sz="0" w:space="0" w:color="auto"/>
            <w:left w:val="none" w:sz="0" w:space="0" w:color="auto"/>
            <w:bottom w:val="none" w:sz="0" w:space="0" w:color="auto"/>
            <w:right w:val="none" w:sz="0" w:space="0" w:color="auto"/>
          </w:divBdr>
          <w:divsChild>
            <w:div w:id="453409333">
              <w:marLeft w:val="0"/>
              <w:marRight w:val="0"/>
              <w:marTop w:val="0"/>
              <w:marBottom w:val="0"/>
              <w:divBdr>
                <w:top w:val="none" w:sz="0" w:space="0" w:color="auto"/>
                <w:left w:val="none" w:sz="0" w:space="0" w:color="auto"/>
                <w:bottom w:val="none" w:sz="0" w:space="0" w:color="auto"/>
                <w:right w:val="none" w:sz="0" w:space="0" w:color="auto"/>
              </w:divBdr>
            </w:div>
          </w:divsChild>
        </w:div>
        <w:div w:id="18167054">
          <w:marLeft w:val="0"/>
          <w:marRight w:val="0"/>
          <w:marTop w:val="0"/>
          <w:marBottom w:val="0"/>
          <w:divBdr>
            <w:top w:val="none" w:sz="0" w:space="0" w:color="auto"/>
            <w:left w:val="none" w:sz="0" w:space="0" w:color="auto"/>
            <w:bottom w:val="none" w:sz="0" w:space="0" w:color="auto"/>
            <w:right w:val="none" w:sz="0" w:space="0" w:color="auto"/>
          </w:divBdr>
          <w:divsChild>
            <w:div w:id="776870086">
              <w:marLeft w:val="0"/>
              <w:marRight w:val="0"/>
              <w:marTop w:val="0"/>
              <w:marBottom w:val="0"/>
              <w:divBdr>
                <w:top w:val="none" w:sz="0" w:space="0" w:color="auto"/>
                <w:left w:val="none" w:sz="0" w:space="0" w:color="auto"/>
                <w:bottom w:val="none" w:sz="0" w:space="0" w:color="auto"/>
                <w:right w:val="none" w:sz="0" w:space="0" w:color="auto"/>
              </w:divBdr>
            </w:div>
          </w:divsChild>
        </w:div>
        <w:div w:id="18623805">
          <w:marLeft w:val="0"/>
          <w:marRight w:val="0"/>
          <w:marTop w:val="0"/>
          <w:marBottom w:val="0"/>
          <w:divBdr>
            <w:top w:val="none" w:sz="0" w:space="0" w:color="auto"/>
            <w:left w:val="none" w:sz="0" w:space="0" w:color="auto"/>
            <w:bottom w:val="none" w:sz="0" w:space="0" w:color="auto"/>
            <w:right w:val="none" w:sz="0" w:space="0" w:color="auto"/>
          </w:divBdr>
          <w:divsChild>
            <w:div w:id="2057778493">
              <w:marLeft w:val="0"/>
              <w:marRight w:val="0"/>
              <w:marTop w:val="0"/>
              <w:marBottom w:val="0"/>
              <w:divBdr>
                <w:top w:val="none" w:sz="0" w:space="0" w:color="auto"/>
                <w:left w:val="none" w:sz="0" w:space="0" w:color="auto"/>
                <w:bottom w:val="none" w:sz="0" w:space="0" w:color="auto"/>
                <w:right w:val="none" w:sz="0" w:space="0" w:color="auto"/>
              </w:divBdr>
            </w:div>
          </w:divsChild>
        </w:div>
        <w:div w:id="24716954">
          <w:marLeft w:val="0"/>
          <w:marRight w:val="0"/>
          <w:marTop w:val="0"/>
          <w:marBottom w:val="0"/>
          <w:divBdr>
            <w:top w:val="none" w:sz="0" w:space="0" w:color="auto"/>
            <w:left w:val="none" w:sz="0" w:space="0" w:color="auto"/>
            <w:bottom w:val="none" w:sz="0" w:space="0" w:color="auto"/>
            <w:right w:val="none" w:sz="0" w:space="0" w:color="auto"/>
          </w:divBdr>
          <w:divsChild>
            <w:div w:id="1984776090">
              <w:marLeft w:val="0"/>
              <w:marRight w:val="0"/>
              <w:marTop w:val="0"/>
              <w:marBottom w:val="0"/>
              <w:divBdr>
                <w:top w:val="none" w:sz="0" w:space="0" w:color="auto"/>
                <w:left w:val="none" w:sz="0" w:space="0" w:color="auto"/>
                <w:bottom w:val="none" w:sz="0" w:space="0" w:color="auto"/>
                <w:right w:val="none" w:sz="0" w:space="0" w:color="auto"/>
              </w:divBdr>
            </w:div>
          </w:divsChild>
        </w:div>
        <w:div w:id="42367032">
          <w:marLeft w:val="0"/>
          <w:marRight w:val="0"/>
          <w:marTop w:val="0"/>
          <w:marBottom w:val="0"/>
          <w:divBdr>
            <w:top w:val="none" w:sz="0" w:space="0" w:color="auto"/>
            <w:left w:val="none" w:sz="0" w:space="0" w:color="auto"/>
            <w:bottom w:val="none" w:sz="0" w:space="0" w:color="auto"/>
            <w:right w:val="none" w:sz="0" w:space="0" w:color="auto"/>
          </w:divBdr>
          <w:divsChild>
            <w:div w:id="227151196">
              <w:marLeft w:val="0"/>
              <w:marRight w:val="0"/>
              <w:marTop w:val="0"/>
              <w:marBottom w:val="0"/>
              <w:divBdr>
                <w:top w:val="none" w:sz="0" w:space="0" w:color="auto"/>
                <w:left w:val="none" w:sz="0" w:space="0" w:color="auto"/>
                <w:bottom w:val="none" w:sz="0" w:space="0" w:color="auto"/>
                <w:right w:val="none" w:sz="0" w:space="0" w:color="auto"/>
              </w:divBdr>
            </w:div>
          </w:divsChild>
        </w:div>
        <w:div w:id="48505822">
          <w:marLeft w:val="0"/>
          <w:marRight w:val="0"/>
          <w:marTop w:val="0"/>
          <w:marBottom w:val="0"/>
          <w:divBdr>
            <w:top w:val="none" w:sz="0" w:space="0" w:color="auto"/>
            <w:left w:val="none" w:sz="0" w:space="0" w:color="auto"/>
            <w:bottom w:val="none" w:sz="0" w:space="0" w:color="auto"/>
            <w:right w:val="none" w:sz="0" w:space="0" w:color="auto"/>
          </w:divBdr>
          <w:divsChild>
            <w:div w:id="2051958881">
              <w:marLeft w:val="0"/>
              <w:marRight w:val="0"/>
              <w:marTop w:val="0"/>
              <w:marBottom w:val="0"/>
              <w:divBdr>
                <w:top w:val="none" w:sz="0" w:space="0" w:color="auto"/>
                <w:left w:val="none" w:sz="0" w:space="0" w:color="auto"/>
                <w:bottom w:val="none" w:sz="0" w:space="0" w:color="auto"/>
                <w:right w:val="none" w:sz="0" w:space="0" w:color="auto"/>
              </w:divBdr>
            </w:div>
          </w:divsChild>
        </w:div>
        <w:div w:id="108278253">
          <w:marLeft w:val="0"/>
          <w:marRight w:val="0"/>
          <w:marTop w:val="0"/>
          <w:marBottom w:val="0"/>
          <w:divBdr>
            <w:top w:val="none" w:sz="0" w:space="0" w:color="auto"/>
            <w:left w:val="none" w:sz="0" w:space="0" w:color="auto"/>
            <w:bottom w:val="none" w:sz="0" w:space="0" w:color="auto"/>
            <w:right w:val="none" w:sz="0" w:space="0" w:color="auto"/>
          </w:divBdr>
          <w:divsChild>
            <w:div w:id="468059490">
              <w:marLeft w:val="0"/>
              <w:marRight w:val="0"/>
              <w:marTop w:val="0"/>
              <w:marBottom w:val="0"/>
              <w:divBdr>
                <w:top w:val="none" w:sz="0" w:space="0" w:color="auto"/>
                <w:left w:val="none" w:sz="0" w:space="0" w:color="auto"/>
                <w:bottom w:val="none" w:sz="0" w:space="0" w:color="auto"/>
                <w:right w:val="none" w:sz="0" w:space="0" w:color="auto"/>
              </w:divBdr>
            </w:div>
          </w:divsChild>
        </w:div>
        <w:div w:id="124085585">
          <w:marLeft w:val="0"/>
          <w:marRight w:val="0"/>
          <w:marTop w:val="0"/>
          <w:marBottom w:val="0"/>
          <w:divBdr>
            <w:top w:val="none" w:sz="0" w:space="0" w:color="auto"/>
            <w:left w:val="none" w:sz="0" w:space="0" w:color="auto"/>
            <w:bottom w:val="none" w:sz="0" w:space="0" w:color="auto"/>
            <w:right w:val="none" w:sz="0" w:space="0" w:color="auto"/>
          </w:divBdr>
          <w:divsChild>
            <w:div w:id="29231598">
              <w:marLeft w:val="0"/>
              <w:marRight w:val="0"/>
              <w:marTop w:val="0"/>
              <w:marBottom w:val="0"/>
              <w:divBdr>
                <w:top w:val="none" w:sz="0" w:space="0" w:color="auto"/>
                <w:left w:val="none" w:sz="0" w:space="0" w:color="auto"/>
                <w:bottom w:val="none" w:sz="0" w:space="0" w:color="auto"/>
                <w:right w:val="none" w:sz="0" w:space="0" w:color="auto"/>
              </w:divBdr>
            </w:div>
          </w:divsChild>
        </w:div>
        <w:div w:id="134687723">
          <w:marLeft w:val="0"/>
          <w:marRight w:val="0"/>
          <w:marTop w:val="0"/>
          <w:marBottom w:val="0"/>
          <w:divBdr>
            <w:top w:val="none" w:sz="0" w:space="0" w:color="auto"/>
            <w:left w:val="none" w:sz="0" w:space="0" w:color="auto"/>
            <w:bottom w:val="none" w:sz="0" w:space="0" w:color="auto"/>
            <w:right w:val="none" w:sz="0" w:space="0" w:color="auto"/>
          </w:divBdr>
          <w:divsChild>
            <w:div w:id="11152267">
              <w:marLeft w:val="0"/>
              <w:marRight w:val="0"/>
              <w:marTop w:val="0"/>
              <w:marBottom w:val="0"/>
              <w:divBdr>
                <w:top w:val="none" w:sz="0" w:space="0" w:color="auto"/>
                <w:left w:val="none" w:sz="0" w:space="0" w:color="auto"/>
                <w:bottom w:val="none" w:sz="0" w:space="0" w:color="auto"/>
                <w:right w:val="none" w:sz="0" w:space="0" w:color="auto"/>
              </w:divBdr>
            </w:div>
          </w:divsChild>
        </w:div>
        <w:div w:id="137503351">
          <w:marLeft w:val="0"/>
          <w:marRight w:val="0"/>
          <w:marTop w:val="0"/>
          <w:marBottom w:val="0"/>
          <w:divBdr>
            <w:top w:val="none" w:sz="0" w:space="0" w:color="auto"/>
            <w:left w:val="none" w:sz="0" w:space="0" w:color="auto"/>
            <w:bottom w:val="none" w:sz="0" w:space="0" w:color="auto"/>
            <w:right w:val="none" w:sz="0" w:space="0" w:color="auto"/>
          </w:divBdr>
          <w:divsChild>
            <w:div w:id="547229123">
              <w:marLeft w:val="0"/>
              <w:marRight w:val="0"/>
              <w:marTop w:val="0"/>
              <w:marBottom w:val="0"/>
              <w:divBdr>
                <w:top w:val="none" w:sz="0" w:space="0" w:color="auto"/>
                <w:left w:val="none" w:sz="0" w:space="0" w:color="auto"/>
                <w:bottom w:val="none" w:sz="0" w:space="0" w:color="auto"/>
                <w:right w:val="none" w:sz="0" w:space="0" w:color="auto"/>
              </w:divBdr>
            </w:div>
          </w:divsChild>
        </w:div>
        <w:div w:id="143474363">
          <w:marLeft w:val="0"/>
          <w:marRight w:val="0"/>
          <w:marTop w:val="0"/>
          <w:marBottom w:val="0"/>
          <w:divBdr>
            <w:top w:val="none" w:sz="0" w:space="0" w:color="auto"/>
            <w:left w:val="none" w:sz="0" w:space="0" w:color="auto"/>
            <w:bottom w:val="none" w:sz="0" w:space="0" w:color="auto"/>
            <w:right w:val="none" w:sz="0" w:space="0" w:color="auto"/>
          </w:divBdr>
          <w:divsChild>
            <w:div w:id="1655379946">
              <w:marLeft w:val="0"/>
              <w:marRight w:val="0"/>
              <w:marTop w:val="0"/>
              <w:marBottom w:val="0"/>
              <w:divBdr>
                <w:top w:val="none" w:sz="0" w:space="0" w:color="auto"/>
                <w:left w:val="none" w:sz="0" w:space="0" w:color="auto"/>
                <w:bottom w:val="none" w:sz="0" w:space="0" w:color="auto"/>
                <w:right w:val="none" w:sz="0" w:space="0" w:color="auto"/>
              </w:divBdr>
            </w:div>
          </w:divsChild>
        </w:div>
        <w:div w:id="144593472">
          <w:marLeft w:val="0"/>
          <w:marRight w:val="0"/>
          <w:marTop w:val="0"/>
          <w:marBottom w:val="0"/>
          <w:divBdr>
            <w:top w:val="none" w:sz="0" w:space="0" w:color="auto"/>
            <w:left w:val="none" w:sz="0" w:space="0" w:color="auto"/>
            <w:bottom w:val="none" w:sz="0" w:space="0" w:color="auto"/>
            <w:right w:val="none" w:sz="0" w:space="0" w:color="auto"/>
          </w:divBdr>
          <w:divsChild>
            <w:div w:id="564603714">
              <w:marLeft w:val="0"/>
              <w:marRight w:val="0"/>
              <w:marTop w:val="0"/>
              <w:marBottom w:val="0"/>
              <w:divBdr>
                <w:top w:val="none" w:sz="0" w:space="0" w:color="auto"/>
                <w:left w:val="none" w:sz="0" w:space="0" w:color="auto"/>
                <w:bottom w:val="none" w:sz="0" w:space="0" w:color="auto"/>
                <w:right w:val="none" w:sz="0" w:space="0" w:color="auto"/>
              </w:divBdr>
            </w:div>
          </w:divsChild>
        </w:div>
        <w:div w:id="151072577">
          <w:marLeft w:val="0"/>
          <w:marRight w:val="0"/>
          <w:marTop w:val="0"/>
          <w:marBottom w:val="0"/>
          <w:divBdr>
            <w:top w:val="none" w:sz="0" w:space="0" w:color="auto"/>
            <w:left w:val="none" w:sz="0" w:space="0" w:color="auto"/>
            <w:bottom w:val="none" w:sz="0" w:space="0" w:color="auto"/>
            <w:right w:val="none" w:sz="0" w:space="0" w:color="auto"/>
          </w:divBdr>
          <w:divsChild>
            <w:div w:id="581573177">
              <w:marLeft w:val="0"/>
              <w:marRight w:val="0"/>
              <w:marTop w:val="0"/>
              <w:marBottom w:val="0"/>
              <w:divBdr>
                <w:top w:val="none" w:sz="0" w:space="0" w:color="auto"/>
                <w:left w:val="none" w:sz="0" w:space="0" w:color="auto"/>
                <w:bottom w:val="none" w:sz="0" w:space="0" w:color="auto"/>
                <w:right w:val="none" w:sz="0" w:space="0" w:color="auto"/>
              </w:divBdr>
            </w:div>
          </w:divsChild>
        </w:div>
        <w:div w:id="154809805">
          <w:marLeft w:val="0"/>
          <w:marRight w:val="0"/>
          <w:marTop w:val="0"/>
          <w:marBottom w:val="0"/>
          <w:divBdr>
            <w:top w:val="none" w:sz="0" w:space="0" w:color="auto"/>
            <w:left w:val="none" w:sz="0" w:space="0" w:color="auto"/>
            <w:bottom w:val="none" w:sz="0" w:space="0" w:color="auto"/>
            <w:right w:val="none" w:sz="0" w:space="0" w:color="auto"/>
          </w:divBdr>
          <w:divsChild>
            <w:div w:id="1788694140">
              <w:marLeft w:val="0"/>
              <w:marRight w:val="0"/>
              <w:marTop w:val="0"/>
              <w:marBottom w:val="0"/>
              <w:divBdr>
                <w:top w:val="none" w:sz="0" w:space="0" w:color="auto"/>
                <w:left w:val="none" w:sz="0" w:space="0" w:color="auto"/>
                <w:bottom w:val="none" w:sz="0" w:space="0" w:color="auto"/>
                <w:right w:val="none" w:sz="0" w:space="0" w:color="auto"/>
              </w:divBdr>
            </w:div>
          </w:divsChild>
        </w:div>
        <w:div w:id="162207735">
          <w:marLeft w:val="0"/>
          <w:marRight w:val="0"/>
          <w:marTop w:val="0"/>
          <w:marBottom w:val="0"/>
          <w:divBdr>
            <w:top w:val="none" w:sz="0" w:space="0" w:color="auto"/>
            <w:left w:val="none" w:sz="0" w:space="0" w:color="auto"/>
            <w:bottom w:val="none" w:sz="0" w:space="0" w:color="auto"/>
            <w:right w:val="none" w:sz="0" w:space="0" w:color="auto"/>
          </w:divBdr>
          <w:divsChild>
            <w:div w:id="2062822924">
              <w:marLeft w:val="0"/>
              <w:marRight w:val="0"/>
              <w:marTop w:val="0"/>
              <w:marBottom w:val="0"/>
              <w:divBdr>
                <w:top w:val="none" w:sz="0" w:space="0" w:color="auto"/>
                <w:left w:val="none" w:sz="0" w:space="0" w:color="auto"/>
                <w:bottom w:val="none" w:sz="0" w:space="0" w:color="auto"/>
                <w:right w:val="none" w:sz="0" w:space="0" w:color="auto"/>
              </w:divBdr>
            </w:div>
          </w:divsChild>
        </w:div>
        <w:div w:id="162210334">
          <w:marLeft w:val="0"/>
          <w:marRight w:val="0"/>
          <w:marTop w:val="0"/>
          <w:marBottom w:val="0"/>
          <w:divBdr>
            <w:top w:val="none" w:sz="0" w:space="0" w:color="auto"/>
            <w:left w:val="none" w:sz="0" w:space="0" w:color="auto"/>
            <w:bottom w:val="none" w:sz="0" w:space="0" w:color="auto"/>
            <w:right w:val="none" w:sz="0" w:space="0" w:color="auto"/>
          </w:divBdr>
          <w:divsChild>
            <w:div w:id="1858502034">
              <w:marLeft w:val="0"/>
              <w:marRight w:val="0"/>
              <w:marTop w:val="0"/>
              <w:marBottom w:val="0"/>
              <w:divBdr>
                <w:top w:val="none" w:sz="0" w:space="0" w:color="auto"/>
                <w:left w:val="none" w:sz="0" w:space="0" w:color="auto"/>
                <w:bottom w:val="none" w:sz="0" w:space="0" w:color="auto"/>
                <w:right w:val="none" w:sz="0" w:space="0" w:color="auto"/>
              </w:divBdr>
            </w:div>
          </w:divsChild>
        </w:div>
        <w:div w:id="168914553">
          <w:marLeft w:val="0"/>
          <w:marRight w:val="0"/>
          <w:marTop w:val="0"/>
          <w:marBottom w:val="0"/>
          <w:divBdr>
            <w:top w:val="none" w:sz="0" w:space="0" w:color="auto"/>
            <w:left w:val="none" w:sz="0" w:space="0" w:color="auto"/>
            <w:bottom w:val="none" w:sz="0" w:space="0" w:color="auto"/>
            <w:right w:val="none" w:sz="0" w:space="0" w:color="auto"/>
          </w:divBdr>
          <w:divsChild>
            <w:div w:id="1527258601">
              <w:marLeft w:val="0"/>
              <w:marRight w:val="0"/>
              <w:marTop w:val="0"/>
              <w:marBottom w:val="0"/>
              <w:divBdr>
                <w:top w:val="none" w:sz="0" w:space="0" w:color="auto"/>
                <w:left w:val="none" w:sz="0" w:space="0" w:color="auto"/>
                <w:bottom w:val="none" w:sz="0" w:space="0" w:color="auto"/>
                <w:right w:val="none" w:sz="0" w:space="0" w:color="auto"/>
              </w:divBdr>
            </w:div>
          </w:divsChild>
        </w:div>
        <w:div w:id="171990041">
          <w:marLeft w:val="0"/>
          <w:marRight w:val="0"/>
          <w:marTop w:val="0"/>
          <w:marBottom w:val="0"/>
          <w:divBdr>
            <w:top w:val="none" w:sz="0" w:space="0" w:color="auto"/>
            <w:left w:val="none" w:sz="0" w:space="0" w:color="auto"/>
            <w:bottom w:val="none" w:sz="0" w:space="0" w:color="auto"/>
            <w:right w:val="none" w:sz="0" w:space="0" w:color="auto"/>
          </w:divBdr>
          <w:divsChild>
            <w:div w:id="2139488863">
              <w:marLeft w:val="0"/>
              <w:marRight w:val="0"/>
              <w:marTop w:val="0"/>
              <w:marBottom w:val="0"/>
              <w:divBdr>
                <w:top w:val="none" w:sz="0" w:space="0" w:color="auto"/>
                <w:left w:val="none" w:sz="0" w:space="0" w:color="auto"/>
                <w:bottom w:val="none" w:sz="0" w:space="0" w:color="auto"/>
                <w:right w:val="none" w:sz="0" w:space="0" w:color="auto"/>
              </w:divBdr>
            </w:div>
          </w:divsChild>
        </w:div>
        <w:div w:id="185019585">
          <w:marLeft w:val="0"/>
          <w:marRight w:val="0"/>
          <w:marTop w:val="0"/>
          <w:marBottom w:val="0"/>
          <w:divBdr>
            <w:top w:val="none" w:sz="0" w:space="0" w:color="auto"/>
            <w:left w:val="none" w:sz="0" w:space="0" w:color="auto"/>
            <w:bottom w:val="none" w:sz="0" w:space="0" w:color="auto"/>
            <w:right w:val="none" w:sz="0" w:space="0" w:color="auto"/>
          </w:divBdr>
          <w:divsChild>
            <w:div w:id="1098405264">
              <w:marLeft w:val="0"/>
              <w:marRight w:val="0"/>
              <w:marTop w:val="0"/>
              <w:marBottom w:val="0"/>
              <w:divBdr>
                <w:top w:val="none" w:sz="0" w:space="0" w:color="auto"/>
                <w:left w:val="none" w:sz="0" w:space="0" w:color="auto"/>
                <w:bottom w:val="none" w:sz="0" w:space="0" w:color="auto"/>
                <w:right w:val="none" w:sz="0" w:space="0" w:color="auto"/>
              </w:divBdr>
            </w:div>
          </w:divsChild>
        </w:div>
        <w:div w:id="204224767">
          <w:marLeft w:val="0"/>
          <w:marRight w:val="0"/>
          <w:marTop w:val="0"/>
          <w:marBottom w:val="0"/>
          <w:divBdr>
            <w:top w:val="none" w:sz="0" w:space="0" w:color="auto"/>
            <w:left w:val="none" w:sz="0" w:space="0" w:color="auto"/>
            <w:bottom w:val="none" w:sz="0" w:space="0" w:color="auto"/>
            <w:right w:val="none" w:sz="0" w:space="0" w:color="auto"/>
          </w:divBdr>
          <w:divsChild>
            <w:div w:id="1703818404">
              <w:marLeft w:val="0"/>
              <w:marRight w:val="0"/>
              <w:marTop w:val="0"/>
              <w:marBottom w:val="0"/>
              <w:divBdr>
                <w:top w:val="none" w:sz="0" w:space="0" w:color="auto"/>
                <w:left w:val="none" w:sz="0" w:space="0" w:color="auto"/>
                <w:bottom w:val="none" w:sz="0" w:space="0" w:color="auto"/>
                <w:right w:val="none" w:sz="0" w:space="0" w:color="auto"/>
              </w:divBdr>
            </w:div>
          </w:divsChild>
        </w:div>
        <w:div w:id="213153326">
          <w:marLeft w:val="0"/>
          <w:marRight w:val="0"/>
          <w:marTop w:val="0"/>
          <w:marBottom w:val="0"/>
          <w:divBdr>
            <w:top w:val="none" w:sz="0" w:space="0" w:color="auto"/>
            <w:left w:val="none" w:sz="0" w:space="0" w:color="auto"/>
            <w:bottom w:val="none" w:sz="0" w:space="0" w:color="auto"/>
            <w:right w:val="none" w:sz="0" w:space="0" w:color="auto"/>
          </w:divBdr>
          <w:divsChild>
            <w:div w:id="728499904">
              <w:marLeft w:val="0"/>
              <w:marRight w:val="0"/>
              <w:marTop w:val="0"/>
              <w:marBottom w:val="0"/>
              <w:divBdr>
                <w:top w:val="none" w:sz="0" w:space="0" w:color="auto"/>
                <w:left w:val="none" w:sz="0" w:space="0" w:color="auto"/>
                <w:bottom w:val="none" w:sz="0" w:space="0" w:color="auto"/>
                <w:right w:val="none" w:sz="0" w:space="0" w:color="auto"/>
              </w:divBdr>
            </w:div>
          </w:divsChild>
        </w:div>
        <w:div w:id="217326779">
          <w:marLeft w:val="0"/>
          <w:marRight w:val="0"/>
          <w:marTop w:val="0"/>
          <w:marBottom w:val="0"/>
          <w:divBdr>
            <w:top w:val="none" w:sz="0" w:space="0" w:color="auto"/>
            <w:left w:val="none" w:sz="0" w:space="0" w:color="auto"/>
            <w:bottom w:val="none" w:sz="0" w:space="0" w:color="auto"/>
            <w:right w:val="none" w:sz="0" w:space="0" w:color="auto"/>
          </w:divBdr>
          <w:divsChild>
            <w:div w:id="1585382444">
              <w:marLeft w:val="0"/>
              <w:marRight w:val="0"/>
              <w:marTop w:val="0"/>
              <w:marBottom w:val="0"/>
              <w:divBdr>
                <w:top w:val="none" w:sz="0" w:space="0" w:color="auto"/>
                <w:left w:val="none" w:sz="0" w:space="0" w:color="auto"/>
                <w:bottom w:val="none" w:sz="0" w:space="0" w:color="auto"/>
                <w:right w:val="none" w:sz="0" w:space="0" w:color="auto"/>
              </w:divBdr>
            </w:div>
          </w:divsChild>
        </w:div>
        <w:div w:id="253562360">
          <w:marLeft w:val="0"/>
          <w:marRight w:val="0"/>
          <w:marTop w:val="0"/>
          <w:marBottom w:val="0"/>
          <w:divBdr>
            <w:top w:val="none" w:sz="0" w:space="0" w:color="auto"/>
            <w:left w:val="none" w:sz="0" w:space="0" w:color="auto"/>
            <w:bottom w:val="none" w:sz="0" w:space="0" w:color="auto"/>
            <w:right w:val="none" w:sz="0" w:space="0" w:color="auto"/>
          </w:divBdr>
          <w:divsChild>
            <w:div w:id="1666786921">
              <w:marLeft w:val="0"/>
              <w:marRight w:val="0"/>
              <w:marTop w:val="0"/>
              <w:marBottom w:val="0"/>
              <w:divBdr>
                <w:top w:val="none" w:sz="0" w:space="0" w:color="auto"/>
                <w:left w:val="none" w:sz="0" w:space="0" w:color="auto"/>
                <w:bottom w:val="none" w:sz="0" w:space="0" w:color="auto"/>
                <w:right w:val="none" w:sz="0" w:space="0" w:color="auto"/>
              </w:divBdr>
            </w:div>
          </w:divsChild>
        </w:div>
        <w:div w:id="257521813">
          <w:marLeft w:val="0"/>
          <w:marRight w:val="0"/>
          <w:marTop w:val="0"/>
          <w:marBottom w:val="0"/>
          <w:divBdr>
            <w:top w:val="none" w:sz="0" w:space="0" w:color="auto"/>
            <w:left w:val="none" w:sz="0" w:space="0" w:color="auto"/>
            <w:bottom w:val="none" w:sz="0" w:space="0" w:color="auto"/>
            <w:right w:val="none" w:sz="0" w:space="0" w:color="auto"/>
          </w:divBdr>
          <w:divsChild>
            <w:div w:id="1559125583">
              <w:marLeft w:val="0"/>
              <w:marRight w:val="0"/>
              <w:marTop w:val="0"/>
              <w:marBottom w:val="0"/>
              <w:divBdr>
                <w:top w:val="none" w:sz="0" w:space="0" w:color="auto"/>
                <w:left w:val="none" w:sz="0" w:space="0" w:color="auto"/>
                <w:bottom w:val="none" w:sz="0" w:space="0" w:color="auto"/>
                <w:right w:val="none" w:sz="0" w:space="0" w:color="auto"/>
              </w:divBdr>
            </w:div>
          </w:divsChild>
        </w:div>
        <w:div w:id="270207547">
          <w:marLeft w:val="0"/>
          <w:marRight w:val="0"/>
          <w:marTop w:val="0"/>
          <w:marBottom w:val="0"/>
          <w:divBdr>
            <w:top w:val="none" w:sz="0" w:space="0" w:color="auto"/>
            <w:left w:val="none" w:sz="0" w:space="0" w:color="auto"/>
            <w:bottom w:val="none" w:sz="0" w:space="0" w:color="auto"/>
            <w:right w:val="none" w:sz="0" w:space="0" w:color="auto"/>
          </w:divBdr>
          <w:divsChild>
            <w:div w:id="1241795102">
              <w:marLeft w:val="0"/>
              <w:marRight w:val="0"/>
              <w:marTop w:val="0"/>
              <w:marBottom w:val="0"/>
              <w:divBdr>
                <w:top w:val="none" w:sz="0" w:space="0" w:color="auto"/>
                <w:left w:val="none" w:sz="0" w:space="0" w:color="auto"/>
                <w:bottom w:val="none" w:sz="0" w:space="0" w:color="auto"/>
                <w:right w:val="none" w:sz="0" w:space="0" w:color="auto"/>
              </w:divBdr>
            </w:div>
          </w:divsChild>
        </w:div>
        <w:div w:id="300575555">
          <w:marLeft w:val="0"/>
          <w:marRight w:val="0"/>
          <w:marTop w:val="0"/>
          <w:marBottom w:val="0"/>
          <w:divBdr>
            <w:top w:val="none" w:sz="0" w:space="0" w:color="auto"/>
            <w:left w:val="none" w:sz="0" w:space="0" w:color="auto"/>
            <w:bottom w:val="none" w:sz="0" w:space="0" w:color="auto"/>
            <w:right w:val="none" w:sz="0" w:space="0" w:color="auto"/>
          </w:divBdr>
          <w:divsChild>
            <w:div w:id="151678871">
              <w:marLeft w:val="0"/>
              <w:marRight w:val="0"/>
              <w:marTop w:val="0"/>
              <w:marBottom w:val="0"/>
              <w:divBdr>
                <w:top w:val="none" w:sz="0" w:space="0" w:color="auto"/>
                <w:left w:val="none" w:sz="0" w:space="0" w:color="auto"/>
                <w:bottom w:val="none" w:sz="0" w:space="0" w:color="auto"/>
                <w:right w:val="none" w:sz="0" w:space="0" w:color="auto"/>
              </w:divBdr>
            </w:div>
          </w:divsChild>
        </w:div>
        <w:div w:id="302544772">
          <w:marLeft w:val="0"/>
          <w:marRight w:val="0"/>
          <w:marTop w:val="0"/>
          <w:marBottom w:val="0"/>
          <w:divBdr>
            <w:top w:val="none" w:sz="0" w:space="0" w:color="auto"/>
            <w:left w:val="none" w:sz="0" w:space="0" w:color="auto"/>
            <w:bottom w:val="none" w:sz="0" w:space="0" w:color="auto"/>
            <w:right w:val="none" w:sz="0" w:space="0" w:color="auto"/>
          </w:divBdr>
          <w:divsChild>
            <w:div w:id="1851524323">
              <w:marLeft w:val="0"/>
              <w:marRight w:val="0"/>
              <w:marTop w:val="0"/>
              <w:marBottom w:val="0"/>
              <w:divBdr>
                <w:top w:val="none" w:sz="0" w:space="0" w:color="auto"/>
                <w:left w:val="none" w:sz="0" w:space="0" w:color="auto"/>
                <w:bottom w:val="none" w:sz="0" w:space="0" w:color="auto"/>
                <w:right w:val="none" w:sz="0" w:space="0" w:color="auto"/>
              </w:divBdr>
            </w:div>
          </w:divsChild>
        </w:div>
        <w:div w:id="304355251">
          <w:marLeft w:val="0"/>
          <w:marRight w:val="0"/>
          <w:marTop w:val="0"/>
          <w:marBottom w:val="0"/>
          <w:divBdr>
            <w:top w:val="none" w:sz="0" w:space="0" w:color="auto"/>
            <w:left w:val="none" w:sz="0" w:space="0" w:color="auto"/>
            <w:bottom w:val="none" w:sz="0" w:space="0" w:color="auto"/>
            <w:right w:val="none" w:sz="0" w:space="0" w:color="auto"/>
          </w:divBdr>
          <w:divsChild>
            <w:div w:id="2091417593">
              <w:marLeft w:val="0"/>
              <w:marRight w:val="0"/>
              <w:marTop w:val="0"/>
              <w:marBottom w:val="0"/>
              <w:divBdr>
                <w:top w:val="none" w:sz="0" w:space="0" w:color="auto"/>
                <w:left w:val="none" w:sz="0" w:space="0" w:color="auto"/>
                <w:bottom w:val="none" w:sz="0" w:space="0" w:color="auto"/>
                <w:right w:val="none" w:sz="0" w:space="0" w:color="auto"/>
              </w:divBdr>
            </w:div>
          </w:divsChild>
        </w:div>
        <w:div w:id="307825176">
          <w:marLeft w:val="0"/>
          <w:marRight w:val="0"/>
          <w:marTop w:val="0"/>
          <w:marBottom w:val="0"/>
          <w:divBdr>
            <w:top w:val="none" w:sz="0" w:space="0" w:color="auto"/>
            <w:left w:val="none" w:sz="0" w:space="0" w:color="auto"/>
            <w:bottom w:val="none" w:sz="0" w:space="0" w:color="auto"/>
            <w:right w:val="none" w:sz="0" w:space="0" w:color="auto"/>
          </w:divBdr>
          <w:divsChild>
            <w:div w:id="1285695177">
              <w:marLeft w:val="0"/>
              <w:marRight w:val="0"/>
              <w:marTop w:val="0"/>
              <w:marBottom w:val="0"/>
              <w:divBdr>
                <w:top w:val="none" w:sz="0" w:space="0" w:color="auto"/>
                <w:left w:val="none" w:sz="0" w:space="0" w:color="auto"/>
                <w:bottom w:val="none" w:sz="0" w:space="0" w:color="auto"/>
                <w:right w:val="none" w:sz="0" w:space="0" w:color="auto"/>
              </w:divBdr>
            </w:div>
          </w:divsChild>
        </w:div>
        <w:div w:id="317153071">
          <w:marLeft w:val="0"/>
          <w:marRight w:val="0"/>
          <w:marTop w:val="0"/>
          <w:marBottom w:val="0"/>
          <w:divBdr>
            <w:top w:val="none" w:sz="0" w:space="0" w:color="auto"/>
            <w:left w:val="none" w:sz="0" w:space="0" w:color="auto"/>
            <w:bottom w:val="none" w:sz="0" w:space="0" w:color="auto"/>
            <w:right w:val="none" w:sz="0" w:space="0" w:color="auto"/>
          </w:divBdr>
          <w:divsChild>
            <w:div w:id="1325818434">
              <w:marLeft w:val="0"/>
              <w:marRight w:val="0"/>
              <w:marTop w:val="0"/>
              <w:marBottom w:val="0"/>
              <w:divBdr>
                <w:top w:val="none" w:sz="0" w:space="0" w:color="auto"/>
                <w:left w:val="none" w:sz="0" w:space="0" w:color="auto"/>
                <w:bottom w:val="none" w:sz="0" w:space="0" w:color="auto"/>
                <w:right w:val="none" w:sz="0" w:space="0" w:color="auto"/>
              </w:divBdr>
            </w:div>
          </w:divsChild>
        </w:div>
        <w:div w:id="334698342">
          <w:marLeft w:val="0"/>
          <w:marRight w:val="0"/>
          <w:marTop w:val="0"/>
          <w:marBottom w:val="0"/>
          <w:divBdr>
            <w:top w:val="none" w:sz="0" w:space="0" w:color="auto"/>
            <w:left w:val="none" w:sz="0" w:space="0" w:color="auto"/>
            <w:bottom w:val="none" w:sz="0" w:space="0" w:color="auto"/>
            <w:right w:val="none" w:sz="0" w:space="0" w:color="auto"/>
          </w:divBdr>
          <w:divsChild>
            <w:div w:id="1039672853">
              <w:marLeft w:val="0"/>
              <w:marRight w:val="0"/>
              <w:marTop w:val="0"/>
              <w:marBottom w:val="0"/>
              <w:divBdr>
                <w:top w:val="none" w:sz="0" w:space="0" w:color="auto"/>
                <w:left w:val="none" w:sz="0" w:space="0" w:color="auto"/>
                <w:bottom w:val="none" w:sz="0" w:space="0" w:color="auto"/>
                <w:right w:val="none" w:sz="0" w:space="0" w:color="auto"/>
              </w:divBdr>
            </w:div>
          </w:divsChild>
        </w:div>
        <w:div w:id="336540921">
          <w:marLeft w:val="0"/>
          <w:marRight w:val="0"/>
          <w:marTop w:val="0"/>
          <w:marBottom w:val="0"/>
          <w:divBdr>
            <w:top w:val="none" w:sz="0" w:space="0" w:color="auto"/>
            <w:left w:val="none" w:sz="0" w:space="0" w:color="auto"/>
            <w:bottom w:val="none" w:sz="0" w:space="0" w:color="auto"/>
            <w:right w:val="none" w:sz="0" w:space="0" w:color="auto"/>
          </w:divBdr>
          <w:divsChild>
            <w:div w:id="245959264">
              <w:marLeft w:val="0"/>
              <w:marRight w:val="0"/>
              <w:marTop w:val="0"/>
              <w:marBottom w:val="0"/>
              <w:divBdr>
                <w:top w:val="none" w:sz="0" w:space="0" w:color="auto"/>
                <w:left w:val="none" w:sz="0" w:space="0" w:color="auto"/>
                <w:bottom w:val="none" w:sz="0" w:space="0" w:color="auto"/>
                <w:right w:val="none" w:sz="0" w:space="0" w:color="auto"/>
              </w:divBdr>
            </w:div>
          </w:divsChild>
        </w:div>
        <w:div w:id="339165158">
          <w:marLeft w:val="0"/>
          <w:marRight w:val="0"/>
          <w:marTop w:val="0"/>
          <w:marBottom w:val="0"/>
          <w:divBdr>
            <w:top w:val="none" w:sz="0" w:space="0" w:color="auto"/>
            <w:left w:val="none" w:sz="0" w:space="0" w:color="auto"/>
            <w:bottom w:val="none" w:sz="0" w:space="0" w:color="auto"/>
            <w:right w:val="none" w:sz="0" w:space="0" w:color="auto"/>
          </w:divBdr>
          <w:divsChild>
            <w:div w:id="115608717">
              <w:marLeft w:val="0"/>
              <w:marRight w:val="0"/>
              <w:marTop w:val="0"/>
              <w:marBottom w:val="0"/>
              <w:divBdr>
                <w:top w:val="none" w:sz="0" w:space="0" w:color="auto"/>
                <w:left w:val="none" w:sz="0" w:space="0" w:color="auto"/>
                <w:bottom w:val="none" w:sz="0" w:space="0" w:color="auto"/>
                <w:right w:val="none" w:sz="0" w:space="0" w:color="auto"/>
              </w:divBdr>
            </w:div>
          </w:divsChild>
        </w:div>
        <w:div w:id="340200373">
          <w:marLeft w:val="0"/>
          <w:marRight w:val="0"/>
          <w:marTop w:val="0"/>
          <w:marBottom w:val="0"/>
          <w:divBdr>
            <w:top w:val="none" w:sz="0" w:space="0" w:color="auto"/>
            <w:left w:val="none" w:sz="0" w:space="0" w:color="auto"/>
            <w:bottom w:val="none" w:sz="0" w:space="0" w:color="auto"/>
            <w:right w:val="none" w:sz="0" w:space="0" w:color="auto"/>
          </w:divBdr>
          <w:divsChild>
            <w:div w:id="501239934">
              <w:marLeft w:val="0"/>
              <w:marRight w:val="0"/>
              <w:marTop w:val="0"/>
              <w:marBottom w:val="0"/>
              <w:divBdr>
                <w:top w:val="none" w:sz="0" w:space="0" w:color="auto"/>
                <w:left w:val="none" w:sz="0" w:space="0" w:color="auto"/>
                <w:bottom w:val="none" w:sz="0" w:space="0" w:color="auto"/>
                <w:right w:val="none" w:sz="0" w:space="0" w:color="auto"/>
              </w:divBdr>
            </w:div>
          </w:divsChild>
        </w:div>
        <w:div w:id="352221040">
          <w:marLeft w:val="0"/>
          <w:marRight w:val="0"/>
          <w:marTop w:val="0"/>
          <w:marBottom w:val="0"/>
          <w:divBdr>
            <w:top w:val="none" w:sz="0" w:space="0" w:color="auto"/>
            <w:left w:val="none" w:sz="0" w:space="0" w:color="auto"/>
            <w:bottom w:val="none" w:sz="0" w:space="0" w:color="auto"/>
            <w:right w:val="none" w:sz="0" w:space="0" w:color="auto"/>
          </w:divBdr>
          <w:divsChild>
            <w:div w:id="1766002086">
              <w:marLeft w:val="0"/>
              <w:marRight w:val="0"/>
              <w:marTop w:val="0"/>
              <w:marBottom w:val="0"/>
              <w:divBdr>
                <w:top w:val="none" w:sz="0" w:space="0" w:color="auto"/>
                <w:left w:val="none" w:sz="0" w:space="0" w:color="auto"/>
                <w:bottom w:val="none" w:sz="0" w:space="0" w:color="auto"/>
                <w:right w:val="none" w:sz="0" w:space="0" w:color="auto"/>
              </w:divBdr>
            </w:div>
          </w:divsChild>
        </w:div>
        <w:div w:id="352461061">
          <w:marLeft w:val="0"/>
          <w:marRight w:val="0"/>
          <w:marTop w:val="0"/>
          <w:marBottom w:val="0"/>
          <w:divBdr>
            <w:top w:val="none" w:sz="0" w:space="0" w:color="auto"/>
            <w:left w:val="none" w:sz="0" w:space="0" w:color="auto"/>
            <w:bottom w:val="none" w:sz="0" w:space="0" w:color="auto"/>
            <w:right w:val="none" w:sz="0" w:space="0" w:color="auto"/>
          </w:divBdr>
          <w:divsChild>
            <w:div w:id="1293823360">
              <w:marLeft w:val="0"/>
              <w:marRight w:val="0"/>
              <w:marTop w:val="0"/>
              <w:marBottom w:val="0"/>
              <w:divBdr>
                <w:top w:val="none" w:sz="0" w:space="0" w:color="auto"/>
                <w:left w:val="none" w:sz="0" w:space="0" w:color="auto"/>
                <w:bottom w:val="none" w:sz="0" w:space="0" w:color="auto"/>
                <w:right w:val="none" w:sz="0" w:space="0" w:color="auto"/>
              </w:divBdr>
            </w:div>
          </w:divsChild>
        </w:div>
        <w:div w:id="359166232">
          <w:marLeft w:val="0"/>
          <w:marRight w:val="0"/>
          <w:marTop w:val="0"/>
          <w:marBottom w:val="0"/>
          <w:divBdr>
            <w:top w:val="none" w:sz="0" w:space="0" w:color="auto"/>
            <w:left w:val="none" w:sz="0" w:space="0" w:color="auto"/>
            <w:bottom w:val="none" w:sz="0" w:space="0" w:color="auto"/>
            <w:right w:val="none" w:sz="0" w:space="0" w:color="auto"/>
          </w:divBdr>
          <w:divsChild>
            <w:div w:id="1920822717">
              <w:marLeft w:val="0"/>
              <w:marRight w:val="0"/>
              <w:marTop w:val="0"/>
              <w:marBottom w:val="0"/>
              <w:divBdr>
                <w:top w:val="none" w:sz="0" w:space="0" w:color="auto"/>
                <w:left w:val="none" w:sz="0" w:space="0" w:color="auto"/>
                <w:bottom w:val="none" w:sz="0" w:space="0" w:color="auto"/>
                <w:right w:val="none" w:sz="0" w:space="0" w:color="auto"/>
              </w:divBdr>
            </w:div>
          </w:divsChild>
        </w:div>
        <w:div w:id="383138724">
          <w:marLeft w:val="0"/>
          <w:marRight w:val="0"/>
          <w:marTop w:val="0"/>
          <w:marBottom w:val="0"/>
          <w:divBdr>
            <w:top w:val="none" w:sz="0" w:space="0" w:color="auto"/>
            <w:left w:val="none" w:sz="0" w:space="0" w:color="auto"/>
            <w:bottom w:val="none" w:sz="0" w:space="0" w:color="auto"/>
            <w:right w:val="none" w:sz="0" w:space="0" w:color="auto"/>
          </w:divBdr>
          <w:divsChild>
            <w:div w:id="609093249">
              <w:marLeft w:val="0"/>
              <w:marRight w:val="0"/>
              <w:marTop w:val="0"/>
              <w:marBottom w:val="0"/>
              <w:divBdr>
                <w:top w:val="none" w:sz="0" w:space="0" w:color="auto"/>
                <w:left w:val="none" w:sz="0" w:space="0" w:color="auto"/>
                <w:bottom w:val="none" w:sz="0" w:space="0" w:color="auto"/>
                <w:right w:val="none" w:sz="0" w:space="0" w:color="auto"/>
              </w:divBdr>
            </w:div>
          </w:divsChild>
        </w:div>
        <w:div w:id="398333160">
          <w:marLeft w:val="0"/>
          <w:marRight w:val="0"/>
          <w:marTop w:val="0"/>
          <w:marBottom w:val="0"/>
          <w:divBdr>
            <w:top w:val="none" w:sz="0" w:space="0" w:color="auto"/>
            <w:left w:val="none" w:sz="0" w:space="0" w:color="auto"/>
            <w:bottom w:val="none" w:sz="0" w:space="0" w:color="auto"/>
            <w:right w:val="none" w:sz="0" w:space="0" w:color="auto"/>
          </w:divBdr>
          <w:divsChild>
            <w:div w:id="493566540">
              <w:marLeft w:val="0"/>
              <w:marRight w:val="0"/>
              <w:marTop w:val="0"/>
              <w:marBottom w:val="0"/>
              <w:divBdr>
                <w:top w:val="none" w:sz="0" w:space="0" w:color="auto"/>
                <w:left w:val="none" w:sz="0" w:space="0" w:color="auto"/>
                <w:bottom w:val="none" w:sz="0" w:space="0" w:color="auto"/>
                <w:right w:val="none" w:sz="0" w:space="0" w:color="auto"/>
              </w:divBdr>
            </w:div>
          </w:divsChild>
        </w:div>
        <w:div w:id="421144712">
          <w:marLeft w:val="0"/>
          <w:marRight w:val="0"/>
          <w:marTop w:val="0"/>
          <w:marBottom w:val="0"/>
          <w:divBdr>
            <w:top w:val="none" w:sz="0" w:space="0" w:color="auto"/>
            <w:left w:val="none" w:sz="0" w:space="0" w:color="auto"/>
            <w:bottom w:val="none" w:sz="0" w:space="0" w:color="auto"/>
            <w:right w:val="none" w:sz="0" w:space="0" w:color="auto"/>
          </w:divBdr>
          <w:divsChild>
            <w:div w:id="1395080130">
              <w:marLeft w:val="0"/>
              <w:marRight w:val="0"/>
              <w:marTop w:val="0"/>
              <w:marBottom w:val="0"/>
              <w:divBdr>
                <w:top w:val="none" w:sz="0" w:space="0" w:color="auto"/>
                <w:left w:val="none" w:sz="0" w:space="0" w:color="auto"/>
                <w:bottom w:val="none" w:sz="0" w:space="0" w:color="auto"/>
                <w:right w:val="none" w:sz="0" w:space="0" w:color="auto"/>
              </w:divBdr>
            </w:div>
          </w:divsChild>
        </w:div>
        <w:div w:id="425423565">
          <w:marLeft w:val="0"/>
          <w:marRight w:val="0"/>
          <w:marTop w:val="0"/>
          <w:marBottom w:val="0"/>
          <w:divBdr>
            <w:top w:val="none" w:sz="0" w:space="0" w:color="auto"/>
            <w:left w:val="none" w:sz="0" w:space="0" w:color="auto"/>
            <w:bottom w:val="none" w:sz="0" w:space="0" w:color="auto"/>
            <w:right w:val="none" w:sz="0" w:space="0" w:color="auto"/>
          </w:divBdr>
          <w:divsChild>
            <w:div w:id="1468208020">
              <w:marLeft w:val="0"/>
              <w:marRight w:val="0"/>
              <w:marTop w:val="0"/>
              <w:marBottom w:val="0"/>
              <w:divBdr>
                <w:top w:val="none" w:sz="0" w:space="0" w:color="auto"/>
                <w:left w:val="none" w:sz="0" w:space="0" w:color="auto"/>
                <w:bottom w:val="none" w:sz="0" w:space="0" w:color="auto"/>
                <w:right w:val="none" w:sz="0" w:space="0" w:color="auto"/>
              </w:divBdr>
            </w:div>
          </w:divsChild>
        </w:div>
        <w:div w:id="438570520">
          <w:marLeft w:val="0"/>
          <w:marRight w:val="0"/>
          <w:marTop w:val="0"/>
          <w:marBottom w:val="0"/>
          <w:divBdr>
            <w:top w:val="none" w:sz="0" w:space="0" w:color="auto"/>
            <w:left w:val="none" w:sz="0" w:space="0" w:color="auto"/>
            <w:bottom w:val="none" w:sz="0" w:space="0" w:color="auto"/>
            <w:right w:val="none" w:sz="0" w:space="0" w:color="auto"/>
          </w:divBdr>
          <w:divsChild>
            <w:div w:id="426072915">
              <w:marLeft w:val="0"/>
              <w:marRight w:val="0"/>
              <w:marTop w:val="0"/>
              <w:marBottom w:val="0"/>
              <w:divBdr>
                <w:top w:val="none" w:sz="0" w:space="0" w:color="auto"/>
                <w:left w:val="none" w:sz="0" w:space="0" w:color="auto"/>
                <w:bottom w:val="none" w:sz="0" w:space="0" w:color="auto"/>
                <w:right w:val="none" w:sz="0" w:space="0" w:color="auto"/>
              </w:divBdr>
            </w:div>
          </w:divsChild>
        </w:div>
        <w:div w:id="456874277">
          <w:marLeft w:val="0"/>
          <w:marRight w:val="0"/>
          <w:marTop w:val="0"/>
          <w:marBottom w:val="0"/>
          <w:divBdr>
            <w:top w:val="none" w:sz="0" w:space="0" w:color="auto"/>
            <w:left w:val="none" w:sz="0" w:space="0" w:color="auto"/>
            <w:bottom w:val="none" w:sz="0" w:space="0" w:color="auto"/>
            <w:right w:val="none" w:sz="0" w:space="0" w:color="auto"/>
          </w:divBdr>
          <w:divsChild>
            <w:div w:id="1801726719">
              <w:marLeft w:val="0"/>
              <w:marRight w:val="0"/>
              <w:marTop w:val="0"/>
              <w:marBottom w:val="0"/>
              <w:divBdr>
                <w:top w:val="none" w:sz="0" w:space="0" w:color="auto"/>
                <w:left w:val="none" w:sz="0" w:space="0" w:color="auto"/>
                <w:bottom w:val="none" w:sz="0" w:space="0" w:color="auto"/>
                <w:right w:val="none" w:sz="0" w:space="0" w:color="auto"/>
              </w:divBdr>
            </w:div>
          </w:divsChild>
        </w:div>
        <w:div w:id="477889712">
          <w:marLeft w:val="0"/>
          <w:marRight w:val="0"/>
          <w:marTop w:val="0"/>
          <w:marBottom w:val="0"/>
          <w:divBdr>
            <w:top w:val="none" w:sz="0" w:space="0" w:color="auto"/>
            <w:left w:val="none" w:sz="0" w:space="0" w:color="auto"/>
            <w:bottom w:val="none" w:sz="0" w:space="0" w:color="auto"/>
            <w:right w:val="none" w:sz="0" w:space="0" w:color="auto"/>
          </w:divBdr>
          <w:divsChild>
            <w:div w:id="968822335">
              <w:marLeft w:val="0"/>
              <w:marRight w:val="0"/>
              <w:marTop w:val="0"/>
              <w:marBottom w:val="0"/>
              <w:divBdr>
                <w:top w:val="none" w:sz="0" w:space="0" w:color="auto"/>
                <w:left w:val="none" w:sz="0" w:space="0" w:color="auto"/>
                <w:bottom w:val="none" w:sz="0" w:space="0" w:color="auto"/>
                <w:right w:val="none" w:sz="0" w:space="0" w:color="auto"/>
              </w:divBdr>
            </w:div>
          </w:divsChild>
        </w:div>
        <w:div w:id="479731030">
          <w:marLeft w:val="0"/>
          <w:marRight w:val="0"/>
          <w:marTop w:val="0"/>
          <w:marBottom w:val="0"/>
          <w:divBdr>
            <w:top w:val="none" w:sz="0" w:space="0" w:color="auto"/>
            <w:left w:val="none" w:sz="0" w:space="0" w:color="auto"/>
            <w:bottom w:val="none" w:sz="0" w:space="0" w:color="auto"/>
            <w:right w:val="none" w:sz="0" w:space="0" w:color="auto"/>
          </w:divBdr>
          <w:divsChild>
            <w:div w:id="2031949696">
              <w:marLeft w:val="0"/>
              <w:marRight w:val="0"/>
              <w:marTop w:val="0"/>
              <w:marBottom w:val="0"/>
              <w:divBdr>
                <w:top w:val="none" w:sz="0" w:space="0" w:color="auto"/>
                <w:left w:val="none" w:sz="0" w:space="0" w:color="auto"/>
                <w:bottom w:val="none" w:sz="0" w:space="0" w:color="auto"/>
                <w:right w:val="none" w:sz="0" w:space="0" w:color="auto"/>
              </w:divBdr>
            </w:div>
          </w:divsChild>
        </w:div>
        <w:div w:id="491335637">
          <w:marLeft w:val="0"/>
          <w:marRight w:val="0"/>
          <w:marTop w:val="0"/>
          <w:marBottom w:val="0"/>
          <w:divBdr>
            <w:top w:val="none" w:sz="0" w:space="0" w:color="auto"/>
            <w:left w:val="none" w:sz="0" w:space="0" w:color="auto"/>
            <w:bottom w:val="none" w:sz="0" w:space="0" w:color="auto"/>
            <w:right w:val="none" w:sz="0" w:space="0" w:color="auto"/>
          </w:divBdr>
          <w:divsChild>
            <w:div w:id="1646665597">
              <w:marLeft w:val="0"/>
              <w:marRight w:val="0"/>
              <w:marTop w:val="0"/>
              <w:marBottom w:val="0"/>
              <w:divBdr>
                <w:top w:val="none" w:sz="0" w:space="0" w:color="auto"/>
                <w:left w:val="none" w:sz="0" w:space="0" w:color="auto"/>
                <w:bottom w:val="none" w:sz="0" w:space="0" w:color="auto"/>
                <w:right w:val="none" w:sz="0" w:space="0" w:color="auto"/>
              </w:divBdr>
            </w:div>
          </w:divsChild>
        </w:div>
        <w:div w:id="511796718">
          <w:marLeft w:val="0"/>
          <w:marRight w:val="0"/>
          <w:marTop w:val="0"/>
          <w:marBottom w:val="0"/>
          <w:divBdr>
            <w:top w:val="none" w:sz="0" w:space="0" w:color="auto"/>
            <w:left w:val="none" w:sz="0" w:space="0" w:color="auto"/>
            <w:bottom w:val="none" w:sz="0" w:space="0" w:color="auto"/>
            <w:right w:val="none" w:sz="0" w:space="0" w:color="auto"/>
          </w:divBdr>
          <w:divsChild>
            <w:div w:id="405104881">
              <w:marLeft w:val="0"/>
              <w:marRight w:val="0"/>
              <w:marTop w:val="0"/>
              <w:marBottom w:val="0"/>
              <w:divBdr>
                <w:top w:val="none" w:sz="0" w:space="0" w:color="auto"/>
                <w:left w:val="none" w:sz="0" w:space="0" w:color="auto"/>
                <w:bottom w:val="none" w:sz="0" w:space="0" w:color="auto"/>
                <w:right w:val="none" w:sz="0" w:space="0" w:color="auto"/>
              </w:divBdr>
            </w:div>
          </w:divsChild>
        </w:div>
        <w:div w:id="531387052">
          <w:marLeft w:val="0"/>
          <w:marRight w:val="0"/>
          <w:marTop w:val="0"/>
          <w:marBottom w:val="0"/>
          <w:divBdr>
            <w:top w:val="none" w:sz="0" w:space="0" w:color="auto"/>
            <w:left w:val="none" w:sz="0" w:space="0" w:color="auto"/>
            <w:bottom w:val="none" w:sz="0" w:space="0" w:color="auto"/>
            <w:right w:val="none" w:sz="0" w:space="0" w:color="auto"/>
          </w:divBdr>
          <w:divsChild>
            <w:div w:id="217597677">
              <w:marLeft w:val="0"/>
              <w:marRight w:val="0"/>
              <w:marTop w:val="0"/>
              <w:marBottom w:val="0"/>
              <w:divBdr>
                <w:top w:val="none" w:sz="0" w:space="0" w:color="auto"/>
                <w:left w:val="none" w:sz="0" w:space="0" w:color="auto"/>
                <w:bottom w:val="none" w:sz="0" w:space="0" w:color="auto"/>
                <w:right w:val="none" w:sz="0" w:space="0" w:color="auto"/>
              </w:divBdr>
            </w:div>
          </w:divsChild>
        </w:div>
        <w:div w:id="545802379">
          <w:marLeft w:val="0"/>
          <w:marRight w:val="0"/>
          <w:marTop w:val="0"/>
          <w:marBottom w:val="0"/>
          <w:divBdr>
            <w:top w:val="none" w:sz="0" w:space="0" w:color="auto"/>
            <w:left w:val="none" w:sz="0" w:space="0" w:color="auto"/>
            <w:bottom w:val="none" w:sz="0" w:space="0" w:color="auto"/>
            <w:right w:val="none" w:sz="0" w:space="0" w:color="auto"/>
          </w:divBdr>
          <w:divsChild>
            <w:div w:id="343557256">
              <w:marLeft w:val="0"/>
              <w:marRight w:val="0"/>
              <w:marTop w:val="0"/>
              <w:marBottom w:val="0"/>
              <w:divBdr>
                <w:top w:val="none" w:sz="0" w:space="0" w:color="auto"/>
                <w:left w:val="none" w:sz="0" w:space="0" w:color="auto"/>
                <w:bottom w:val="none" w:sz="0" w:space="0" w:color="auto"/>
                <w:right w:val="none" w:sz="0" w:space="0" w:color="auto"/>
              </w:divBdr>
            </w:div>
          </w:divsChild>
        </w:div>
        <w:div w:id="567427040">
          <w:marLeft w:val="0"/>
          <w:marRight w:val="0"/>
          <w:marTop w:val="0"/>
          <w:marBottom w:val="0"/>
          <w:divBdr>
            <w:top w:val="none" w:sz="0" w:space="0" w:color="auto"/>
            <w:left w:val="none" w:sz="0" w:space="0" w:color="auto"/>
            <w:bottom w:val="none" w:sz="0" w:space="0" w:color="auto"/>
            <w:right w:val="none" w:sz="0" w:space="0" w:color="auto"/>
          </w:divBdr>
          <w:divsChild>
            <w:div w:id="1385979851">
              <w:marLeft w:val="0"/>
              <w:marRight w:val="0"/>
              <w:marTop w:val="0"/>
              <w:marBottom w:val="0"/>
              <w:divBdr>
                <w:top w:val="none" w:sz="0" w:space="0" w:color="auto"/>
                <w:left w:val="none" w:sz="0" w:space="0" w:color="auto"/>
                <w:bottom w:val="none" w:sz="0" w:space="0" w:color="auto"/>
                <w:right w:val="none" w:sz="0" w:space="0" w:color="auto"/>
              </w:divBdr>
            </w:div>
          </w:divsChild>
        </w:div>
        <w:div w:id="590624433">
          <w:marLeft w:val="0"/>
          <w:marRight w:val="0"/>
          <w:marTop w:val="0"/>
          <w:marBottom w:val="0"/>
          <w:divBdr>
            <w:top w:val="none" w:sz="0" w:space="0" w:color="auto"/>
            <w:left w:val="none" w:sz="0" w:space="0" w:color="auto"/>
            <w:bottom w:val="none" w:sz="0" w:space="0" w:color="auto"/>
            <w:right w:val="none" w:sz="0" w:space="0" w:color="auto"/>
          </w:divBdr>
          <w:divsChild>
            <w:div w:id="1364525274">
              <w:marLeft w:val="0"/>
              <w:marRight w:val="0"/>
              <w:marTop w:val="0"/>
              <w:marBottom w:val="0"/>
              <w:divBdr>
                <w:top w:val="none" w:sz="0" w:space="0" w:color="auto"/>
                <w:left w:val="none" w:sz="0" w:space="0" w:color="auto"/>
                <w:bottom w:val="none" w:sz="0" w:space="0" w:color="auto"/>
                <w:right w:val="none" w:sz="0" w:space="0" w:color="auto"/>
              </w:divBdr>
            </w:div>
          </w:divsChild>
        </w:div>
        <w:div w:id="595215505">
          <w:marLeft w:val="0"/>
          <w:marRight w:val="0"/>
          <w:marTop w:val="0"/>
          <w:marBottom w:val="0"/>
          <w:divBdr>
            <w:top w:val="none" w:sz="0" w:space="0" w:color="auto"/>
            <w:left w:val="none" w:sz="0" w:space="0" w:color="auto"/>
            <w:bottom w:val="none" w:sz="0" w:space="0" w:color="auto"/>
            <w:right w:val="none" w:sz="0" w:space="0" w:color="auto"/>
          </w:divBdr>
          <w:divsChild>
            <w:div w:id="1589653728">
              <w:marLeft w:val="0"/>
              <w:marRight w:val="0"/>
              <w:marTop w:val="0"/>
              <w:marBottom w:val="0"/>
              <w:divBdr>
                <w:top w:val="none" w:sz="0" w:space="0" w:color="auto"/>
                <w:left w:val="none" w:sz="0" w:space="0" w:color="auto"/>
                <w:bottom w:val="none" w:sz="0" w:space="0" w:color="auto"/>
                <w:right w:val="none" w:sz="0" w:space="0" w:color="auto"/>
              </w:divBdr>
            </w:div>
          </w:divsChild>
        </w:div>
        <w:div w:id="612833314">
          <w:marLeft w:val="0"/>
          <w:marRight w:val="0"/>
          <w:marTop w:val="0"/>
          <w:marBottom w:val="0"/>
          <w:divBdr>
            <w:top w:val="none" w:sz="0" w:space="0" w:color="auto"/>
            <w:left w:val="none" w:sz="0" w:space="0" w:color="auto"/>
            <w:bottom w:val="none" w:sz="0" w:space="0" w:color="auto"/>
            <w:right w:val="none" w:sz="0" w:space="0" w:color="auto"/>
          </w:divBdr>
          <w:divsChild>
            <w:div w:id="1840268237">
              <w:marLeft w:val="0"/>
              <w:marRight w:val="0"/>
              <w:marTop w:val="0"/>
              <w:marBottom w:val="0"/>
              <w:divBdr>
                <w:top w:val="none" w:sz="0" w:space="0" w:color="auto"/>
                <w:left w:val="none" w:sz="0" w:space="0" w:color="auto"/>
                <w:bottom w:val="none" w:sz="0" w:space="0" w:color="auto"/>
                <w:right w:val="none" w:sz="0" w:space="0" w:color="auto"/>
              </w:divBdr>
            </w:div>
          </w:divsChild>
        </w:div>
        <w:div w:id="620527116">
          <w:marLeft w:val="0"/>
          <w:marRight w:val="0"/>
          <w:marTop w:val="0"/>
          <w:marBottom w:val="0"/>
          <w:divBdr>
            <w:top w:val="none" w:sz="0" w:space="0" w:color="auto"/>
            <w:left w:val="none" w:sz="0" w:space="0" w:color="auto"/>
            <w:bottom w:val="none" w:sz="0" w:space="0" w:color="auto"/>
            <w:right w:val="none" w:sz="0" w:space="0" w:color="auto"/>
          </w:divBdr>
          <w:divsChild>
            <w:div w:id="1880389227">
              <w:marLeft w:val="0"/>
              <w:marRight w:val="0"/>
              <w:marTop w:val="0"/>
              <w:marBottom w:val="0"/>
              <w:divBdr>
                <w:top w:val="none" w:sz="0" w:space="0" w:color="auto"/>
                <w:left w:val="none" w:sz="0" w:space="0" w:color="auto"/>
                <w:bottom w:val="none" w:sz="0" w:space="0" w:color="auto"/>
                <w:right w:val="none" w:sz="0" w:space="0" w:color="auto"/>
              </w:divBdr>
            </w:div>
          </w:divsChild>
        </w:div>
        <w:div w:id="627128940">
          <w:marLeft w:val="0"/>
          <w:marRight w:val="0"/>
          <w:marTop w:val="0"/>
          <w:marBottom w:val="0"/>
          <w:divBdr>
            <w:top w:val="none" w:sz="0" w:space="0" w:color="auto"/>
            <w:left w:val="none" w:sz="0" w:space="0" w:color="auto"/>
            <w:bottom w:val="none" w:sz="0" w:space="0" w:color="auto"/>
            <w:right w:val="none" w:sz="0" w:space="0" w:color="auto"/>
          </w:divBdr>
          <w:divsChild>
            <w:div w:id="628780204">
              <w:marLeft w:val="0"/>
              <w:marRight w:val="0"/>
              <w:marTop w:val="0"/>
              <w:marBottom w:val="0"/>
              <w:divBdr>
                <w:top w:val="none" w:sz="0" w:space="0" w:color="auto"/>
                <w:left w:val="none" w:sz="0" w:space="0" w:color="auto"/>
                <w:bottom w:val="none" w:sz="0" w:space="0" w:color="auto"/>
                <w:right w:val="none" w:sz="0" w:space="0" w:color="auto"/>
              </w:divBdr>
            </w:div>
          </w:divsChild>
        </w:div>
        <w:div w:id="628586425">
          <w:marLeft w:val="0"/>
          <w:marRight w:val="0"/>
          <w:marTop w:val="0"/>
          <w:marBottom w:val="0"/>
          <w:divBdr>
            <w:top w:val="none" w:sz="0" w:space="0" w:color="auto"/>
            <w:left w:val="none" w:sz="0" w:space="0" w:color="auto"/>
            <w:bottom w:val="none" w:sz="0" w:space="0" w:color="auto"/>
            <w:right w:val="none" w:sz="0" w:space="0" w:color="auto"/>
          </w:divBdr>
          <w:divsChild>
            <w:div w:id="2127577170">
              <w:marLeft w:val="0"/>
              <w:marRight w:val="0"/>
              <w:marTop w:val="0"/>
              <w:marBottom w:val="0"/>
              <w:divBdr>
                <w:top w:val="none" w:sz="0" w:space="0" w:color="auto"/>
                <w:left w:val="none" w:sz="0" w:space="0" w:color="auto"/>
                <w:bottom w:val="none" w:sz="0" w:space="0" w:color="auto"/>
                <w:right w:val="none" w:sz="0" w:space="0" w:color="auto"/>
              </w:divBdr>
            </w:div>
          </w:divsChild>
        </w:div>
        <w:div w:id="634261921">
          <w:marLeft w:val="0"/>
          <w:marRight w:val="0"/>
          <w:marTop w:val="0"/>
          <w:marBottom w:val="0"/>
          <w:divBdr>
            <w:top w:val="none" w:sz="0" w:space="0" w:color="auto"/>
            <w:left w:val="none" w:sz="0" w:space="0" w:color="auto"/>
            <w:bottom w:val="none" w:sz="0" w:space="0" w:color="auto"/>
            <w:right w:val="none" w:sz="0" w:space="0" w:color="auto"/>
          </w:divBdr>
          <w:divsChild>
            <w:div w:id="1427573992">
              <w:marLeft w:val="0"/>
              <w:marRight w:val="0"/>
              <w:marTop w:val="0"/>
              <w:marBottom w:val="0"/>
              <w:divBdr>
                <w:top w:val="none" w:sz="0" w:space="0" w:color="auto"/>
                <w:left w:val="none" w:sz="0" w:space="0" w:color="auto"/>
                <w:bottom w:val="none" w:sz="0" w:space="0" w:color="auto"/>
                <w:right w:val="none" w:sz="0" w:space="0" w:color="auto"/>
              </w:divBdr>
            </w:div>
          </w:divsChild>
        </w:div>
        <w:div w:id="638417974">
          <w:marLeft w:val="0"/>
          <w:marRight w:val="0"/>
          <w:marTop w:val="0"/>
          <w:marBottom w:val="0"/>
          <w:divBdr>
            <w:top w:val="none" w:sz="0" w:space="0" w:color="auto"/>
            <w:left w:val="none" w:sz="0" w:space="0" w:color="auto"/>
            <w:bottom w:val="none" w:sz="0" w:space="0" w:color="auto"/>
            <w:right w:val="none" w:sz="0" w:space="0" w:color="auto"/>
          </w:divBdr>
          <w:divsChild>
            <w:div w:id="2040399003">
              <w:marLeft w:val="0"/>
              <w:marRight w:val="0"/>
              <w:marTop w:val="0"/>
              <w:marBottom w:val="0"/>
              <w:divBdr>
                <w:top w:val="none" w:sz="0" w:space="0" w:color="auto"/>
                <w:left w:val="none" w:sz="0" w:space="0" w:color="auto"/>
                <w:bottom w:val="none" w:sz="0" w:space="0" w:color="auto"/>
                <w:right w:val="none" w:sz="0" w:space="0" w:color="auto"/>
              </w:divBdr>
            </w:div>
          </w:divsChild>
        </w:div>
        <w:div w:id="669521973">
          <w:marLeft w:val="0"/>
          <w:marRight w:val="0"/>
          <w:marTop w:val="0"/>
          <w:marBottom w:val="0"/>
          <w:divBdr>
            <w:top w:val="none" w:sz="0" w:space="0" w:color="auto"/>
            <w:left w:val="none" w:sz="0" w:space="0" w:color="auto"/>
            <w:bottom w:val="none" w:sz="0" w:space="0" w:color="auto"/>
            <w:right w:val="none" w:sz="0" w:space="0" w:color="auto"/>
          </w:divBdr>
          <w:divsChild>
            <w:div w:id="1211724108">
              <w:marLeft w:val="0"/>
              <w:marRight w:val="0"/>
              <w:marTop w:val="0"/>
              <w:marBottom w:val="0"/>
              <w:divBdr>
                <w:top w:val="none" w:sz="0" w:space="0" w:color="auto"/>
                <w:left w:val="none" w:sz="0" w:space="0" w:color="auto"/>
                <w:bottom w:val="none" w:sz="0" w:space="0" w:color="auto"/>
                <w:right w:val="none" w:sz="0" w:space="0" w:color="auto"/>
              </w:divBdr>
            </w:div>
          </w:divsChild>
        </w:div>
        <w:div w:id="672415627">
          <w:marLeft w:val="0"/>
          <w:marRight w:val="0"/>
          <w:marTop w:val="0"/>
          <w:marBottom w:val="0"/>
          <w:divBdr>
            <w:top w:val="none" w:sz="0" w:space="0" w:color="auto"/>
            <w:left w:val="none" w:sz="0" w:space="0" w:color="auto"/>
            <w:bottom w:val="none" w:sz="0" w:space="0" w:color="auto"/>
            <w:right w:val="none" w:sz="0" w:space="0" w:color="auto"/>
          </w:divBdr>
          <w:divsChild>
            <w:div w:id="1825194486">
              <w:marLeft w:val="0"/>
              <w:marRight w:val="0"/>
              <w:marTop w:val="0"/>
              <w:marBottom w:val="0"/>
              <w:divBdr>
                <w:top w:val="none" w:sz="0" w:space="0" w:color="auto"/>
                <w:left w:val="none" w:sz="0" w:space="0" w:color="auto"/>
                <w:bottom w:val="none" w:sz="0" w:space="0" w:color="auto"/>
                <w:right w:val="none" w:sz="0" w:space="0" w:color="auto"/>
              </w:divBdr>
            </w:div>
          </w:divsChild>
        </w:div>
        <w:div w:id="707611251">
          <w:marLeft w:val="0"/>
          <w:marRight w:val="0"/>
          <w:marTop w:val="0"/>
          <w:marBottom w:val="0"/>
          <w:divBdr>
            <w:top w:val="none" w:sz="0" w:space="0" w:color="auto"/>
            <w:left w:val="none" w:sz="0" w:space="0" w:color="auto"/>
            <w:bottom w:val="none" w:sz="0" w:space="0" w:color="auto"/>
            <w:right w:val="none" w:sz="0" w:space="0" w:color="auto"/>
          </w:divBdr>
          <w:divsChild>
            <w:div w:id="2108571597">
              <w:marLeft w:val="0"/>
              <w:marRight w:val="0"/>
              <w:marTop w:val="0"/>
              <w:marBottom w:val="0"/>
              <w:divBdr>
                <w:top w:val="none" w:sz="0" w:space="0" w:color="auto"/>
                <w:left w:val="none" w:sz="0" w:space="0" w:color="auto"/>
                <w:bottom w:val="none" w:sz="0" w:space="0" w:color="auto"/>
                <w:right w:val="none" w:sz="0" w:space="0" w:color="auto"/>
              </w:divBdr>
            </w:div>
          </w:divsChild>
        </w:div>
        <w:div w:id="720907410">
          <w:marLeft w:val="0"/>
          <w:marRight w:val="0"/>
          <w:marTop w:val="0"/>
          <w:marBottom w:val="0"/>
          <w:divBdr>
            <w:top w:val="none" w:sz="0" w:space="0" w:color="auto"/>
            <w:left w:val="none" w:sz="0" w:space="0" w:color="auto"/>
            <w:bottom w:val="none" w:sz="0" w:space="0" w:color="auto"/>
            <w:right w:val="none" w:sz="0" w:space="0" w:color="auto"/>
          </w:divBdr>
          <w:divsChild>
            <w:div w:id="1404527057">
              <w:marLeft w:val="0"/>
              <w:marRight w:val="0"/>
              <w:marTop w:val="0"/>
              <w:marBottom w:val="0"/>
              <w:divBdr>
                <w:top w:val="none" w:sz="0" w:space="0" w:color="auto"/>
                <w:left w:val="none" w:sz="0" w:space="0" w:color="auto"/>
                <w:bottom w:val="none" w:sz="0" w:space="0" w:color="auto"/>
                <w:right w:val="none" w:sz="0" w:space="0" w:color="auto"/>
              </w:divBdr>
            </w:div>
          </w:divsChild>
        </w:div>
        <w:div w:id="726539043">
          <w:marLeft w:val="0"/>
          <w:marRight w:val="0"/>
          <w:marTop w:val="0"/>
          <w:marBottom w:val="0"/>
          <w:divBdr>
            <w:top w:val="none" w:sz="0" w:space="0" w:color="auto"/>
            <w:left w:val="none" w:sz="0" w:space="0" w:color="auto"/>
            <w:bottom w:val="none" w:sz="0" w:space="0" w:color="auto"/>
            <w:right w:val="none" w:sz="0" w:space="0" w:color="auto"/>
          </w:divBdr>
          <w:divsChild>
            <w:div w:id="1054814723">
              <w:marLeft w:val="0"/>
              <w:marRight w:val="0"/>
              <w:marTop w:val="0"/>
              <w:marBottom w:val="0"/>
              <w:divBdr>
                <w:top w:val="none" w:sz="0" w:space="0" w:color="auto"/>
                <w:left w:val="none" w:sz="0" w:space="0" w:color="auto"/>
                <w:bottom w:val="none" w:sz="0" w:space="0" w:color="auto"/>
                <w:right w:val="none" w:sz="0" w:space="0" w:color="auto"/>
              </w:divBdr>
            </w:div>
          </w:divsChild>
        </w:div>
        <w:div w:id="737748425">
          <w:marLeft w:val="0"/>
          <w:marRight w:val="0"/>
          <w:marTop w:val="0"/>
          <w:marBottom w:val="0"/>
          <w:divBdr>
            <w:top w:val="none" w:sz="0" w:space="0" w:color="auto"/>
            <w:left w:val="none" w:sz="0" w:space="0" w:color="auto"/>
            <w:bottom w:val="none" w:sz="0" w:space="0" w:color="auto"/>
            <w:right w:val="none" w:sz="0" w:space="0" w:color="auto"/>
          </w:divBdr>
          <w:divsChild>
            <w:div w:id="1182007727">
              <w:marLeft w:val="0"/>
              <w:marRight w:val="0"/>
              <w:marTop w:val="0"/>
              <w:marBottom w:val="0"/>
              <w:divBdr>
                <w:top w:val="none" w:sz="0" w:space="0" w:color="auto"/>
                <w:left w:val="none" w:sz="0" w:space="0" w:color="auto"/>
                <w:bottom w:val="none" w:sz="0" w:space="0" w:color="auto"/>
                <w:right w:val="none" w:sz="0" w:space="0" w:color="auto"/>
              </w:divBdr>
            </w:div>
          </w:divsChild>
        </w:div>
        <w:div w:id="740448861">
          <w:marLeft w:val="0"/>
          <w:marRight w:val="0"/>
          <w:marTop w:val="0"/>
          <w:marBottom w:val="0"/>
          <w:divBdr>
            <w:top w:val="none" w:sz="0" w:space="0" w:color="auto"/>
            <w:left w:val="none" w:sz="0" w:space="0" w:color="auto"/>
            <w:bottom w:val="none" w:sz="0" w:space="0" w:color="auto"/>
            <w:right w:val="none" w:sz="0" w:space="0" w:color="auto"/>
          </w:divBdr>
          <w:divsChild>
            <w:div w:id="674724246">
              <w:marLeft w:val="0"/>
              <w:marRight w:val="0"/>
              <w:marTop w:val="0"/>
              <w:marBottom w:val="0"/>
              <w:divBdr>
                <w:top w:val="none" w:sz="0" w:space="0" w:color="auto"/>
                <w:left w:val="none" w:sz="0" w:space="0" w:color="auto"/>
                <w:bottom w:val="none" w:sz="0" w:space="0" w:color="auto"/>
                <w:right w:val="none" w:sz="0" w:space="0" w:color="auto"/>
              </w:divBdr>
            </w:div>
          </w:divsChild>
        </w:div>
        <w:div w:id="744648194">
          <w:marLeft w:val="0"/>
          <w:marRight w:val="0"/>
          <w:marTop w:val="0"/>
          <w:marBottom w:val="0"/>
          <w:divBdr>
            <w:top w:val="none" w:sz="0" w:space="0" w:color="auto"/>
            <w:left w:val="none" w:sz="0" w:space="0" w:color="auto"/>
            <w:bottom w:val="none" w:sz="0" w:space="0" w:color="auto"/>
            <w:right w:val="none" w:sz="0" w:space="0" w:color="auto"/>
          </w:divBdr>
          <w:divsChild>
            <w:div w:id="852184531">
              <w:marLeft w:val="0"/>
              <w:marRight w:val="0"/>
              <w:marTop w:val="0"/>
              <w:marBottom w:val="0"/>
              <w:divBdr>
                <w:top w:val="none" w:sz="0" w:space="0" w:color="auto"/>
                <w:left w:val="none" w:sz="0" w:space="0" w:color="auto"/>
                <w:bottom w:val="none" w:sz="0" w:space="0" w:color="auto"/>
                <w:right w:val="none" w:sz="0" w:space="0" w:color="auto"/>
              </w:divBdr>
            </w:div>
          </w:divsChild>
        </w:div>
        <w:div w:id="745497064">
          <w:marLeft w:val="0"/>
          <w:marRight w:val="0"/>
          <w:marTop w:val="0"/>
          <w:marBottom w:val="0"/>
          <w:divBdr>
            <w:top w:val="none" w:sz="0" w:space="0" w:color="auto"/>
            <w:left w:val="none" w:sz="0" w:space="0" w:color="auto"/>
            <w:bottom w:val="none" w:sz="0" w:space="0" w:color="auto"/>
            <w:right w:val="none" w:sz="0" w:space="0" w:color="auto"/>
          </w:divBdr>
          <w:divsChild>
            <w:div w:id="2118334042">
              <w:marLeft w:val="0"/>
              <w:marRight w:val="0"/>
              <w:marTop w:val="0"/>
              <w:marBottom w:val="0"/>
              <w:divBdr>
                <w:top w:val="none" w:sz="0" w:space="0" w:color="auto"/>
                <w:left w:val="none" w:sz="0" w:space="0" w:color="auto"/>
                <w:bottom w:val="none" w:sz="0" w:space="0" w:color="auto"/>
                <w:right w:val="none" w:sz="0" w:space="0" w:color="auto"/>
              </w:divBdr>
            </w:div>
          </w:divsChild>
        </w:div>
        <w:div w:id="747265391">
          <w:marLeft w:val="0"/>
          <w:marRight w:val="0"/>
          <w:marTop w:val="0"/>
          <w:marBottom w:val="0"/>
          <w:divBdr>
            <w:top w:val="none" w:sz="0" w:space="0" w:color="auto"/>
            <w:left w:val="none" w:sz="0" w:space="0" w:color="auto"/>
            <w:bottom w:val="none" w:sz="0" w:space="0" w:color="auto"/>
            <w:right w:val="none" w:sz="0" w:space="0" w:color="auto"/>
          </w:divBdr>
          <w:divsChild>
            <w:div w:id="646785111">
              <w:marLeft w:val="0"/>
              <w:marRight w:val="0"/>
              <w:marTop w:val="0"/>
              <w:marBottom w:val="0"/>
              <w:divBdr>
                <w:top w:val="none" w:sz="0" w:space="0" w:color="auto"/>
                <w:left w:val="none" w:sz="0" w:space="0" w:color="auto"/>
                <w:bottom w:val="none" w:sz="0" w:space="0" w:color="auto"/>
                <w:right w:val="none" w:sz="0" w:space="0" w:color="auto"/>
              </w:divBdr>
            </w:div>
          </w:divsChild>
        </w:div>
        <w:div w:id="747849098">
          <w:marLeft w:val="0"/>
          <w:marRight w:val="0"/>
          <w:marTop w:val="0"/>
          <w:marBottom w:val="0"/>
          <w:divBdr>
            <w:top w:val="none" w:sz="0" w:space="0" w:color="auto"/>
            <w:left w:val="none" w:sz="0" w:space="0" w:color="auto"/>
            <w:bottom w:val="none" w:sz="0" w:space="0" w:color="auto"/>
            <w:right w:val="none" w:sz="0" w:space="0" w:color="auto"/>
          </w:divBdr>
          <w:divsChild>
            <w:div w:id="469369957">
              <w:marLeft w:val="0"/>
              <w:marRight w:val="0"/>
              <w:marTop w:val="0"/>
              <w:marBottom w:val="0"/>
              <w:divBdr>
                <w:top w:val="none" w:sz="0" w:space="0" w:color="auto"/>
                <w:left w:val="none" w:sz="0" w:space="0" w:color="auto"/>
                <w:bottom w:val="none" w:sz="0" w:space="0" w:color="auto"/>
                <w:right w:val="none" w:sz="0" w:space="0" w:color="auto"/>
              </w:divBdr>
            </w:div>
          </w:divsChild>
        </w:div>
        <w:div w:id="758215251">
          <w:marLeft w:val="0"/>
          <w:marRight w:val="0"/>
          <w:marTop w:val="0"/>
          <w:marBottom w:val="0"/>
          <w:divBdr>
            <w:top w:val="none" w:sz="0" w:space="0" w:color="auto"/>
            <w:left w:val="none" w:sz="0" w:space="0" w:color="auto"/>
            <w:bottom w:val="none" w:sz="0" w:space="0" w:color="auto"/>
            <w:right w:val="none" w:sz="0" w:space="0" w:color="auto"/>
          </w:divBdr>
          <w:divsChild>
            <w:div w:id="59791858">
              <w:marLeft w:val="0"/>
              <w:marRight w:val="0"/>
              <w:marTop w:val="0"/>
              <w:marBottom w:val="0"/>
              <w:divBdr>
                <w:top w:val="none" w:sz="0" w:space="0" w:color="auto"/>
                <w:left w:val="none" w:sz="0" w:space="0" w:color="auto"/>
                <w:bottom w:val="none" w:sz="0" w:space="0" w:color="auto"/>
                <w:right w:val="none" w:sz="0" w:space="0" w:color="auto"/>
              </w:divBdr>
            </w:div>
          </w:divsChild>
        </w:div>
        <w:div w:id="770010392">
          <w:marLeft w:val="0"/>
          <w:marRight w:val="0"/>
          <w:marTop w:val="0"/>
          <w:marBottom w:val="0"/>
          <w:divBdr>
            <w:top w:val="none" w:sz="0" w:space="0" w:color="auto"/>
            <w:left w:val="none" w:sz="0" w:space="0" w:color="auto"/>
            <w:bottom w:val="none" w:sz="0" w:space="0" w:color="auto"/>
            <w:right w:val="none" w:sz="0" w:space="0" w:color="auto"/>
          </w:divBdr>
          <w:divsChild>
            <w:div w:id="1161119043">
              <w:marLeft w:val="0"/>
              <w:marRight w:val="0"/>
              <w:marTop w:val="0"/>
              <w:marBottom w:val="0"/>
              <w:divBdr>
                <w:top w:val="none" w:sz="0" w:space="0" w:color="auto"/>
                <w:left w:val="none" w:sz="0" w:space="0" w:color="auto"/>
                <w:bottom w:val="none" w:sz="0" w:space="0" w:color="auto"/>
                <w:right w:val="none" w:sz="0" w:space="0" w:color="auto"/>
              </w:divBdr>
            </w:div>
          </w:divsChild>
        </w:div>
        <w:div w:id="770316447">
          <w:marLeft w:val="0"/>
          <w:marRight w:val="0"/>
          <w:marTop w:val="0"/>
          <w:marBottom w:val="0"/>
          <w:divBdr>
            <w:top w:val="none" w:sz="0" w:space="0" w:color="auto"/>
            <w:left w:val="none" w:sz="0" w:space="0" w:color="auto"/>
            <w:bottom w:val="none" w:sz="0" w:space="0" w:color="auto"/>
            <w:right w:val="none" w:sz="0" w:space="0" w:color="auto"/>
          </w:divBdr>
          <w:divsChild>
            <w:div w:id="150869782">
              <w:marLeft w:val="0"/>
              <w:marRight w:val="0"/>
              <w:marTop w:val="0"/>
              <w:marBottom w:val="0"/>
              <w:divBdr>
                <w:top w:val="none" w:sz="0" w:space="0" w:color="auto"/>
                <w:left w:val="none" w:sz="0" w:space="0" w:color="auto"/>
                <w:bottom w:val="none" w:sz="0" w:space="0" w:color="auto"/>
                <w:right w:val="none" w:sz="0" w:space="0" w:color="auto"/>
              </w:divBdr>
            </w:div>
          </w:divsChild>
        </w:div>
        <w:div w:id="783497348">
          <w:marLeft w:val="0"/>
          <w:marRight w:val="0"/>
          <w:marTop w:val="0"/>
          <w:marBottom w:val="0"/>
          <w:divBdr>
            <w:top w:val="none" w:sz="0" w:space="0" w:color="auto"/>
            <w:left w:val="none" w:sz="0" w:space="0" w:color="auto"/>
            <w:bottom w:val="none" w:sz="0" w:space="0" w:color="auto"/>
            <w:right w:val="none" w:sz="0" w:space="0" w:color="auto"/>
          </w:divBdr>
          <w:divsChild>
            <w:div w:id="140731287">
              <w:marLeft w:val="0"/>
              <w:marRight w:val="0"/>
              <w:marTop w:val="0"/>
              <w:marBottom w:val="0"/>
              <w:divBdr>
                <w:top w:val="none" w:sz="0" w:space="0" w:color="auto"/>
                <w:left w:val="none" w:sz="0" w:space="0" w:color="auto"/>
                <w:bottom w:val="none" w:sz="0" w:space="0" w:color="auto"/>
                <w:right w:val="none" w:sz="0" w:space="0" w:color="auto"/>
              </w:divBdr>
            </w:div>
          </w:divsChild>
        </w:div>
        <w:div w:id="793982840">
          <w:marLeft w:val="0"/>
          <w:marRight w:val="0"/>
          <w:marTop w:val="0"/>
          <w:marBottom w:val="0"/>
          <w:divBdr>
            <w:top w:val="none" w:sz="0" w:space="0" w:color="auto"/>
            <w:left w:val="none" w:sz="0" w:space="0" w:color="auto"/>
            <w:bottom w:val="none" w:sz="0" w:space="0" w:color="auto"/>
            <w:right w:val="none" w:sz="0" w:space="0" w:color="auto"/>
          </w:divBdr>
          <w:divsChild>
            <w:div w:id="553274555">
              <w:marLeft w:val="0"/>
              <w:marRight w:val="0"/>
              <w:marTop w:val="0"/>
              <w:marBottom w:val="0"/>
              <w:divBdr>
                <w:top w:val="none" w:sz="0" w:space="0" w:color="auto"/>
                <w:left w:val="none" w:sz="0" w:space="0" w:color="auto"/>
                <w:bottom w:val="none" w:sz="0" w:space="0" w:color="auto"/>
                <w:right w:val="none" w:sz="0" w:space="0" w:color="auto"/>
              </w:divBdr>
            </w:div>
          </w:divsChild>
        </w:div>
        <w:div w:id="826674992">
          <w:marLeft w:val="0"/>
          <w:marRight w:val="0"/>
          <w:marTop w:val="0"/>
          <w:marBottom w:val="0"/>
          <w:divBdr>
            <w:top w:val="none" w:sz="0" w:space="0" w:color="auto"/>
            <w:left w:val="none" w:sz="0" w:space="0" w:color="auto"/>
            <w:bottom w:val="none" w:sz="0" w:space="0" w:color="auto"/>
            <w:right w:val="none" w:sz="0" w:space="0" w:color="auto"/>
          </w:divBdr>
          <w:divsChild>
            <w:div w:id="1186210022">
              <w:marLeft w:val="0"/>
              <w:marRight w:val="0"/>
              <w:marTop w:val="0"/>
              <w:marBottom w:val="0"/>
              <w:divBdr>
                <w:top w:val="none" w:sz="0" w:space="0" w:color="auto"/>
                <w:left w:val="none" w:sz="0" w:space="0" w:color="auto"/>
                <w:bottom w:val="none" w:sz="0" w:space="0" w:color="auto"/>
                <w:right w:val="none" w:sz="0" w:space="0" w:color="auto"/>
              </w:divBdr>
            </w:div>
          </w:divsChild>
        </w:div>
        <w:div w:id="827745985">
          <w:marLeft w:val="0"/>
          <w:marRight w:val="0"/>
          <w:marTop w:val="0"/>
          <w:marBottom w:val="0"/>
          <w:divBdr>
            <w:top w:val="none" w:sz="0" w:space="0" w:color="auto"/>
            <w:left w:val="none" w:sz="0" w:space="0" w:color="auto"/>
            <w:bottom w:val="none" w:sz="0" w:space="0" w:color="auto"/>
            <w:right w:val="none" w:sz="0" w:space="0" w:color="auto"/>
          </w:divBdr>
          <w:divsChild>
            <w:div w:id="398478176">
              <w:marLeft w:val="0"/>
              <w:marRight w:val="0"/>
              <w:marTop w:val="0"/>
              <w:marBottom w:val="0"/>
              <w:divBdr>
                <w:top w:val="none" w:sz="0" w:space="0" w:color="auto"/>
                <w:left w:val="none" w:sz="0" w:space="0" w:color="auto"/>
                <w:bottom w:val="none" w:sz="0" w:space="0" w:color="auto"/>
                <w:right w:val="none" w:sz="0" w:space="0" w:color="auto"/>
              </w:divBdr>
            </w:div>
          </w:divsChild>
        </w:div>
        <w:div w:id="831137350">
          <w:marLeft w:val="0"/>
          <w:marRight w:val="0"/>
          <w:marTop w:val="0"/>
          <w:marBottom w:val="0"/>
          <w:divBdr>
            <w:top w:val="none" w:sz="0" w:space="0" w:color="auto"/>
            <w:left w:val="none" w:sz="0" w:space="0" w:color="auto"/>
            <w:bottom w:val="none" w:sz="0" w:space="0" w:color="auto"/>
            <w:right w:val="none" w:sz="0" w:space="0" w:color="auto"/>
          </w:divBdr>
          <w:divsChild>
            <w:div w:id="619456052">
              <w:marLeft w:val="0"/>
              <w:marRight w:val="0"/>
              <w:marTop w:val="0"/>
              <w:marBottom w:val="0"/>
              <w:divBdr>
                <w:top w:val="none" w:sz="0" w:space="0" w:color="auto"/>
                <w:left w:val="none" w:sz="0" w:space="0" w:color="auto"/>
                <w:bottom w:val="none" w:sz="0" w:space="0" w:color="auto"/>
                <w:right w:val="none" w:sz="0" w:space="0" w:color="auto"/>
              </w:divBdr>
            </w:div>
          </w:divsChild>
        </w:div>
        <w:div w:id="831607077">
          <w:marLeft w:val="0"/>
          <w:marRight w:val="0"/>
          <w:marTop w:val="0"/>
          <w:marBottom w:val="0"/>
          <w:divBdr>
            <w:top w:val="none" w:sz="0" w:space="0" w:color="auto"/>
            <w:left w:val="none" w:sz="0" w:space="0" w:color="auto"/>
            <w:bottom w:val="none" w:sz="0" w:space="0" w:color="auto"/>
            <w:right w:val="none" w:sz="0" w:space="0" w:color="auto"/>
          </w:divBdr>
          <w:divsChild>
            <w:div w:id="1040015248">
              <w:marLeft w:val="0"/>
              <w:marRight w:val="0"/>
              <w:marTop w:val="0"/>
              <w:marBottom w:val="0"/>
              <w:divBdr>
                <w:top w:val="none" w:sz="0" w:space="0" w:color="auto"/>
                <w:left w:val="none" w:sz="0" w:space="0" w:color="auto"/>
                <w:bottom w:val="none" w:sz="0" w:space="0" w:color="auto"/>
                <w:right w:val="none" w:sz="0" w:space="0" w:color="auto"/>
              </w:divBdr>
            </w:div>
          </w:divsChild>
        </w:div>
        <w:div w:id="837817454">
          <w:marLeft w:val="0"/>
          <w:marRight w:val="0"/>
          <w:marTop w:val="0"/>
          <w:marBottom w:val="0"/>
          <w:divBdr>
            <w:top w:val="none" w:sz="0" w:space="0" w:color="auto"/>
            <w:left w:val="none" w:sz="0" w:space="0" w:color="auto"/>
            <w:bottom w:val="none" w:sz="0" w:space="0" w:color="auto"/>
            <w:right w:val="none" w:sz="0" w:space="0" w:color="auto"/>
          </w:divBdr>
          <w:divsChild>
            <w:div w:id="1796411558">
              <w:marLeft w:val="0"/>
              <w:marRight w:val="0"/>
              <w:marTop w:val="0"/>
              <w:marBottom w:val="0"/>
              <w:divBdr>
                <w:top w:val="none" w:sz="0" w:space="0" w:color="auto"/>
                <w:left w:val="none" w:sz="0" w:space="0" w:color="auto"/>
                <w:bottom w:val="none" w:sz="0" w:space="0" w:color="auto"/>
                <w:right w:val="none" w:sz="0" w:space="0" w:color="auto"/>
              </w:divBdr>
            </w:div>
          </w:divsChild>
        </w:div>
        <w:div w:id="853492873">
          <w:marLeft w:val="0"/>
          <w:marRight w:val="0"/>
          <w:marTop w:val="0"/>
          <w:marBottom w:val="0"/>
          <w:divBdr>
            <w:top w:val="none" w:sz="0" w:space="0" w:color="auto"/>
            <w:left w:val="none" w:sz="0" w:space="0" w:color="auto"/>
            <w:bottom w:val="none" w:sz="0" w:space="0" w:color="auto"/>
            <w:right w:val="none" w:sz="0" w:space="0" w:color="auto"/>
          </w:divBdr>
          <w:divsChild>
            <w:div w:id="133377829">
              <w:marLeft w:val="0"/>
              <w:marRight w:val="0"/>
              <w:marTop w:val="0"/>
              <w:marBottom w:val="0"/>
              <w:divBdr>
                <w:top w:val="none" w:sz="0" w:space="0" w:color="auto"/>
                <w:left w:val="none" w:sz="0" w:space="0" w:color="auto"/>
                <w:bottom w:val="none" w:sz="0" w:space="0" w:color="auto"/>
                <w:right w:val="none" w:sz="0" w:space="0" w:color="auto"/>
              </w:divBdr>
            </w:div>
          </w:divsChild>
        </w:div>
        <w:div w:id="861673285">
          <w:marLeft w:val="0"/>
          <w:marRight w:val="0"/>
          <w:marTop w:val="0"/>
          <w:marBottom w:val="0"/>
          <w:divBdr>
            <w:top w:val="none" w:sz="0" w:space="0" w:color="auto"/>
            <w:left w:val="none" w:sz="0" w:space="0" w:color="auto"/>
            <w:bottom w:val="none" w:sz="0" w:space="0" w:color="auto"/>
            <w:right w:val="none" w:sz="0" w:space="0" w:color="auto"/>
          </w:divBdr>
          <w:divsChild>
            <w:div w:id="294600593">
              <w:marLeft w:val="0"/>
              <w:marRight w:val="0"/>
              <w:marTop w:val="0"/>
              <w:marBottom w:val="0"/>
              <w:divBdr>
                <w:top w:val="none" w:sz="0" w:space="0" w:color="auto"/>
                <w:left w:val="none" w:sz="0" w:space="0" w:color="auto"/>
                <w:bottom w:val="none" w:sz="0" w:space="0" w:color="auto"/>
                <w:right w:val="none" w:sz="0" w:space="0" w:color="auto"/>
              </w:divBdr>
            </w:div>
          </w:divsChild>
        </w:div>
        <w:div w:id="879054922">
          <w:marLeft w:val="0"/>
          <w:marRight w:val="0"/>
          <w:marTop w:val="0"/>
          <w:marBottom w:val="0"/>
          <w:divBdr>
            <w:top w:val="none" w:sz="0" w:space="0" w:color="auto"/>
            <w:left w:val="none" w:sz="0" w:space="0" w:color="auto"/>
            <w:bottom w:val="none" w:sz="0" w:space="0" w:color="auto"/>
            <w:right w:val="none" w:sz="0" w:space="0" w:color="auto"/>
          </w:divBdr>
          <w:divsChild>
            <w:div w:id="781265791">
              <w:marLeft w:val="0"/>
              <w:marRight w:val="0"/>
              <w:marTop w:val="0"/>
              <w:marBottom w:val="0"/>
              <w:divBdr>
                <w:top w:val="none" w:sz="0" w:space="0" w:color="auto"/>
                <w:left w:val="none" w:sz="0" w:space="0" w:color="auto"/>
                <w:bottom w:val="none" w:sz="0" w:space="0" w:color="auto"/>
                <w:right w:val="none" w:sz="0" w:space="0" w:color="auto"/>
              </w:divBdr>
            </w:div>
          </w:divsChild>
        </w:div>
        <w:div w:id="881482241">
          <w:marLeft w:val="0"/>
          <w:marRight w:val="0"/>
          <w:marTop w:val="0"/>
          <w:marBottom w:val="0"/>
          <w:divBdr>
            <w:top w:val="none" w:sz="0" w:space="0" w:color="auto"/>
            <w:left w:val="none" w:sz="0" w:space="0" w:color="auto"/>
            <w:bottom w:val="none" w:sz="0" w:space="0" w:color="auto"/>
            <w:right w:val="none" w:sz="0" w:space="0" w:color="auto"/>
          </w:divBdr>
          <w:divsChild>
            <w:div w:id="32922992">
              <w:marLeft w:val="0"/>
              <w:marRight w:val="0"/>
              <w:marTop w:val="0"/>
              <w:marBottom w:val="0"/>
              <w:divBdr>
                <w:top w:val="none" w:sz="0" w:space="0" w:color="auto"/>
                <w:left w:val="none" w:sz="0" w:space="0" w:color="auto"/>
                <w:bottom w:val="none" w:sz="0" w:space="0" w:color="auto"/>
                <w:right w:val="none" w:sz="0" w:space="0" w:color="auto"/>
              </w:divBdr>
            </w:div>
          </w:divsChild>
        </w:div>
        <w:div w:id="882593055">
          <w:marLeft w:val="0"/>
          <w:marRight w:val="0"/>
          <w:marTop w:val="0"/>
          <w:marBottom w:val="0"/>
          <w:divBdr>
            <w:top w:val="none" w:sz="0" w:space="0" w:color="auto"/>
            <w:left w:val="none" w:sz="0" w:space="0" w:color="auto"/>
            <w:bottom w:val="none" w:sz="0" w:space="0" w:color="auto"/>
            <w:right w:val="none" w:sz="0" w:space="0" w:color="auto"/>
          </w:divBdr>
          <w:divsChild>
            <w:div w:id="1169829382">
              <w:marLeft w:val="0"/>
              <w:marRight w:val="0"/>
              <w:marTop w:val="0"/>
              <w:marBottom w:val="0"/>
              <w:divBdr>
                <w:top w:val="none" w:sz="0" w:space="0" w:color="auto"/>
                <w:left w:val="none" w:sz="0" w:space="0" w:color="auto"/>
                <w:bottom w:val="none" w:sz="0" w:space="0" w:color="auto"/>
                <w:right w:val="none" w:sz="0" w:space="0" w:color="auto"/>
              </w:divBdr>
            </w:div>
          </w:divsChild>
        </w:div>
        <w:div w:id="882642902">
          <w:marLeft w:val="0"/>
          <w:marRight w:val="0"/>
          <w:marTop w:val="0"/>
          <w:marBottom w:val="0"/>
          <w:divBdr>
            <w:top w:val="none" w:sz="0" w:space="0" w:color="auto"/>
            <w:left w:val="none" w:sz="0" w:space="0" w:color="auto"/>
            <w:bottom w:val="none" w:sz="0" w:space="0" w:color="auto"/>
            <w:right w:val="none" w:sz="0" w:space="0" w:color="auto"/>
          </w:divBdr>
          <w:divsChild>
            <w:div w:id="1879315792">
              <w:marLeft w:val="0"/>
              <w:marRight w:val="0"/>
              <w:marTop w:val="0"/>
              <w:marBottom w:val="0"/>
              <w:divBdr>
                <w:top w:val="none" w:sz="0" w:space="0" w:color="auto"/>
                <w:left w:val="none" w:sz="0" w:space="0" w:color="auto"/>
                <w:bottom w:val="none" w:sz="0" w:space="0" w:color="auto"/>
                <w:right w:val="none" w:sz="0" w:space="0" w:color="auto"/>
              </w:divBdr>
            </w:div>
          </w:divsChild>
        </w:div>
        <w:div w:id="884370816">
          <w:marLeft w:val="0"/>
          <w:marRight w:val="0"/>
          <w:marTop w:val="0"/>
          <w:marBottom w:val="0"/>
          <w:divBdr>
            <w:top w:val="none" w:sz="0" w:space="0" w:color="auto"/>
            <w:left w:val="none" w:sz="0" w:space="0" w:color="auto"/>
            <w:bottom w:val="none" w:sz="0" w:space="0" w:color="auto"/>
            <w:right w:val="none" w:sz="0" w:space="0" w:color="auto"/>
          </w:divBdr>
          <w:divsChild>
            <w:div w:id="1679622649">
              <w:marLeft w:val="0"/>
              <w:marRight w:val="0"/>
              <w:marTop w:val="0"/>
              <w:marBottom w:val="0"/>
              <w:divBdr>
                <w:top w:val="none" w:sz="0" w:space="0" w:color="auto"/>
                <w:left w:val="none" w:sz="0" w:space="0" w:color="auto"/>
                <w:bottom w:val="none" w:sz="0" w:space="0" w:color="auto"/>
                <w:right w:val="none" w:sz="0" w:space="0" w:color="auto"/>
              </w:divBdr>
            </w:div>
          </w:divsChild>
        </w:div>
        <w:div w:id="893740193">
          <w:marLeft w:val="0"/>
          <w:marRight w:val="0"/>
          <w:marTop w:val="0"/>
          <w:marBottom w:val="0"/>
          <w:divBdr>
            <w:top w:val="none" w:sz="0" w:space="0" w:color="auto"/>
            <w:left w:val="none" w:sz="0" w:space="0" w:color="auto"/>
            <w:bottom w:val="none" w:sz="0" w:space="0" w:color="auto"/>
            <w:right w:val="none" w:sz="0" w:space="0" w:color="auto"/>
          </w:divBdr>
          <w:divsChild>
            <w:div w:id="1257012524">
              <w:marLeft w:val="0"/>
              <w:marRight w:val="0"/>
              <w:marTop w:val="0"/>
              <w:marBottom w:val="0"/>
              <w:divBdr>
                <w:top w:val="none" w:sz="0" w:space="0" w:color="auto"/>
                <w:left w:val="none" w:sz="0" w:space="0" w:color="auto"/>
                <w:bottom w:val="none" w:sz="0" w:space="0" w:color="auto"/>
                <w:right w:val="none" w:sz="0" w:space="0" w:color="auto"/>
              </w:divBdr>
            </w:div>
          </w:divsChild>
        </w:div>
        <w:div w:id="900946224">
          <w:marLeft w:val="0"/>
          <w:marRight w:val="0"/>
          <w:marTop w:val="0"/>
          <w:marBottom w:val="0"/>
          <w:divBdr>
            <w:top w:val="none" w:sz="0" w:space="0" w:color="auto"/>
            <w:left w:val="none" w:sz="0" w:space="0" w:color="auto"/>
            <w:bottom w:val="none" w:sz="0" w:space="0" w:color="auto"/>
            <w:right w:val="none" w:sz="0" w:space="0" w:color="auto"/>
          </w:divBdr>
          <w:divsChild>
            <w:div w:id="529027950">
              <w:marLeft w:val="0"/>
              <w:marRight w:val="0"/>
              <w:marTop w:val="0"/>
              <w:marBottom w:val="0"/>
              <w:divBdr>
                <w:top w:val="none" w:sz="0" w:space="0" w:color="auto"/>
                <w:left w:val="none" w:sz="0" w:space="0" w:color="auto"/>
                <w:bottom w:val="none" w:sz="0" w:space="0" w:color="auto"/>
                <w:right w:val="none" w:sz="0" w:space="0" w:color="auto"/>
              </w:divBdr>
            </w:div>
          </w:divsChild>
        </w:div>
        <w:div w:id="909998561">
          <w:marLeft w:val="0"/>
          <w:marRight w:val="0"/>
          <w:marTop w:val="0"/>
          <w:marBottom w:val="0"/>
          <w:divBdr>
            <w:top w:val="none" w:sz="0" w:space="0" w:color="auto"/>
            <w:left w:val="none" w:sz="0" w:space="0" w:color="auto"/>
            <w:bottom w:val="none" w:sz="0" w:space="0" w:color="auto"/>
            <w:right w:val="none" w:sz="0" w:space="0" w:color="auto"/>
          </w:divBdr>
          <w:divsChild>
            <w:div w:id="806048765">
              <w:marLeft w:val="0"/>
              <w:marRight w:val="0"/>
              <w:marTop w:val="0"/>
              <w:marBottom w:val="0"/>
              <w:divBdr>
                <w:top w:val="none" w:sz="0" w:space="0" w:color="auto"/>
                <w:left w:val="none" w:sz="0" w:space="0" w:color="auto"/>
                <w:bottom w:val="none" w:sz="0" w:space="0" w:color="auto"/>
                <w:right w:val="none" w:sz="0" w:space="0" w:color="auto"/>
              </w:divBdr>
            </w:div>
          </w:divsChild>
        </w:div>
        <w:div w:id="920288301">
          <w:marLeft w:val="0"/>
          <w:marRight w:val="0"/>
          <w:marTop w:val="0"/>
          <w:marBottom w:val="0"/>
          <w:divBdr>
            <w:top w:val="none" w:sz="0" w:space="0" w:color="auto"/>
            <w:left w:val="none" w:sz="0" w:space="0" w:color="auto"/>
            <w:bottom w:val="none" w:sz="0" w:space="0" w:color="auto"/>
            <w:right w:val="none" w:sz="0" w:space="0" w:color="auto"/>
          </w:divBdr>
          <w:divsChild>
            <w:div w:id="1203596190">
              <w:marLeft w:val="0"/>
              <w:marRight w:val="0"/>
              <w:marTop w:val="0"/>
              <w:marBottom w:val="0"/>
              <w:divBdr>
                <w:top w:val="none" w:sz="0" w:space="0" w:color="auto"/>
                <w:left w:val="none" w:sz="0" w:space="0" w:color="auto"/>
                <w:bottom w:val="none" w:sz="0" w:space="0" w:color="auto"/>
                <w:right w:val="none" w:sz="0" w:space="0" w:color="auto"/>
              </w:divBdr>
            </w:div>
          </w:divsChild>
        </w:div>
        <w:div w:id="922492212">
          <w:marLeft w:val="0"/>
          <w:marRight w:val="0"/>
          <w:marTop w:val="0"/>
          <w:marBottom w:val="0"/>
          <w:divBdr>
            <w:top w:val="none" w:sz="0" w:space="0" w:color="auto"/>
            <w:left w:val="none" w:sz="0" w:space="0" w:color="auto"/>
            <w:bottom w:val="none" w:sz="0" w:space="0" w:color="auto"/>
            <w:right w:val="none" w:sz="0" w:space="0" w:color="auto"/>
          </w:divBdr>
          <w:divsChild>
            <w:div w:id="1674064614">
              <w:marLeft w:val="0"/>
              <w:marRight w:val="0"/>
              <w:marTop w:val="0"/>
              <w:marBottom w:val="0"/>
              <w:divBdr>
                <w:top w:val="none" w:sz="0" w:space="0" w:color="auto"/>
                <w:left w:val="none" w:sz="0" w:space="0" w:color="auto"/>
                <w:bottom w:val="none" w:sz="0" w:space="0" w:color="auto"/>
                <w:right w:val="none" w:sz="0" w:space="0" w:color="auto"/>
              </w:divBdr>
            </w:div>
          </w:divsChild>
        </w:div>
        <w:div w:id="926422720">
          <w:marLeft w:val="0"/>
          <w:marRight w:val="0"/>
          <w:marTop w:val="0"/>
          <w:marBottom w:val="0"/>
          <w:divBdr>
            <w:top w:val="none" w:sz="0" w:space="0" w:color="auto"/>
            <w:left w:val="none" w:sz="0" w:space="0" w:color="auto"/>
            <w:bottom w:val="none" w:sz="0" w:space="0" w:color="auto"/>
            <w:right w:val="none" w:sz="0" w:space="0" w:color="auto"/>
          </w:divBdr>
          <w:divsChild>
            <w:div w:id="967129433">
              <w:marLeft w:val="0"/>
              <w:marRight w:val="0"/>
              <w:marTop w:val="0"/>
              <w:marBottom w:val="0"/>
              <w:divBdr>
                <w:top w:val="none" w:sz="0" w:space="0" w:color="auto"/>
                <w:left w:val="none" w:sz="0" w:space="0" w:color="auto"/>
                <w:bottom w:val="none" w:sz="0" w:space="0" w:color="auto"/>
                <w:right w:val="none" w:sz="0" w:space="0" w:color="auto"/>
              </w:divBdr>
            </w:div>
          </w:divsChild>
        </w:div>
        <w:div w:id="930577553">
          <w:marLeft w:val="0"/>
          <w:marRight w:val="0"/>
          <w:marTop w:val="0"/>
          <w:marBottom w:val="0"/>
          <w:divBdr>
            <w:top w:val="none" w:sz="0" w:space="0" w:color="auto"/>
            <w:left w:val="none" w:sz="0" w:space="0" w:color="auto"/>
            <w:bottom w:val="none" w:sz="0" w:space="0" w:color="auto"/>
            <w:right w:val="none" w:sz="0" w:space="0" w:color="auto"/>
          </w:divBdr>
          <w:divsChild>
            <w:div w:id="920257955">
              <w:marLeft w:val="0"/>
              <w:marRight w:val="0"/>
              <w:marTop w:val="0"/>
              <w:marBottom w:val="0"/>
              <w:divBdr>
                <w:top w:val="none" w:sz="0" w:space="0" w:color="auto"/>
                <w:left w:val="none" w:sz="0" w:space="0" w:color="auto"/>
                <w:bottom w:val="none" w:sz="0" w:space="0" w:color="auto"/>
                <w:right w:val="none" w:sz="0" w:space="0" w:color="auto"/>
              </w:divBdr>
            </w:div>
          </w:divsChild>
        </w:div>
        <w:div w:id="944770932">
          <w:marLeft w:val="0"/>
          <w:marRight w:val="0"/>
          <w:marTop w:val="0"/>
          <w:marBottom w:val="0"/>
          <w:divBdr>
            <w:top w:val="none" w:sz="0" w:space="0" w:color="auto"/>
            <w:left w:val="none" w:sz="0" w:space="0" w:color="auto"/>
            <w:bottom w:val="none" w:sz="0" w:space="0" w:color="auto"/>
            <w:right w:val="none" w:sz="0" w:space="0" w:color="auto"/>
          </w:divBdr>
          <w:divsChild>
            <w:div w:id="2147309315">
              <w:marLeft w:val="0"/>
              <w:marRight w:val="0"/>
              <w:marTop w:val="0"/>
              <w:marBottom w:val="0"/>
              <w:divBdr>
                <w:top w:val="none" w:sz="0" w:space="0" w:color="auto"/>
                <w:left w:val="none" w:sz="0" w:space="0" w:color="auto"/>
                <w:bottom w:val="none" w:sz="0" w:space="0" w:color="auto"/>
                <w:right w:val="none" w:sz="0" w:space="0" w:color="auto"/>
              </w:divBdr>
            </w:div>
          </w:divsChild>
        </w:div>
        <w:div w:id="977301488">
          <w:marLeft w:val="0"/>
          <w:marRight w:val="0"/>
          <w:marTop w:val="0"/>
          <w:marBottom w:val="0"/>
          <w:divBdr>
            <w:top w:val="none" w:sz="0" w:space="0" w:color="auto"/>
            <w:left w:val="none" w:sz="0" w:space="0" w:color="auto"/>
            <w:bottom w:val="none" w:sz="0" w:space="0" w:color="auto"/>
            <w:right w:val="none" w:sz="0" w:space="0" w:color="auto"/>
          </w:divBdr>
          <w:divsChild>
            <w:div w:id="234976816">
              <w:marLeft w:val="0"/>
              <w:marRight w:val="0"/>
              <w:marTop w:val="0"/>
              <w:marBottom w:val="0"/>
              <w:divBdr>
                <w:top w:val="none" w:sz="0" w:space="0" w:color="auto"/>
                <w:left w:val="none" w:sz="0" w:space="0" w:color="auto"/>
                <w:bottom w:val="none" w:sz="0" w:space="0" w:color="auto"/>
                <w:right w:val="none" w:sz="0" w:space="0" w:color="auto"/>
              </w:divBdr>
            </w:div>
          </w:divsChild>
        </w:div>
        <w:div w:id="980230412">
          <w:marLeft w:val="0"/>
          <w:marRight w:val="0"/>
          <w:marTop w:val="0"/>
          <w:marBottom w:val="0"/>
          <w:divBdr>
            <w:top w:val="none" w:sz="0" w:space="0" w:color="auto"/>
            <w:left w:val="none" w:sz="0" w:space="0" w:color="auto"/>
            <w:bottom w:val="none" w:sz="0" w:space="0" w:color="auto"/>
            <w:right w:val="none" w:sz="0" w:space="0" w:color="auto"/>
          </w:divBdr>
          <w:divsChild>
            <w:div w:id="434324159">
              <w:marLeft w:val="0"/>
              <w:marRight w:val="0"/>
              <w:marTop w:val="0"/>
              <w:marBottom w:val="0"/>
              <w:divBdr>
                <w:top w:val="none" w:sz="0" w:space="0" w:color="auto"/>
                <w:left w:val="none" w:sz="0" w:space="0" w:color="auto"/>
                <w:bottom w:val="none" w:sz="0" w:space="0" w:color="auto"/>
                <w:right w:val="none" w:sz="0" w:space="0" w:color="auto"/>
              </w:divBdr>
            </w:div>
          </w:divsChild>
        </w:div>
        <w:div w:id="980883275">
          <w:marLeft w:val="0"/>
          <w:marRight w:val="0"/>
          <w:marTop w:val="0"/>
          <w:marBottom w:val="0"/>
          <w:divBdr>
            <w:top w:val="none" w:sz="0" w:space="0" w:color="auto"/>
            <w:left w:val="none" w:sz="0" w:space="0" w:color="auto"/>
            <w:bottom w:val="none" w:sz="0" w:space="0" w:color="auto"/>
            <w:right w:val="none" w:sz="0" w:space="0" w:color="auto"/>
          </w:divBdr>
          <w:divsChild>
            <w:div w:id="1718436266">
              <w:marLeft w:val="0"/>
              <w:marRight w:val="0"/>
              <w:marTop w:val="0"/>
              <w:marBottom w:val="0"/>
              <w:divBdr>
                <w:top w:val="none" w:sz="0" w:space="0" w:color="auto"/>
                <w:left w:val="none" w:sz="0" w:space="0" w:color="auto"/>
                <w:bottom w:val="none" w:sz="0" w:space="0" w:color="auto"/>
                <w:right w:val="none" w:sz="0" w:space="0" w:color="auto"/>
              </w:divBdr>
            </w:div>
          </w:divsChild>
        </w:div>
        <w:div w:id="1007294265">
          <w:marLeft w:val="0"/>
          <w:marRight w:val="0"/>
          <w:marTop w:val="0"/>
          <w:marBottom w:val="0"/>
          <w:divBdr>
            <w:top w:val="none" w:sz="0" w:space="0" w:color="auto"/>
            <w:left w:val="none" w:sz="0" w:space="0" w:color="auto"/>
            <w:bottom w:val="none" w:sz="0" w:space="0" w:color="auto"/>
            <w:right w:val="none" w:sz="0" w:space="0" w:color="auto"/>
          </w:divBdr>
          <w:divsChild>
            <w:div w:id="541328129">
              <w:marLeft w:val="0"/>
              <w:marRight w:val="0"/>
              <w:marTop w:val="0"/>
              <w:marBottom w:val="0"/>
              <w:divBdr>
                <w:top w:val="none" w:sz="0" w:space="0" w:color="auto"/>
                <w:left w:val="none" w:sz="0" w:space="0" w:color="auto"/>
                <w:bottom w:val="none" w:sz="0" w:space="0" w:color="auto"/>
                <w:right w:val="none" w:sz="0" w:space="0" w:color="auto"/>
              </w:divBdr>
            </w:div>
          </w:divsChild>
        </w:div>
        <w:div w:id="1016999545">
          <w:marLeft w:val="0"/>
          <w:marRight w:val="0"/>
          <w:marTop w:val="0"/>
          <w:marBottom w:val="0"/>
          <w:divBdr>
            <w:top w:val="none" w:sz="0" w:space="0" w:color="auto"/>
            <w:left w:val="none" w:sz="0" w:space="0" w:color="auto"/>
            <w:bottom w:val="none" w:sz="0" w:space="0" w:color="auto"/>
            <w:right w:val="none" w:sz="0" w:space="0" w:color="auto"/>
          </w:divBdr>
          <w:divsChild>
            <w:div w:id="2034763448">
              <w:marLeft w:val="0"/>
              <w:marRight w:val="0"/>
              <w:marTop w:val="0"/>
              <w:marBottom w:val="0"/>
              <w:divBdr>
                <w:top w:val="none" w:sz="0" w:space="0" w:color="auto"/>
                <w:left w:val="none" w:sz="0" w:space="0" w:color="auto"/>
                <w:bottom w:val="none" w:sz="0" w:space="0" w:color="auto"/>
                <w:right w:val="none" w:sz="0" w:space="0" w:color="auto"/>
              </w:divBdr>
            </w:div>
          </w:divsChild>
        </w:div>
        <w:div w:id="1026558461">
          <w:marLeft w:val="0"/>
          <w:marRight w:val="0"/>
          <w:marTop w:val="0"/>
          <w:marBottom w:val="0"/>
          <w:divBdr>
            <w:top w:val="none" w:sz="0" w:space="0" w:color="auto"/>
            <w:left w:val="none" w:sz="0" w:space="0" w:color="auto"/>
            <w:bottom w:val="none" w:sz="0" w:space="0" w:color="auto"/>
            <w:right w:val="none" w:sz="0" w:space="0" w:color="auto"/>
          </w:divBdr>
          <w:divsChild>
            <w:div w:id="1746797807">
              <w:marLeft w:val="0"/>
              <w:marRight w:val="0"/>
              <w:marTop w:val="0"/>
              <w:marBottom w:val="0"/>
              <w:divBdr>
                <w:top w:val="none" w:sz="0" w:space="0" w:color="auto"/>
                <w:left w:val="none" w:sz="0" w:space="0" w:color="auto"/>
                <w:bottom w:val="none" w:sz="0" w:space="0" w:color="auto"/>
                <w:right w:val="none" w:sz="0" w:space="0" w:color="auto"/>
              </w:divBdr>
            </w:div>
          </w:divsChild>
        </w:div>
        <w:div w:id="1077243769">
          <w:marLeft w:val="0"/>
          <w:marRight w:val="0"/>
          <w:marTop w:val="0"/>
          <w:marBottom w:val="0"/>
          <w:divBdr>
            <w:top w:val="none" w:sz="0" w:space="0" w:color="auto"/>
            <w:left w:val="none" w:sz="0" w:space="0" w:color="auto"/>
            <w:bottom w:val="none" w:sz="0" w:space="0" w:color="auto"/>
            <w:right w:val="none" w:sz="0" w:space="0" w:color="auto"/>
          </w:divBdr>
          <w:divsChild>
            <w:div w:id="2043044442">
              <w:marLeft w:val="0"/>
              <w:marRight w:val="0"/>
              <w:marTop w:val="0"/>
              <w:marBottom w:val="0"/>
              <w:divBdr>
                <w:top w:val="none" w:sz="0" w:space="0" w:color="auto"/>
                <w:left w:val="none" w:sz="0" w:space="0" w:color="auto"/>
                <w:bottom w:val="none" w:sz="0" w:space="0" w:color="auto"/>
                <w:right w:val="none" w:sz="0" w:space="0" w:color="auto"/>
              </w:divBdr>
            </w:div>
          </w:divsChild>
        </w:div>
        <w:div w:id="1079012253">
          <w:marLeft w:val="0"/>
          <w:marRight w:val="0"/>
          <w:marTop w:val="0"/>
          <w:marBottom w:val="0"/>
          <w:divBdr>
            <w:top w:val="none" w:sz="0" w:space="0" w:color="auto"/>
            <w:left w:val="none" w:sz="0" w:space="0" w:color="auto"/>
            <w:bottom w:val="none" w:sz="0" w:space="0" w:color="auto"/>
            <w:right w:val="none" w:sz="0" w:space="0" w:color="auto"/>
          </w:divBdr>
          <w:divsChild>
            <w:div w:id="793838637">
              <w:marLeft w:val="0"/>
              <w:marRight w:val="0"/>
              <w:marTop w:val="0"/>
              <w:marBottom w:val="0"/>
              <w:divBdr>
                <w:top w:val="none" w:sz="0" w:space="0" w:color="auto"/>
                <w:left w:val="none" w:sz="0" w:space="0" w:color="auto"/>
                <w:bottom w:val="none" w:sz="0" w:space="0" w:color="auto"/>
                <w:right w:val="none" w:sz="0" w:space="0" w:color="auto"/>
              </w:divBdr>
            </w:div>
          </w:divsChild>
        </w:div>
        <w:div w:id="1079447971">
          <w:marLeft w:val="0"/>
          <w:marRight w:val="0"/>
          <w:marTop w:val="0"/>
          <w:marBottom w:val="0"/>
          <w:divBdr>
            <w:top w:val="none" w:sz="0" w:space="0" w:color="auto"/>
            <w:left w:val="none" w:sz="0" w:space="0" w:color="auto"/>
            <w:bottom w:val="none" w:sz="0" w:space="0" w:color="auto"/>
            <w:right w:val="none" w:sz="0" w:space="0" w:color="auto"/>
          </w:divBdr>
          <w:divsChild>
            <w:div w:id="1127309287">
              <w:marLeft w:val="0"/>
              <w:marRight w:val="0"/>
              <w:marTop w:val="0"/>
              <w:marBottom w:val="0"/>
              <w:divBdr>
                <w:top w:val="none" w:sz="0" w:space="0" w:color="auto"/>
                <w:left w:val="none" w:sz="0" w:space="0" w:color="auto"/>
                <w:bottom w:val="none" w:sz="0" w:space="0" w:color="auto"/>
                <w:right w:val="none" w:sz="0" w:space="0" w:color="auto"/>
              </w:divBdr>
            </w:div>
          </w:divsChild>
        </w:div>
        <w:div w:id="1080327969">
          <w:marLeft w:val="0"/>
          <w:marRight w:val="0"/>
          <w:marTop w:val="0"/>
          <w:marBottom w:val="0"/>
          <w:divBdr>
            <w:top w:val="none" w:sz="0" w:space="0" w:color="auto"/>
            <w:left w:val="none" w:sz="0" w:space="0" w:color="auto"/>
            <w:bottom w:val="none" w:sz="0" w:space="0" w:color="auto"/>
            <w:right w:val="none" w:sz="0" w:space="0" w:color="auto"/>
          </w:divBdr>
          <w:divsChild>
            <w:div w:id="1378555193">
              <w:marLeft w:val="0"/>
              <w:marRight w:val="0"/>
              <w:marTop w:val="0"/>
              <w:marBottom w:val="0"/>
              <w:divBdr>
                <w:top w:val="none" w:sz="0" w:space="0" w:color="auto"/>
                <w:left w:val="none" w:sz="0" w:space="0" w:color="auto"/>
                <w:bottom w:val="none" w:sz="0" w:space="0" w:color="auto"/>
                <w:right w:val="none" w:sz="0" w:space="0" w:color="auto"/>
              </w:divBdr>
            </w:div>
          </w:divsChild>
        </w:div>
        <w:div w:id="1087730811">
          <w:marLeft w:val="0"/>
          <w:marRight w:val="0"/>
          <w:marTop w:val="0"/>
          <w:marBottom w:val="0"/>
          <w:divBdr>
            <w:top w:val="none" w:sz="0" w:space="0" w:color="auto"/>
            <w:left w:val="none" w:sz="0" w:space="0" w:color="auto"/>
            <w:bottom w:val="none" w:sz="0" w:space="0" w:color="auto"/>
            <w:right w:val="none" w:sz="0" w:space="0" w:color="auto"/>
          </w:divBdr>
          <w:divsChild>
            <w:div w:id="1015226822">
              <w:marLeft w:val="0"/>
              <w:marRight w:val="0"/>
              <w:marTop w:val="0"/>
              <w:marBottom w:val="0"/>
              <w:divBdr>
                <w:top w:val="none" w:sz="0" w:space="0" w:color="auto"/>
                <w:left w:val="none" w:sz="0" w:space="0" w:color="auto"/>
                <w:bottom w:val="none" w:sz="0" w:space="0" w:color="auto"/>
                <w:right w:val="none" w:sz="0" w:space="0" w:color="auto"/>
              </w:divBdr>
            </w:div>
          </w:divsChild>
        </w:div>
        <w:div w:id="1095058396">
          <w:marLeft w:val="0"/>
          <w:marRight w:val="0"/>
          <w:marTop w:val="0"/>
          <w:marBottom w:val="0"/>
          <w:divBdr>
            <w:top w:val="none" w:sz="0" w:space="0" w:color="auto"/>
            <w:left w:val="none" w:sz="0" w:space="0" w:color="auto"/>
            <w:bottom w:val="none" w:sz="0" w:space="0" w:color="auto"/>
            <w:right w:val="none" w:sz="0" w:space="0" w:color="auto"/>
          </w:divBdr>
          <w:divsChild>
            <w:div w:id="1915504156">
              <w:marLeft w:val="0"/>
              <w:marRight w:val="0"/>
              <w:marTop w:val="0"/>
              <w:marBottom w:val="0"/>
              <w:divBdr>
                <w:top w:val="none" w:sz="0" w:space="0" w:color="auto"/>
                <w:left w:val="none" w:sz="0" w:space="0" w:color="auto"/>
                <w:bottom w:val="none" w:sz="0" w:space="0" w:color="auto"/>
                <w:right w:val="none" w:sz="0" w:space="0" w:color="auto"/>
              </w:divBdr>
            </w:div>
          </w:divsChild>
        </w:div>
        <w:div w:id="1107656467">
          <w:marLeft w:val="0"/>
          <w:marRight w:val="0"/>
          <w:marTop w:val="0"/>
          <w:marBottom w:val="0"/>
          <w:divBdr>
            <w:top w:val="none" w:sz="0" w:space="0" w:color="auto"/>
            <w:left w:val="none" w:sz="0" w:space="0" w:color="auto"/>
            <w:bottom w:val="none" w:sz="0" w:space="0" w:color="auto"/>
            <w:right w:val="none" w:sz="0" w:space="0" w:color="auto"/>
          </w:divBdr>
          <w:divsChild>
            <w:div w:id="1412114943">
              <w:marLeft w:val="0"/>
              <w:marRight w:val="0"/>
              <w:marTop w:val="0"/>
              <w:marBottom w:val="0"/>
              <w:divBdr>
                <w:top w:val="none" w:sz="0" w:space="0" w:color="auto"/>
                <w:left w:val="none" w:sz="0" w:space="0" w:color="auto"/>
                <w:bottom w:val="none" w:sz="0" w:space="0" w:color="auto"/>
                <w:right w:val="none" w:sz="0" w:space="0" w:color="auto"/>
              </w:divBdr>
            </w:div>
          </w:divsChild>
        </w:div>
        <w:div w:id="1124227854">
          <w:marLeft w:val="0"/>
          <w:marRight w:val="0"/>
          <w:marTop w:val="0"/>
          <w:marBottom w:val="0"/>
          <w:divBdr>
            <w:top w:val="none" w:sz="0" w:space="0" w:color="auto"/>
            <w:left w:val="none" w:sz="0" w:space="0" w:color="auto"/>
            <w:bottom w:val="none" w:sz="0" w:space="0" w:color="auto"/>
            <w:right w:val="none" w:sz="0" w:space="0" w:color="auto"/>
          </w:divBdr>
          <w:divsChild>
            <w:div w:id="1260064867">
              <w:marLeft w:val="0"/>
              <w:marRight w:val="0"/>
              <w:marTop w:val="0"/>
              <w:marBottom w:val="0"/>
              <w:divBdr>
                <w:top w:val="none" w:sz="0" w:space="0" w:color="auto"/>
                <w:left w:val="none" w:sz="0" w:space="0" w:color="auto"/>
                <w:bottom w:val="none" w:sz="0" w:space="0" w:color="auto"/>
                <w:right w:val="none" w:sz="0" w:space="0" w:color="auto"/>
              </w:divBdr>
            </w:div>
          </w:divsChild>
        </w:div>
        <w:div w:id="1140268500">
          <w:marLeft w:val="0"/>
          <w:marRight w:val="0"/>
          <w:marTop w:val="0"/>
          <w:marBottom w:val="0"/>
          <w:divBdr>
            <w:top w:val="none" w:sz="0" w:space="0" w:color="auto"/>
            <w:left w:val="none" w:sz="0" w:space="0" w:color="auto"/>
            <w:bottom w:val="none" w:sz="0" w:space="0" w:color="auto"/>
            <w:right w:val="none" w:sz="0" w:space="0" w:color="auto"/>
          </w:divBdr>
          <w:divsChild>
            <w:div w:id="219874790">
              <w:marLeft w:val="0"/>
              <w:marRight w:val="0"/>
              <w:marTop w:val="0"/>
              <w:marBottom w:val="0"/>
              <w:divBdr>
                <w:top w:val="none" w:sz="0" w:space="0" w:color="auto"/>
                <w:left w:val="none" w:sz="0" w:space="0" w:color="auto"/>
                <w:bottom w:val="none" w:sz="0" w:space="0" w:color="auto"/>
                <w:right w:val="none" w:sz="0" w:space="0" w:color="auto"/>
              </w:divBdr>
            </w:div>
          </w:divsChild>
        </w:div>
        <w:div w:id="1159272698">
          <w:marLeft w:val="0"/>
          <w:marRight w:val="0"/>
          <w:marTop w:val="0"/>
          <w:marBottom w:val="0"/>
          <w:divBdr>
            <w:top w:val="none" w:sz="0" w:space="0" w:color="auto"/>
            <w:left w:val="none" w:sz="0" w:space="0" w:color="auto"/>
            <w:bottom w:val="none" w:sz="0" w:space="0" w:color="auto"/>
            <w:right w:val="none" w:sz="0" w:space="0" w:color="auto"/>
          </w:divBdr>
          <w:divsChild>
            <w:div w:id="1316295716">
              <w:marLeft w:val="0"/>
              <w:marRight w:val="0"/>
              <w:marTop w:val="0"/>
              <w:marBottom w:val="0"/>
              <w:divBdr>
                <w:top w:val="none" w:sz="0" w:space="0" w:color="auto"/>
                <w:left w:val="none" w:sz="0" w:space="0" w:color="auto"/>
                <w:bottom w:val="none" w:sz="0" w:space="0" w:color="auto"/>
                <w:right w:val="none" w:sz="0" w:space="0" w:color="auto"/>
              </w:divBdr>
            </w:div>
          </w:divsChild>
        </w:div>
        <w:div w:id="1161385137">
          <w:marLeft w:val="0"/>
          <w:marRight w:val="0"/>
          <w:marTop w:val="0"/>
          <w:marBottom w:val="0"/>
          <w:divBdr>
            <w:top w:val="none" w:sz="0" w:space="0" w:color="auto"/>
            <w:left w:val="none" w:sz="0" w:space="0" w:color="auto"/>
            <w:bottom w:val="none" w:sz="0" w:space="0" w:color="auto"/>
            <w:right w:val="none" w:sz="0" w:space="0" w:color="auto"/>
          </w:divBdr>
          <w:divsChild>
            <w:div w:id="557204326">
              <w:marLeft w:val="0"/>
              <w:marRight w:val="0"/>
              <w:marTop w:val="0"/>
              <w:marBottom w:val="0"/>
              <w:divBdr>
                <w:top w:val="none" w:sz="0" w:space="0" w:color="auto"/>
                <w:left w:val="none" w:sz="0" w:space="0" w:color="auto"/>
                <w:bottom w:val="none" w:sz="0" w:space="0" w:color="auto"/>
                <w:right w:val="none" w:sz="0" w:space="0" w:color="auto"/>
              </w:divBdr>
            </w:div>
          </w:divsChild>
        </w:div>
        <w:div w:id="1166939404">
          <w:marLeft w:val="0"/>
          <w:marRight w:val="0"/>
          <w:marTop w:val="0"/>
          <w:marBottom w:val="0"/>
          <w:divBdr>
            <w:top w:val="none" w:sz="0" w:space="0" w:color="auto"/>
            <w:left w:val="none" w:sz="0" w:space="0" w:color="auto"/>
            <w:bottom w:val="none" w:sz="0" w:space="0" w:color="auto"/>
            <w:right w:val="none" w:sz="0" w:space="0" w:color="auto"/>
          </w:divBdr>
          <w:divsChild>
            <w:div w:id="1456945998">
              <w:marLeft w:val="0"/>
              <w:marRight w:val="0"/>
              <w:marTop w:val="0"/>
              <w:marBottom w:val="0"/>
              <w:divBdr>
                <w:top w:val="none" w:sz="0" w:space="0" w:color="auto"/>
                <w:left w:val="none" w:sz="0" w:space="0" w:color="auto"/>
                <w:bottom w:val="none" w:sz="0" w:space="0" w:color="auto"/>
                <w:right w:val="none" w:sz="0" w:space="0" w:color="auto"/>
              </w:divBdr>
            </w:div>
          </w:divsChild>
        </w:div>
        <w:div w:id="1170487706">
          <w:marLeft w:val="0"/>
          <w:marRight w:val="0"/>
          <w:marTop w:val="0"/>
          <w:marBottom w:val="0"/>
          <w:divBdr>
            <w:top w:val="none" w:sz="0" w:space="0" w:color="auto"/>
            <w:left w:val="none" w:sz="0" w:space="0" w:color="auto"/>
            <w:bottom w:val="none" w:sz="0" w:space="0" w:color="auto"/>
            <w:right w:val="none" w:sz="0" w:space="0" w:color="auto"/>
          </w:divBdr>
          <w:divsChild>
            <w:div w:id="909734982">
              <w:marLeft w:val="0"/>
              <w:marRight w:val="0"/>
              <w:marTop w:val="0"/>
              <w:marBottom w:val="0"/>
              <w:divBdr>
                <w:top w:val="none" w:sz="0" w:space="0" w:color="auto"/>
                <w:left w:val="none" w:sz="0" w:space="0" w:color="auto"/>
                <w:bottom w:val="none" w:sz="0" w:space="0" w:color="auto"/>
                <w:right w:val="none" w:sz="0" w:space="0" w:color="auto"/>
              </w:divBdr>
            </w:div>
          </w:divsChild>
        </w:div>
        <w:div w:id="1190023344">
          <w:marLeft w:val="0"/>
          <w:marRight w:val="0"/>
          <w:marTop w:val="0"/>
          <w:marBottom w:val="0"/>
          <w:divBdr>
            <w:top w:val="none" w:sz="0" w:space="0" w:color="auto"/>
            <w:left w:val="none" w:sz="0" w:space="0" w:color="auto"/>
            <w:bottom w:val="none" w:sz="0" w:space="0" w:color="auto"/>
            <w:right w:val="none" w:sz="0" w:space="0" w:color="auto"/>
          </w:divBdr>
          <w:divsChild>
            <w:div w:id="382102711">
              <w:marLeft w:val="0"/>
              <w:marRight w:val="0"/>
              <w:marTop w:val="0"/>
              <w:marBottom w:val="0"/>
              <w:divBdr>
                <w:top w:val="none" w:sz="0" w:space="0" w:color="auto"/>
                <w:left w:val="none" w:sz="0" w:space="0" w:color="auto"/>
                <w:bottom w:val="none" w:sz="0" w:space="0" w:color="auto"/>
                <w:right w:val="none" w:sz="0" w:space="0" w:color="auto"/>
              </w:divBdr>
            </w:div>
          </w:divsChild>
        </w:div>
        <w:div w:id="1203177524">
          <w:marLeft w:val="0"/>
          <w:marRight w:val="0"/>
          <w:marTop w:val="0"/>
          <w:marBottom w:val="0"/>
          <w:divBdr>
            <w:top w:val="none" w:sz="0" w:space="0" w:color="auto"/>
            <w:left w:val="none" w:sz="0" w:space="0" w:color="auto"/>
            <w:bottom w:val="none" w:sz="0" w:space="0" w:color="auto"/>
            <w:right w:val="none" w:sz="0" w:space="0" w:color="auto"/>
          </w:divBdr>
          <w:divsChild>
            <w:div w:id="505825163">
              <w:marLeft w:val="0"/>
              <w:marRight w:val="0"/>
              <w:marTop w:val="0"/>
              <w:marBottom w:val="0"/>
              <w:divBdr>
                <w:top w:val="none" w:sz="0" w:space="0" w:color="auto"/>
                <w:left w:val="none" w:sz="0" w:space="0" w:color="auto"/>
                <w:bottom w:val="none" w:sz="0" w:space="0" w:color="auto"/>
                <w:right w:val="none" w:sz="0" w:space="0" w:color="auto"/>
              </w:divBdr>
            </w:div>
          </w:divsChild>
        </w:div>
        <w:div w:id="1213733867">
          <w:marLeft w:val="0"/>
          <w:marRight w:val="0"/>
          <w:marTop w:val="0"/>
          <w:marBottom w:val="0"/>
          <w:divBdr>
            <w:top w:val="none" w:sz="0" w:space="0" w:color="auto"/>
            <w:left w:val="none" w:sz="0" w:space="0" w:color="auto"/>
            <w:bottom w:val="none" w:sz="0" w:space="0" w:color="auto"/>
            <w:right w:val="none" w:sz="0" w:space="0" w:color="auto"/>
          </w:divBdr>
          <w:divsChild>
            <w:div w:id="388386363">
              <w:marLeft w:val="0"/>
              <w:marRight w:val="0"/>
              <w:marTop w:val="0"/>
              <w:marBottom w:val="0"/>
              <w:divBdr>
                <w:top w:val="none" w:sz="0" w:space="0" w:color="auto"/>
                <w:left w:val="none" w:sz="0" w:space="0" w:color="auto"/>
                <w:bottom w:val="none" w:sz="0" w:space="0" w:color="auto"/>
                <w:right w:val="none" w:sz="0" w:space="0" w:color="auto"/>
              </w:divBdr>
            </w:div>
          </w:divsChild>
        </w:div>
        <w:div w:id="1217012428">
          <w:marLeft w:val="0"/>
          <w:marRight w:val="0"/>
          <w:marTop w:val="0"/>
          <w:marBottom w:val="0"/>
          <w:divBdr>
            <w:top w:val="none" w:sz="0" w:space="0" w:color="auto"/>
            <w:left w:val="none" w:sz="0" w:space="0" w:color="auto"/>
            <w:bottom w:val="none" w:sz="0" w:space="0" w:color="auto"/>
            <w:right w:val="none" w:sz="0" w:space="0" w:color="auto"/>
          </w:divBdr>
          <w:divsChild>
            <w:div w:id="1568564313">
              <w:marLeft w:val="0"/>
              <w:marRight w:val="0"/>
              <w:marTop w:val="0"/>
              <w:marBottom w:val="0"/>
              <w:divBdr>
                <w:top w:val="none" w:sz="0" w:space="0" w:color="auto"/>
                <w:left w:val="none" w:sz="0" w:space="0" w:color="auto"/>
                <w:bottom w:val="none" w:sz="0" w:space="0" w:color="auto"/>
                <w:right w:val="none" w:sz="0" w:space="0" w:color="auto"/>
              </w:divBdr>
            </w:div>
          </w:divsChild>
        </w:div>
        <w:div w:id="1218475341">
          <w:marLeft w:val="0"/>
          <w:marRight w:val="0"/>
          <w:marTop w:val="0"/>
          <w:marBottom w:val="0"/>
          <w:divBdr>
            <w:top w:val="none" w:sz="0" w:space="0" w:color="auto"/>
            <w:left w:val="none" w:sz="0" w:space="0" w:color="auto"/>
            <w:bottom w:val="none" w:sz="0" w:space="0" w:color="auto"/>
            <w:right w:val="none" w:sz="0" w:space="0" w:color="auto"/>
          </w:divBdr>
          <w:divsChild>
            <w:div w:id="685248345">
              <w:marLeft w:val="0"/>
              <w:marRight w:val="0"/>
              <w:marTop w:val="0"/>
              <w:marBottom w:val="0"/>
              <w:divBdr>
                <w:top w:val="none" w:sz="0" w:space="0" w:color="auto"/>
                <w:left w:val="none" w:sz="0" w:space="0" w:color="auto"/>
                <w:bottom w:val="none" w:sz="0" w:space="0" w:color="auto"/>
                <w:right w:val="none" w:sz="0" w:space="0" w:color="auto"/>
              </w:divBdr>
            </w:div>
          </w:divsChild>
        </w:div>
        <w:div w:id="1225678033">
          <w:marLeft w:val="0"/>
          <w:marRight w:val="0"/>
          <w:marTop w:val="0"/>
          <w:marBottom w:val="0"/>
          <w:divBdr>
            <w:top w:val="none" w:sz="0" w:space="0" w:color="auto"/>
            <w:left w:val="none" w:sz="0" w:space="0" w:color="auto"/>
            <w:bottom w:val="none" w:sz="0" w:space="0" w:color="auto"/>
            <w:right w:val="none" w:sz="0" w:space="0" w:color="auto"/>
          </w:divBdr>
          <w:divsChild>
            <w:div w:id="1666666353">
              <w:marLeft w:val="0"/>
              <w:marRight w:val="0"/>
              <w:marTop w:val="0"/>
              <w:marBottom w:val="0"/>
              <w:divBdr>
                <w:top w:val="none" w:sz="0" w:space="0" w:color="auto"/>
                <w:left w:val="none" w:sz="0" w:space="0" w:color="auto"/>
                <w:bottom w:val="none" w:sz="0" w:space="0" w:color="auto"/>
                <w:right w:val="none" w:sz="0" w:space="0" w:color="auto"/>
              </w:divBdr>
            </w:div>
          </w:divsChild>
        </w:div>
        <w:div w:id="1233387609">
          <w:marLeft w:val="0"/>
          <w:marRight w:val="0"/>
          <w:marTop w:val="0"/>
          <w:marBottom w:val="0"/>
          <w:divBdr>
            <w:top w:val="none" w:sz="0" w:space="0" w:color="auto"/>
            <w:left w:val="none" w:sz="0" w:space="0" w:color="auto"/>
            <w:bottom w:val="none" w:sz="0" w:space="0" w:color="auto"/>
            <w:right w:val="none" w:sz="0" w:space="0" w:color="auto"/>
          </w:divBdr>
          <w:divsChild>
            <w:div w:id="1519931313">
              <w:marLeft w:val="0"/>
              <w:marRight w:val="0"/>
              <w:marTop w:val="0"/>
              <w:marBottom w:val="0"/>
              <w:divBdr>
                <w:top w:val="none" w:sz="0" w:space="0" w:color="auto"/>
                <w:left w:val="none" w:sz="0" w:space="0" w:color="auto"/>
                <w:bottom w:val="none" w:sz="0" w:space="0" w:color="auto"/>
                <w:right w:val="none" w:sz="0" w:space="0" w:color="auto"/>
              </w:divBdr>
            </w:div>
          </w:divsChild>
        </w:div>
        <w:div w:id="1253780267">
          <w:marLeft w:val="0"/>
          <w:marRight w:val="0"/>
          <w:marTop w:val="0"/>
          <w:marBottom w:val="0"/>
          <w:divBdr>
            <w:top w:val="none" w:sz="0" w:space="0" w:color="auto"/>
            <w:left w:val="none" w:sz="0" w:space="0" w:color="auto"/>
            <w:bottom w:val="none" w:sz="0" w:space="0" w:color="auto"/>
            <w:right w:val="none" w:sz="0" w:space="0" w:color="auto"/>
          </w:divBdr>
          <w:divsChild>
            <w:div w:id="1704095840">
              <w:marLeft w:val="0"/>
              <w:marRight w:val="0"/>
              <w:marTop w:val="0"/>
              <w:marBottom w:val="0"/>
              <w:divBdr>
                <w:top w:val="none" w:sz="0" w:space="0" w:color="auto"/>
                <w:left w:val="none" w:sz="0" w:space="0" w:color="auto"/>
                <w:bottom w:val="none" w:sz="0" w:space="0" w:color="auto"/>
                <w:right w:val="none" w:sz="0" w:space="0" w:color="auto"/>
              </w:divBdr>
            </w:div>
          </w:divsChild>
        </w:div>
        <w:div w:id="1269390887">
          <w:marLeft w:val="0"/>
          <w:marRight w:val="0"/>
          <w:marTop w:val="0"/>
          <w:marBottom w:val="0"/>
          <w:divBdr>
            <w:top w:val="none" w:sz="0" w:space="0" w:color="auto"/>
            <w:left w:val="none" w:sz="0" w:space="0" w:color="auto"/>
            <w:bottom w:val="none" w:sz="0" w:space="0" w:color="auto"/>
            <w:right w:val="none" w:sz="0" w:space="0" w:color="auto"/>
          </w:divBdr>
          <w:divsChild>
            <w:div w:id="155610095">
              <w:marLeft w:val="0"/>
              <w:marRight w:val="0"/>
              <w:marTop w:val="0"/>
              <w:marBottom w:val="0"/>
              <w:divBdr>
                <w:top w:val="none" w:sz="0" w:space="0" w:color="auto"/>
                <w:left w:val="none" w:sz="0" w:space="0" w:color="auto"/>
                <w:bottom w:val="none" w:sz="0" w:space="0" w:color="auto"/>
                <w:right w:val="none" w:sz="0" w:space="0" w:color="auto"/>
              </w:divBdr>
            </w:div>
          </w:divsChild>
        </w:div>
        <w:div w:id="1278221954">
          <w:marLeft w:val="0"/>
          <w:marRight w:val="0"/>
          <w:marTop w:val="0"/>
          <w:marBottom w:val="0"/>
          <w:divBdr>
            <w:top w:val="none" w:sz="0" w:space="0" w:color="auto"/>
            <w:left w:val="none" w:sz="0" w:space="0" w:color="auto"/>
            <w:bottom w:val="none" w:sz="0" w:space="0" w:color="auto"/>
            <w:right w:val="none" w:sz="0" w:space="0" w:color="auto"/>
          </w:divBdr>
          <w:divsChild>
            <w:div w:id="531503508">
              <w:marLeft w:val="0"/>
              <w:marRight w:val="0"/>
              <w:marTop w:val="0"/>
              <w:marBottom w:val="0"/>
              <w:divBdr>
                <w:top w:val="none" w:sz="0" w:space="0" w:color="auto"/>
                <w:left w:val="none" w:sz="0" w:space="0" w:color="auto"/>
                <w:bottom w:val="none" w:sz="0" w:space="0" w:color="auto"/>
                <w:right w:val="none" w:sz="0" w:space="0" w:color="auto"/>
              </w:divBdr>
            </w:div>
          </w:divsChild>
        </w:div>
        <w:div w:id="1287548191">
          <w:marLeft w:val="0"/>
          <w:marRight w:val="0"/>
          <w:marTop w:val="0"/>
          <w:marBottom w:val="0"/>
          <w:divBdr>
            <w:top w:val="none" w:sz="0" w:space="0" w:color="auto"/>
            <w:left w:val="none" w:sz="0" w:space="0" w:color="auto"/>
            <w:bottom w:val="none" w:sz="0" w:space="0" w:color="auto"/>
            <w:right w:val="none" w:sz="0" w:space="0" w:color="auto"/>
          </w:divBdr>
          <w:divsChild>
            <w:div w:id="1128469194">
              <w:marLeft w:val="0"/>
              <w:marRight w:val="0"/>
              <w:marTop w:val="0"/>
              <w:marBottom w:val="0"/>
              <w:divBdr>
                <w:top w:val="none" w:sz="0" w:space="0" w:color="auto"/>
                <w:left w:val="none" w:sz="0" w:space="0" w:color="auto"/>
                <w:bottom w:val="none" w:sz="0" w:space="0" w:color="auto"/>
                <w:right w:val="none" w:sz="0" w:space="0" w:color="auto"/>
              </w:divBdr>
            </w:div>
          </w:divsChild>
        </w:div>
        <w:div w:id="1287850573">
          <w:marLeft w:val="0"/>
          <w:marRight w:val="0"/>
          <w:marTop w:val="0"/>
          <w:marBottom w:val="0"/>
          <w:divBdr>
            <w:top w:val="none" w:sz="0" w:space="0" w:color="auto"/>
            <w:left w:val="none" w:sz="0" w:space="0" w:color="auto"/>
            <w:bottom w:val="none" w:sz="0" w:space="0" w:color="auto"/>
            <w:right w:val="none" w:sz="0" w:space="0" w:color="auto"/>
          </w:divBdr>
          <w:divsChild>
            <w:div w:id="1160971463">
              <w:marLeft w:val="0"/>
              <w:marRight w:val="0"/>
              <w:marTop w:val="0"/>
              <w:marBottom w:val="0"/>
              <w:divBdr>
                <w:top w:val="none" w:sz="0" w:space="0" w:color="auto"/>
                <w:left w:val="none" w:sz="0" w:space="0" w:color="auto"/>
                <w:bottom w:val="none" w:sz="0" w:space="0" w:color="auto"/>
                <w:right w:val="none" w:sz="0" w:space="0" w:color="auto"/>
              </w:divBdr>
            </w:div>
          </w:divsChild>
        </w:div>
        <w:div w:id="1289509587">
          <w:marLeft w:val="0"/>
          <w:marRight w:val="0"/>
          <w:marTop w:val="0"/>
          <w:marBottom w:val="0"/>
          <w:divBdr>
            <w:top w:val="none" w:sz="0" w:space="0" w:color="auto"/>
            <w:left w:val="none" w:sz="0" w:space="0" w:color="auto"/>
            <w:bottom w:val="none" w:sz="0" w:space="0" w:color="auto"/>
            <w:right w:val="none" w:sz="0" w:space="0" w:color="auto"/>
          </w:divBdr>
          <w:divsChild>
            <w:div w:id="838738435">
              <w:marLeft w:val="0"/>
              <w:marRight w:val="0"/>
              <w:marTop w:val="0"/>
              <w:marBottom w:val="0"/>
              <w:divBdr>
                <w:top w:val="none" w:sz="0" w:space="0" w:color="auto"/>
                <w:left w:val="none" w:sz="0" w:space="0" w:color="auto"/>
                <w:bottom w:val="none" w:sz="0" w:space="0" w:color="auto"/>
                <w:right w:val="none" w:sz="0" w:space="0" w:color="auto"/>
              </w:divBdr>
            </w:div>
          </w:divsChild>
        </w:div>
        <w:div w:id="1293244678">
          <w:marLeft w:val="0"/>
          <w:marRight w:val="0"/>
          <w:marTop w:val="0"/>
          <w:marBottom w:val="0"/>
          <w:divBdr>
            <w:top w:val="none" w:sz="0" w:space="0" w:color="auto"/>
            <w:left w:val="none" w:sz="0" w:space="0" w:color="auto"/>
            <w:bottom w:val="none" w:sz="0" w:space="0" w:color="auto"/>
            <w:right w:val="none" w:sz="0" w:space="0" w:color="auto"/>
          </w:divBdr>
          <w:divsChild>
            <w:div w:id="1299146511">
              <w:marLeft w:val="0"/>
              <w:marRight w:val="0"/>
              <w:marTop w:val="0"/>
              <w:marBottom w:val="0"/>
              <w:divBdr>
                <w:top w:val="none" w:sz="0" w:space="0" w:color="auto"/>
                <w:left w:val="none" w:sz="0" w:space="0" w:color="auto"/>
                <w:bottom w:val="none" w:sz="0" w:space="0" w:color="auto"/>
                <w:right w:val="none" w:sz="0" w:space="0" w:color="auto"/>
              </w:divBdr>
            </w:div>
          </w:divsChild>
        </w:div>
        <w:div w:id="1304387971">
          <w:marLeft w:val="0"/>
          <w:marRight w:val="0"/>
          <w:marTop w:val="0"/>
          <w:marBottom w:val="0"/>
          <w:divBdr>
            <w:top w:val="none" w:sz="0" w:space="0" w:color="auto"/>
            <w:left w:val="none" w:sz="0" w:space="0" w:color="auto"/>
            <w:bottom w:val="none" w:sz="0" w:space="0" w:color="auto"/>
            <w:right w:val="none" w:sz="0" w:space="0" w:color="auto"/>
          </w:divBdr>
          <w:divsChild>
            <w:div w:id="1811248702">
              <w:marLeft w:val="0"/>
              <w:marRight w:val="0"/>
              <w:marTop w:val="0"/>
              <w:marBottom w:val="0"/>
              <w:divBdr>
                <w:top w:val="none" w:sz="0" w:space="0" w:color="auto"/>
                <w:left w:val="none" w:sz="0" w:space="0" w:color="auto"/>
                <w:bottom w:val="none" w:sz="0" w:space="0" w:color="auto"/>
                <w:right w:val="none" w:sz="0" w:space="0" w:color="auto"/>
              </w:divBdr>
            </w:div>
          </w:divsChild>
        </w:div>
        <w:div w:id="1306273165">
          <w:marLeft w:val="0"/>
          <w:marRight w:val="0"/>
          <w:marTop w:val="0"/>
          <w:marBottom w:val="0"/>
          <w:divBdr>
            <w:top w:val="none" w:sz="0" w:space="0" w:color="auto"/>
            <w:left w:val="none" w:sz="0" w:space="0" w:color="auto"/>
            <w:bottom w:val="none" w:sz="0" w:space="0" w:color="auto"/>
            <w:right w:val="none" w:sz="0" w:space="0" w:color="auto"/>
          </w:divBdr>
          <w:divsChild>
            <w:div w:id="1856920354">
              <w:marLeft w:val="0"/>
              <w:marRight w:val="0"/>
              <w:marTop w:val="0"/>
              <w:marBottom w:val="0"/>
              <w:divBdr>
                <w:top w:val="none" w:sz="0" w:space="0" w:color="auto"/>
                <w:left w:val="none" w:sz="0" w:space="0" w:color="auto"/>
                <w:bottom w:val="none" w:sz="0" w:space="0" w:color="auto"/>
                <w:right w:val="none" w:sz="0" w:space="0" w:color="auto"/>
              </w:divBdr>
            </w:div>
          </w:divsChild>
        </w:div>
        <w:div w:id="1327170123">
          <w:marLeft w:val="0"/>
          <w:marRight w:val="0"/>
          <w:marTop w:val="0"/>
          <w:marBottom w:val="0"/>
          <w:divBdr>
            <w:top w:val="none" w:sz="0" w:space="0" w:color="auto"/>
            <w:left w:val="none" w:sz="0" w:space="0" w:color="auto"/>
            <w:bottom w:val="none" w:sz="0" w:space="0" w:color="auto"/>
            <w:right w:val="none" w:sz="0" w:space="0" w:color="auto"/>
          </w:divBdr>
          <w:divsChild>
            <w:div w:id="243078664">
              <w:marLeft w:val="0"/>
              <w:marRight w:val="0"/>
              <w:marTop w:val="0"/>
              <w:marBottom w:val="0"/>
              <w:divBdr>
                <w:top w:val="none" w:sz="0" w:space="0" w:color="auto"/>
                <w:left w:val="none" w:sz="0" w:space="0" w:color="auto"/>
                <w:bottom w:val="none" w:sz="0" w:space="0" w:color="auto"/>
                <w:right w:val="none" w:sz="0" w:space="0" w:color="auto"/>
              </w:divBdr>
            </w:div>
          </w:divsChild>
        </w:div>
        <w:div w:id="1327437627">
          <w:marLeft w:val="0"/>
          <w:marRight w:val="0"/>
          <w:marTop w:val="0"/>
          <w:marBottom w:val="0"/>
          <w:divBdr>
            <w:top w:val="none" w:sz="0" w:space="0" w:color="auto"/>
            <w:left w:val="none" w:sz="0" w:space="0" w:color="auto"/>
            <w:bottom w:val="none" w:sz="0" w:space="0" w:color="auto"/>
            <w:right w:val="none" w:sz="0" w:space="0" w:color="auto"/>
          </w:divBdr>
          <w:divsChild>
            <w:div w:id="1315256406">
              <w:marLeft w:val="0"/>
              <w:marRight w:val="0"/>
              <w:marTop w:val="0"/>
              <w:marBottom w:val="0"/>
              <w:divBdr>
                <w:top w:val="none" w:sz="0" w:space="0" w:color="auto"/>
                <w:left w:val="none" w:sz="0" w:space="0" w:color="auto"/>
                <w:bottom w:val="none" w:sz="0" w:space="0" w:color="auto"/>
                <w:right w:val="none" w:sz="0" w:space="0" w:color="auto"/>
              </w:divBdr>
            </w:div>
          </w:divsChild>
        </w:div>
        <w:div w:id="1327903000">
          <w:marLeft w:val="0"/>
          <w:marRight w:val="0"/>
          <w:marTop w:val="0"/>
          <w:marBottom w:val="0"/>
          <w:divBdr>
            <w:top w:val="none" w:sz="0" w:space="0" w:color="auto"/>
            <w:left w:val="none" w:sz="0" w:space="0" w:color="auto"/>
            <w:bottom w:val="none" w:sz="0" w:space="0" w:color="auto"/>
            <w:right w:val="none" w:sz="0" w:space="0" w:color="auto"/>
          </w:divBdr>
          <w:divsChild>
            <w:div w:id="341050660">
              <w:marLeft w:val="0"/>
              <w:marRight w:val="0"/>
              <w:marTop w:val="0"/>
              <w:marBottom w:val="0"/>
              <w:divBdr>
                <w:top w:val="none" w:sz="0" w:space="0" w:color="auto"/>
                <w:left w:val="none" w:sz="0" w:space="0" w:color="auto"/>
                <w:bottom w:val="none" w:sz="0" w:space="0" w:color="auto"/>
                <w:right w:val="none" w:sz="0" w:space="0" w:color="auto"/>
              </w:divBdr>
            </w:div>
          </w:divsChild>
        </w:div>
        <w:div w:id="1329020361">
          <w:marLeft w:val="0"/>
          <w:marRight w:val="0"/>
          <w:marTop w:val="0"/>
          <w:marBottom w:val="0"/>
          <w:divBdr>
            <w:top w:val="none" w:sz="0" w:space="0" w:color="auto"/>
            <w:left w:val="none" w:sz="0" w:space="0" w:color="auto"/>
            <w:bottom w:val="none" w:sz="0" w:space="0" w:color="auto"/>
            <w:right w:val="none" w:sz="0" w:space="0" w:color="auto"/>
          </w:divBdr>
          <w:divsChild>
            <w:div w:id="566840688">
              <w:marLeft w:val="0"/>
              <w:marRight w:val="0"/>
              <w:marTop w:val="0"/>
              <w:marBottom w:val="0"/>
              <w:divBdr>
                <w:top w:val="none" w:sz="0" w:space="0" w:color="auto"/>
                <w:left w:val="none" w:sz="0" w:space="0" w:color="auto"/>
                <w:bottom w:val="none" w:sz="0" w:space="0" w:color="auto"/>
                <w:right w:val="none" w:sz="0" w:space="0" w:color="auto"/>
              </w:divBdr>
            </w:div>
          </w:divsChild>
        </w:div>
        <w:div w:id="1330865878">
          <w:marLeft w:val="0"/>
          <w:marRight w:val="0"/>
          <w:marTop w:val="0"/>
          <w:marBottom w:val="0"/>
          <w:divBdr>
            <w:top w:val="none" w:sz="0" w:space="0" w:color="auto"/>
            <w:left w:val="none" w:sz="0" w:space="0" w:color="auto"/>
            <w:bottom w:val="none" w:sz="0" w:space="0" w:color="auto"/>
            <w:right w:val="none" w:sz="0" w:space="0" w:color="auto"/>
          </w:divBdr>
          <w:divsChild>
            <w:div w:id="1226843364">
              <w:marLeft w:val="0"/>
              <w:marRight w:val="0"/>
              <w:marTop w:val="0"/>
              <w:marBottom w:val="0"/>
              <w:divBdr>
                <w:top w:val="none" w:sz="0" w:space="0" w:color="auto"/>
                <w:left w:val="none" w:sz="0" w:space="0" w:color="auto"/>
                <w:bottom w:val="none" w:sz="0" w:space="0" w:color="auto"/>
                <w:right w:val="none" w:sz="0" w:space="0" w:color="auto"/>
              </w:divBdr>
            </w:div>
          </w:divsChild>
        </w:div>
        <w:div w:id="1331761430">
          <w:marLeft w:val="0"/>
          <w:marRight w:val="0"/>
          <w:marTop w:val="0"/>
          <w:marBottom w:val="0"/>
          <w:divBdr>
            <w:top w:val="none" w:sz="0" w:space="0" w:color="auto"/>
            <w:left w:val="none" w:sz="0" w:space="0" w:color="auto"/>
            <w:bottom w:val="none" w:sz="0" w:space="0" w:color="auto"/>
            <w:right w:val="none" w:sz="0" w:space="0" w:color="auto"/>
          </w:divBdr>
          <w:divsChild>
            <w:div w:id="929002960">
              <w:marLeft w:val="0"/>
              <w:marRight w:val="0"/>
              <w:marTop w:val="0"/>
              <w:marBottom w:val="0"/>
              <w:divBdr>
                <w:top w:val="none" w:sz="0" w:space="0" w:color="auto"/>
                <w:left w:val="none" w:sz="0" w:space="0" w:color="auto"/>
                <w:bottom w:val="none" w:sz="0" w:space="0" w:color="auto"/>
                <w:right w:val="none" w:sz="0" w:space="0" w:color="auto"/>
              </w:divBdr>
            </w:div>
          </w:divsChild>
        </w:div>
        <w:div w:id="1333796976">
          <w:marLeft w:val="0"/>
          <w:marRight w:val="0"/>
          <w:marTop w:val="0"/>
          <w:marBottom w:val="0"/>
          <w:divBdr>
            <w:top w:val="none" w:sz="0" w:space="0" w:color="auto"/>
            <w:left w:val="none" w:sz="0" w:space="0" w:color="auto"/>
            <w:bottom w:val="none" w:sz="0" w:space="0" w:color="auto"/>
            <w:right w:val="none" w:sz="0" w:space="0" w:color="auto"/>
          </w:divBdr>
          <w:divsChild>
            <w:div w:id="1379668728">
              <w:marLeft w:val="0"/>
              <w:marRight w:val="0"/>
              <w:marTop w:val="0"/>
              <w:marBottom w:val="0"/>
              <w:divBdr>
                <w:top w:val="none" w:sz="0" w:space="0" w:color="auto"/>
                <w:left w:val="none" w:sz="0" w:space="0" w:color="auto"/>
                <w:bottom w:val="none" w:sz="0" w:space="0" w:color="auto"/>
                <w:right w:val="none" w:sz="0" w:space="0" w:color="auto"/>
              </w:divBdr>
            </w:div>
          </w:divsChild>
        </w:div>
        <w:div w:id="1350647043">
          <w:marLeft w:val="0"/>
          <w:marRight w:val="0"/>
          <w:marTop w:val="0"/>
          <w:marBottom w:val="0"/>
          <w:divBdr>
            <w:top w:val="none" w:sz="0" w:space="0" w:color="auto"/>
            <w:left w:val="none" w:sz="0" w:space="0" w:color="auto"/>
            <w:bottom w:val="none" w:sz="0" w:space="0" w:color="auto"/>
            <w:right w:val="none" w:sz="0" w:space="0" w:color="auto"/>
          </w:divBdr>
          <w:divsChild>
            <w:div w:id="137377991">
              <w:marLeft w:val="0"/>
              <w:marRight w:val="0"/>
              <w:marTop w:val="0"/>
              <w:marBottom w:val="0"/>
              <w:divBdr>
                <w:top w:val="none" w:sz="0" w:space="0" w:color="auto"/>
                <w:left w:val="none" w:sz="0" w:space="0" w:color="auto"/>
                <w:bottom w:val="none" w:sz="0" w:space="0" w:color="auto"/>
                <w:right w:val="none" w:sz="0" w:space="0" w:color="auto"/>
              </w:divBdr>
            </w:div>
          </w:divsChild>
        </w:div>
        <w:div w:id="1355810222">
          <w:marLeft w:val="0"/>
          <w:marRight w:val="0"/>
          <w:marTop w:val="0"/>
          <w:marBottom w:val="0"/>
          <w:divBdr>
            <w:top w:val="none" w:sz="0" w:space="0" w:color="auto"/>
            <w:left w:val="none" w:sz="0" w:space="0" w:color="auto"/>
            <w:bottom w:val="none" w:sz="0" w:space="0" w:color="auto"/>
            <w:right w:val="none" w:sz="0" w:space="0" w:color="auto"/>
          </w:divBdr>
          <w:divsChild>
            <w:div w:id="199518881">
              <w:marLeft w:val="0"/>
              <w:marRight w:val="0"/>
              <w:marTop w:val="0"/>
              <w:marBottom w:val="0"/>
              <w:divBdr>
                <w:top w:val="none" w:sz="0" w:space="0" w:color="auto"/>
                <w:left w:val="none" w:sz="0" w:space="0" w:color="auto"/>
                <w:bottom w:val="none" w:sz="0" w:space="0" w:color="auto"/>
                <w:right w:val="none" w:sz="0" w:space="0" w:color="auto"/>
              </w:divBdr>
            </w:div>
          </w:divsChild>
        </w:div>
        <w:div w:id="1360276393">
          <w:marLeft w:val="0"/>
          <w:marRight w:val="0"/>
          <w:marTop w:val="0"/>
          <w:marBottom w:val="0"/>
          <w:divBdr>
            <w:top w:val="none" w:sz="0" w:space="0" w:color="auto"/>
            <w:left w:val="none" w:sz="0" w:space="0" w:color="auto"/>
            <w:bottom w:val="none" w:sz="0" w:space="0" w:color="auto"/>
            <w:right w:val="none" w:sz="0" w:space="0" w:color="auto"/>
          </w:divBdr>
          <w:divsChild>
            <w:div w:id="950623297">
              <w:marLeft w:val="0"/>
              <w:marRight w:val="0"/>
              <w:marTop w:val="0"/>
              <w:marBottom w:val="0"/>
              <w:divBdr>
                <w:top w:val="none" w:sz="0" w:space="0" w:color="auto"/>
                <w:left w:val="none" w:sz="0" w:space="0" w:color="auto"/>
                <w:bottom w:val="none" w:sz="0" w:space="0" w:color="auto"/>
                <w:right w:val="none" w:sz="0" w:space="0" w:color="auto"/>
              </w:divBdr>
            </w:div>
          </w:divsChild>
        </w:div>
        <w:div w:id="1362823953">
          <w:marLeft w:val="0"/>
          <w:marRight w:val="0"/>
          <w:marTop w:val="0"/>
          <w:marBottom w:val="0"/>
          <w:divBdr>
            <w:top w:val="none" w:sz="0" w:space="0" w:color="auto"/>
            <w:left w:val="none" w:sz="0" w:space="0" w:color="auto"/>
            <w:bottom w:val="none" w:sz="0" w:space="0" w:color="auto"/>
            <w:right w:val="none" w:sz="0" w:space="0" w:color="auto"/>
          </w:divBdr>
          <w:divsChild>
            <w:div w:id="1760717246">
              <w:marLeft w:val="0"/>
              <w:marRight w:val="0"/>
              <w:marTop w:val="0"/>
              <w:marBottom w:val="0"/>
              <w:divBdr>
                <w:top w:val="none" w:sz="0" w:space="0" w:color="auto"/>
                <w:left w:val="none" w:sz="0" w:space="0" w:color="auto"/>
                <w:bottom w:val="none" w:sz="0" w:space="0" w:color="auto"/>
                <w:right w:val="none" w:sz="0" w:space="0" w:color="auto"/>
              </w:divBdr>
            </w:div>
          </w:divsChild>
        </w:div>
        <w:div w:id="1415054744">
          <w:marLeft w:val="0"/>
          <w:marRight w:val="0"/>
          <w:marTop w:val="0"/>
          <w:marBottom w:val="0"/>
          <w:divBdr>
            <w:top w:val="none" w:sz="0" w:space="0" w:color="auto"/>
            <w:left w:val="none" w:sz="0" w:space="0" w:color="auto"/>
            <w:bottom w:val="none" w:sz="0" w:space="0" w:color="auto"/>
            <w:right w:val="none" w:sz="0" w:space="0" w:color="auto"/>
          </w:divBdr>
          <w:divsChild>
            <w:div w:id="19402482">
              <w:marLeft w:val="0"/>
              <w:marRight w:val="0"/>
              <w:marTop w:val="0"/>
              <w:marBottom w:val="0"/>
              <w:divBdr>
                <w:top w:val="none" w:sz="0" w:space="0" w:color="auto"/>
                <w:left w:val="none" w:sz="0" w:space="0" w:color="auto"/>
                <w:bottom w:val="none" w:sz="0" w:space="0" w:color="auto"/>
                <w:right w:val="none" w:sz="0" w:space="0" w:color="auto"/>
              </w:divBdr>
            </w:div>
          </w:divsChild>
        </w:div>
        <w:div w:id="1417635375">
          <w:marLeft w:val="0"/>
          <w:marRight w:val="0"/>
          <w:marTop w:val="0"/>
          <w:marBottom w:val="0"/>
          <w:divBdr>
            <w:top w:val="none" w:sz="0" w:space="0" w:color="auto"/>
            <w:left w:val="none" w:sz="0" w:space="0" w:color="auto"/>
            <w:bottom w:val="none" w:sz="0" w:space="0" w:color="auto"/>
            <w:right w:val="none" w:sz="0" w:space="0" w:color="auto"/>
          </w:divBdr>
          <w:divsChild>
            <w:div w:id="1007513083">
              <w:marLeft w:val="0"/>
              <w:marRight w:val="0"/>
              <w:marTop w:val="0"/>
              <w:marBottom w:val="0"/>
              <w:divBdr>
                <w:top w:val="none" w:sz="0" w:space="0" w:color="auto"/>
                <w:left w:val="none" w:sz="0" w:space="0" w:color="auto"/>
                <w:bottom w:val="none" w:sz="0" w:space="0" w:color="auto"/>
                <w:right w:val="none" w:sz="0" w:space="0" w:color="auto"/>
              </w:divBdr>
            </w:div>
          </w:divsChild>
        </w:div>
        <w:div w:id="1432048750">
          <w:marLeft w:val="0"/>
          <w:marRight w:val="0"/>
          <w:marTop w:val="0"/>
          <w:marBottom w:val="0"/>
          <w:divBdr>
            <w:top w:val="none" w:sz="0" w:space="0" w:color="auto"/>
            <w:left w:val="none" w:sz="0" w:space="0" w:color="auto"/>
            <w:bottom w:val="none" w:sz="0" w:space="0" w:color="auto"/>
            <w:right w:val="none" w:sz="0" w:space="0" w:color="auto"/>
          </w:divBdr>
          <w:divsChild>
            <w:div w:id="1557087576">
              <w:marLeft w:val="0"/>
              <w:marRight w:val="0"/>
              <w:marTop w:val="0"/>
              <w:marBottom w:val="0"/>
              <w:divBdr>
                <w:top w:val="none" w:sz="0" w:space="0" w:color="auto"/>
                <w:left w:val="none" w:sz="0" w:space="0" w:color="auto"/>
                <w:bottom w:val="none" w:sz="0" w:space="0" w:color="auto"/>
                <w:right w:val="none" w:sz="0" w:space="0" w:color="auto"/>
              </w:divBdr>
            </w:div>
          </w:divsChild>
        </w:div>
        <w:div w:id="1438134499">
          <w:marLeft w:val="0"/>
          <w:marRight w:val="0"/>
          <w:marTop w:val="0"/>
          <w:marBottom w:val="0"/>
          <w:divBdr>
            <w:top w:val="none" w:sz="0" w:space="0" w:color="auto"/>
            <w:left w:val="none" w:sz="0" w:space="0" w:color="auto"/>
            <w:bottom w:val="none" w:sz="0" w:space="0" w:color="auto"/>
            <w:right w:val="none" w:sz="0" w:space="0" w:color="auto"/>
          </w:divBdr>
          <w:divsChild>
            <w:div w:id="840704138">
              <w:marLeft w:val="0"/>
              <w:marRight w:val="0"/>
              <w:marTop w:val="0"/>
              <w:marBottom w:val="0"/>
              <w:divBdr>
                <w:top w:val="none" w:sz="0" w:space="0" w:color="auto"/>
                <w:left w:val="none" w:sz="0" w:space="0" w:color="auto"/>
                <w:bottom w:val="none" w:sz="0" w:space="0" w:color="auto"/>
                <w:right w:val="none" w:sz="0" w:space="0" w:color="auto"/>
              </w:divBdr>
            </w:div>
          </w:divsChild>
        </w:div>
        <w:div w:id="1467509141">
          <w:marLeft w:val="0"/>
          <w:marRight w:val="0"/>
          <w:marTop w:val="0"/>
          <w:marBottom w:val="0"/>
          <w:divBdr>
            <w:top w:val="none" w:sz="0" w:space="0" w:color="auto"/>
            <w:left w:val="none" w:sz="0" w:space="0" w:color="auto"/>
            <w:bottom w:val="none" w:sz="0" w:space="0" w:color="auto"/>
            <w:right w:val="none" w:sz="0" w:space="0" w:color="auto"/>
          </w:divBdr>
          <w:divsChild>
            <w:div w:id="1191870335">
              <w:marLeft w:val="0"/>
              <w:marRight w:val="0"/>
              <w:marTop w:val="0"/>
              <w:marBottom w:val="0"/>
              <w:divBdr>
                <w:top w:val="none" w:sz="0" w:space="0" w:color="auto"/>
                <w:left w:val="none" w:sz="0" w:space="0" w:color="auto"/>
                <w:bottom w:val="none" w:sz="0" w:space="0" w:color="auto"/>
                <w:right w:val="none" w:sz="0" w:space="0" w:color="auto"/>
              </w:divBdr>
            </w:div>
          </w:divsChild>
        </w:div>
        <w:div w:id="1472481967">
          <w:marLeft w:val="0"/>
          <w:marRight w:val="0"/>
          <w:marTop w:val="0"/>
          <w:marBottom w:val="0"/>
          <w:divBdr>
            <w:top w:val="none" w:sz="0" w:space="0" w:color="auto"/>
            <w:left w:val="none" w:sz="0" w:space="0" w:color="auto"/>
            <w:bottom w:val="none" w:sz="0" w:space="0" w:color="auto"/>
            <w:right w:val="none" w:sz="0" w:space="0" w:color="auto"/>
          </w:divBdr>
          <w:divsChild>
            <w:div w:id="387728725">
              <w:marLeft w:val="0"/>
              <w:marRight w:val="0"/>
              <w:marTop w:val="0"/>
              <w:marBottom w:val="0"/>
              <w:divBdr>
                <w:top w:val="none" w:sz="0" w:space="0" w:color="auto"/>
                <w:left w:val="none" w:sz="0" w:space="0" w:color="auto"/>
                <w:bottom w:val="none" w:sz="0" w:space="0" w:color="auto"/>
                <w:right w:val="none" w:sz="0" w:space="0" w:color="auto"/>
              </w:divBdr>
            </w:div>
          </w:divsChild>
        </w:div>
        <w:div w:id="1472865458">
          <w:marLeft w:val="0"/>
          <w:marRight w:val="0"/>
          <w:marTop w:val="0"/>
          <w:marBottom w:val="0"/>
          <w:divBdr>
            <w:top w:val="none" w:sz="0" w:space="0" w:color="auto"/>
            <w:left w:val="none" w:sz="0" w:space="0" w:color="auto"/>
            <w:bottom w:val="none" w:sz="0" w:space="0" w:color="auto"/>
            <w:right w:val="none" w:sz="0" w:space="0" w:color="auto"/>
          </w:divBdr>
          <w:divsChild>
            <w:div w:id="402921469">
              <w:marLeft w:val="0"/>
              <w:marRight w:val="0"/>
              <w:marTop w:val="0"/>
              <w:marBottom w:val="0"/>
              <w:divBdr>
                <w:top w:val="none" w:sz="0" w:space="0" w:color="auto"/>
                <w:left w:val="none" w:sz="0" w:space="0" w:color="auto"/>
                <w:bottom w:val="none" w:sz="0" w:space="0" w:color="auto"/>
                <w:right w:val="none" w:sz="0" w:space="0" w:color="auto"/>
              </w:divBdr>
            </w:div>
          </w:divsChild>
        </w:div>
        <w:div w:id="1476414199">
          <w:marLeft w:val="0"/>
          <w:marRight w:val="0"/>
          <w:marTop w:val="0"/>
          <w:marBottom w:val="0"/>
          <w:divBdr>
            <w:top w:val="none" w:sz="0" w:space="0" w:color="auto"/>
            <w:left w:val="none" w:sz="0" w:space="0" w:color="auto"/>
            <w:bottom w:val="none" w:sz="0" w:space="0" w:color="auto"/>
            <w:right w:val="none" w:sz="0" w:space="0" w:color="auto"/>
          </w:divBdr>
          <w:divsChild>
            <w:div w:id="1367368556">
              <w:marLeft w:val="0"/>
              <w:marRight w:val="0"/>
              <w:marTop w:val="0"/>
              <w:marBottom w:val="0"/>
              <w:divBdr>
                <w:top w:val="none" w:sz="0" w:space="0" w:color="auto"/>
                <w:left w:val="none" w:sz="0" w:space="0" w:color="auto"/>
                <w:bottom w:val="none" w:sz="0" w:space="0" w:color="auto"/>
                <w:right w:val="none" w:sz="0" w:space="0" w:color="auto"/>
              </w:divBdr>
            </w:div>
          </w:divsChild>
        </w:div>
        <w:div w:id="1509060471">
          <w:marLeft w:val="0"/>
          <w:marRight w:val="0"/>
          <w:marTop w:val="0"/>
          <w:marBottom w:val="0"/>
          <w:divBdr>
            <w:top w:val="none" w:sz="0" w:space="0" w:color="auto"/>
            <w:left w:val="none" w:sz="0" w:space="0" w:color="auto"/>
            <w:bottom w:val="none" w:sz="0" w:space="0" w:color="auto"/>
            <w:right w:val="none" w:sz="0" w:space="0" w:color="auto"/>
          </w:divBdr>
          <w:divsChild>
            <w:div w:id="1698003892">
              <w:marLeft w:val="0"/>
              <w:marRight w:val="0"/>
              <w:marTop w:val="0"/>
              <w:marBottom w:val="0"/>
              <w:divBdr>
                <w:top w:val="none" w:sz="0" w:space="0" w:color="auto"/>
                <w:left w:val="none" w:sz="0" w:space="0" w:color="auto"/>
                <w:bottom w:val="none" w:sz="0" w:space="0" w:color="auto"/>
                <w:right w:val="none" w:sz="0" w:space="0" w:color="auto"/>
              </w:divBdr>
            </w:div>
          </w:divsChild>
        </w:div>
        <w:div w:id="1514227621">
          <w:marLeft w:val="0"/>
          <w:marRight w:val="0"/>
          <w:marTop w:val="0"/>
          <w:marBottom w:val="0"/>
          <w:divBdr>
            <w:top w:val="none" w:sz="0" w:space="0" w:color="auto"/>
            <w:left w:val="none" w:sz="0" w:space="0" w:color="auto"/>
            <w:bottom w:val="none" w:sz="0" w:space="0" w:color="auto"/>
            <w:right w:val="none" w:sz="0" w:space="0" w:color="auto"/>
          </w:divBdr>
          <w:divsChild>
            <w:div w:id="611284943">
              <w:marLeft w:val="0"/>
              <w:marRight w:val="0"/>
              <w:marTop w:val="0"/>
              <w:marBottom w:val="0"/>
              <w:divBdr>
                <w:top w:val="none" w:sz="0" w:space="0" w:color="auto"/>
                <w:left w:val="none" w:sz="0" w:space="0" w:color="auto"/>
                <w:bottom w:val="none" w:sz="0" w:space="0" w:color="auto"/>
                <w:right w:val="none" w:sz="0" w:space="0" w:color="auto"/>
              </w:divBdr>
            </w:div>
          </w:divsChild>
        </w:div>
        <w:div w:id="1527256376">
          <w:marLeft w:val="0"/>
          <w:marRight w:val="0"/>
          <w:marTop w:val="0"/>
          <w:marBottom w:val="0"/>
          <w:divBdr>
            <w:top w:val="none" w:sz="0" w:space="0" w:color="auto"/>
            <w:left w:val="none" w:sz="0" w:space="0" w:color="auto"/>
            <w:bottom w:val="none" w:sz="0" w:space="0" w:color="auto"/>
            <w:right w:val="none" w:sz="0" w:space="0" w:color="auto"/>
          </w:divBdr>
          <w:divsChild>
            <w:div w:id="657660959">
              <w:marLeft w:val="0"/>
              <w:marRight w:val="0"/>
              <w:marTop w:val="0"/>
              <w:marBottom w:val="0"/>
              <w:divBdr>
                <w:top w:val="none" w:sz="0" w:space="0" w:color="auto"/>
                <w:left w:val="none" w:sz="0" w:space="0" w:color="auto"/>
                <w:bottom w:val="none" w:sz="0" w:space="0" w:color="auto"/>
                <w:right w:val="none" w:sz="0" w:space="0" w:color="auto"/>
              </w:divBdr>
            </w:div>
          </w:divsChild>
        </w:div>
        <w:div w:id="1536380196">
          <w:marLeft w:val="0"/>
          <w:marRight w:val="0"/>
          <w:marTop w:val="0"/>
          <w:marBottom w:val="0"/>
          <w:divBdr>
            <w:top w:val="none" w:sz="0" w:space="0" w:color="auto"/>
            <w:left w:val="none" w:sz="0" w:space="0" w:color="auto"/>
            <w:bottom w:val="none" w:sz="0" w:space="0" w:color="auto"/>
            <w:right w:val="none" w:sz="0" w:space="0" w:color="auto"/>
          </w:divBdr>
          <w:divsChild>
            <w:div w:id="1238248370">
              <w:marLeft w:val="0"/>
              <w:marRight w:val="0"/>
              <w:marTop w:val="0"/>
              <w:marBottom w:val="0"/>
              <w:divBdr>
                <w:top w:val="none" w:sz="0" w:space="0" w:color="auto"/>
                <w:left w:val="none" w:sz="0" w:space="0" w:color="auto"/>
                <w:bottom w:val="none" w:sz="0" w:space="0" w:color="auto"/>
                <w:right w:val="none" w:sz="0" w:space="0" w:color="auto"/>
              </w:divBdr>
            </w:div>
          </w:divsChild>
        </w:div>
        <w:div w:id="1547832448">
          <w:marLeft w:val="0"/>
          <w:marRight w:val="0"/>
          <w:marTop w:val="0"/>
          <w:marBottom w:val="0"/>
          <w:divBdr>
            <w:top w:val="none" w:sz="0" w:space="0" w:color="auto"/>
            <w:left w:val="none" w:sz="0" w:space="0" w:color="auto"/>
            <w:bottom w:val="none" w:sz="0" w:space="0" w:color="auto"/>
            <w:right w:val="none" w:sz="0" w:space="0" w:color="auto"/>
          </w:divBdr>
          <w:divsChild>
            <w:div w:id="306740305">
              <w:marLeft w:val="0"/>
              <w:marRight w:val="0"/>
              <w:marTop w:val="0"/>
              <w:marBottom w:val="0"/>
              <w:divBdr>
                <w:top w:val="none" w:sz="0" w:space="0" w:color="auto"/>
                <w:left w:val="none" w:sz="0" w:space="0" w:color="auto"/>
                <w:bottom w:val="none" w:sz="0" w:space="0" w:color="auto"/>
                <w:right w:val="none" w:sz="0" w:space="0" w:color="auto"/>
              </w:divBdr>
            </w:div>
          </w:divsChild>
        </w:div>
        <w:div w:id="1551574614">
          <w:marLeft w:val="0"/>
          <w:marRight w:val="0"/>
          <w:marTop w:val="0"/>
          <w:marBottom w:val="0"/>
          <w:divBdr>
            <w:top w:val="none" w:sz="0" w:space="0" w:color="auto"/>
            <w:left w:val="none" w:sz="0" w:space="0" w:color="auto"/>
            <w:bottom w:val="none" w:sz="0" w:space="0" w:color="auto"/>
            <w:right w:val="none" w:sz="0" w:space="0" w:color="auto"/>
          </w:divBdr>
          <w:divsChild>
            <w:div w:id="1414005719">
              <w:marLeft w:val="0"/>
              <w:marRight w:val="0"/>
              <w:marTop w:val="0"/>
              <w:marBottom w:val="0"/>
              <w:divBdr>
                <w:top w:val="none" w:sz="0" w:space="0" w:color="auto"/>
                <w:left w:val="none" w:sz="0" w:space="0" w:color="auto"/>
                <w:bottom w:val="none" w:sz="0" w:space="0" w:color="auto"/>
                <w:right w:val="none" w:sz="0" w:space="0" w:color="auto"/>
              </w:divBdr>
            </w:div>
          </w:divsChild>
        </w:div>
        <w:div w:id="1557399126">
          <w:marLeft w:val="0"/>
          <w:marRight w:val="0"/>
          <w:marTop w:val="0"/>
          <w:marBottom w:val="0"/>
          <w:divBdr>
            <w:top w:val="none" w:sz="0" w:space="0" w:color="auto"/>
            <w:left w:val="none" w:sz="0" w:space="0" w:color="auto"/>
            <w:bottom w:val="none" w:sz="0" w:space="0" w:color="auto"/>
            <w:right w:val="none" w:sz="0" w:space="0" w:color="auto"/>
          </w:divBdr>
          <w:divsChild>
            <w:div w:id="1572738322">
              <w:marLeft w:val="0"/>
              <w:marRight w:val="0"/>
              <w:marTop w:val="0"/>
              <w:marBottom w:val="0"/>
              <w:divBdr>
                <w:top w:val="none" w:sz="0" w:space="0" w:color="auto"/>
                <w:left w:val="none" w:sz="0" w:space="0" w:color="auto"/>
                <w:bottom w:val="none" w:sz="0" w:space="0" w:color="auto"/>
                <w:right w:val="none" w:sz="0" w:space="0" w:color="auto"/>
              </w:divBdr>
            </w:div>
          </w:divsChild>
        </w:div>
        <w:div w:id="1558936415">
          <w:marLeft w:val="0"/>
          <w:marRight w:val="0"/>
          <w:marTop w:val="0"/>
          <w:marBottom w:val="0"/>
          <w:divBdr>
            <w:top w:val="none" w:sz="0" w:space="0" w:color="auto"/>
            <w:left w:val="none" w:sz="0" w:space="0" w:color="auto"/>
            <w:bottom w:val="none" w:sz="0" w:space="0" w:color="auto"/>
            <w:right w:val="none" w:sz="0" w:space="0" w:color="auto"/>
          </w:divBdr>
          <w:divsChild>
            <w:div w:id="432095292">
              <w:marLeft w:val="0"/>
              <w:marRight w:val="0"/>
              <w:marTop w:val="0"/>
              <w:marBottom w:val="0"/>
              <w:divBdr>
                <w:top w:val="none" w:sz="0" w:space="0" w:color="auto"/>
                <w:left w:val="none" w:sz="0" w:space="0" w:color="auto"/>
                <w:bottom w:val="none" w:sz="0" w:space="0" w:color="auto"/>
                <w:right w:val="none" w:sz="0" w:space="0" w:color="auto"/>
              </w:divBdr>
            </w:div>
          </w:divsChild>
        </w:div>
        <w:div w:id="1575629442">
          <w:marLeft w:val="0"/>
          <w:marRight w:val="0"/>
          <w:marTop w:val="0"/>
          <w:marBottom w:val="0"/>
          <w:divBdr>
            <w:top w:val="none" w:sz="0" w:space="0" w:color="auto"/>
            <w:left w:val="none" w:sz="0" w:space="0" w:color="auto"/>
            <w:bottom w:val="none" w:sz="0" w:space="0" w:color="auto"/>
            <w:right w:val="none" w:sz="0" w:space="0" w:color="auto"/>
          </w:divBdr>
          <w:divsChild>
            <w:div w:id="1191142373">
              <w:marLeft w:val="0"/>
              <w:marRight w:val="0"/>
              <w:marTop w:val="0"/>
              <w:marBottom w:val="0"/>
              <w:divBdr>
                <w:top w:val="none" w:sz="0" w:space="0" w:color="auto"/>
                <w:left w:val="none" w:sz="0" w:space="0" w:color="auto"/>
                <w:bottom w:val="none" w:sz="0" w:space="0" w:color="auto"/>
                <w:right w:val="none" w:sz="0" w:space="0" w:color="auto"/>
              </w:divBdr>
            </w:div>
          </w:divsChild>
        </w:div>
        <w:div w:id="1580359882">
          <w:marLeft w:val="0"/>
          <w:marRight w:val="0"/>
          <w:marTop w:val="0"/>
          <w:marBottom w:val="0"/>
          <w:divBdr>
            <w:top w:val="none" w:sz="0" w:space="0" w:color="auto"/>
            <w:left w:val="none" w:sz="0" w:space="0" w:color="auto"/>
            <w:bottom w:val="none" w:sz="0" w:space="0" w:color="auto"/>
            <w:right w:val="none" w:sz="0" w:space="0" w:color="auto"/>
          </w:divBdr>
          <w:divsChild>
            <w:div w:id="1062632969">
              <w:marLeft w:val="0"/>
              <w:marRight w:val="0"/>
              <w:marTop w:val="0"/>
              <w:marBottom w:val="0"/>
              <w:divBdr>
                <w:top w:val="none" w:sz="0" w:space="0" w:color="auto"/>
                <w:left w:val="none" w:sz="0" w:space="0" w:color="auto"/>
                <w:bottom w:val="none" w:sz="0" w:space="0" w:color="auto"/>
                <w:right w:val="none" w:sz="0" w:space="0" w:color="auto"/>
              </w:divBdr>
            </w:div>
          </w:divsChild>
        </w:div>
        <w:div w:id="1604000217">
          <w:marLeft w:val="0"/>
          <w:marRight w:val="0"/>
          <w:marTop w:val="0"/>
          <w:marBottom w:val="0"/>
          <w:divBdr>
            <w:top w:val="none" w:sz="0" w:space="0" w:color="auto"/>
            <w:left w:val="none" w:sz="0" w:space="0" w:color="auto"/>
            <w:bottom w:val="none" w:sz="0" w:space="0" w:color="auto"/>
            <w:right w:val="none" w:sz="0" w:space="0" w:color="auto"/>
          </w:divBdr>
          <w:divsChild>
            <w:div w:id="156658564">
              <w:marLeft w:val="0"/>
              <w:marRight w:val="0"/>
              <w:marTop w:val="0"/>
              <w:marBottom w:val="0"/>
              <w:divBdr>
                <w:top w:val="none" w:sz="0" w:space="0" w:color="auto"/>
                <w:left w:val="none" w:sz="0" w:space="0" w:color="auto"/>
                <w:bottom w:val="none" w:sz="0" w:space="0" w:color="auto"/>
                <w:right w:val="none" w:sz="0" w:space="0" w:color="auto"/>
              </w:divBdr>
            </w:div>
          </w:divsChild>
        </w:div>
        <w:div w:id="1613709219">
          <w:marLeft w:val="0"/>
          <w:marRight w:val="0"/>
          <w:marTop w:val="0"/>
          <w:marBottom w:val="0"/>
          <w:divBdr>
            <w:top w:val="none" w:sz="0" w:space="0" w:color="auto"/>
            <w:left w:val="none" w:sz="0" w:space="0" w:color="auto"/>
            <w:bottom w:val="none" w:sz="0" w:space="0" w:color="auto"/>
            <w:right w:val="none" w:sz="0" w:space="0" w:color="auto"/>
          </w:divBdr>
          <w:divsChild>
            <w:div w:id="1793554766">
              <w:marLeft w:val="0"/>
              <w:marRight w:val="0"/>
              <w:marTop w:val="0"/>
              <w:marBottom w:val="0"/>
              <w:divBdr>
                <w:top w:val="none" w:sz="0" w:space="0" w:color="auto"/>
                <w:left w:val="none" w:sz="0" w:space="0" w:color="auto"/>
                <w:bottom w:val="none" w:sz="0" w:space="0" w:color="auto"/>
                <w:right w:val="none" w:sz="0" w:space="0" w:color="auto"/>
              </w:divBdr>
            </w:div>
          </w:divsChild>
        </w:div>
        <w:div w:id="1630670146">
          <w:marLeft w:val="0"/>
          <w:marRight w:val="0"/>
          <w:marTop w:val="0"/>
          <w:marBottom w:val="0"/>
          <w:divBdr>
            <w:top w:val="none" w:sz="0" w:space="0" w:color="auto"/>
            <w:left w:val="none" w:sz="0" w:space="0" w:color="auto"/>
            <w:bottom w:val="none" w:sz="0" w:space="0" w:color="auto"/>
            <w:right w:val="none" w:sz="0" w:space="0" w:color="auto"/>
          </w:divBdr>
          <w:divsChild>
            <w:div w:id="1420369838">
              <w:marLeft w:val="0"/>
              <w:marRight w:val="0"/>
              <w:marTop w:val="0"/>
              <w:marBottom w:val="0"/>
              <w:divBdr>
                <w:top w:val="none" w:sz="0" w:space="0" w:color="auto"/>
                <w:left w:val="none" w:sz="0" w:space="0" w:color="auto"/>
                <w:bottom w:val="none" w:sz="0" w:space="0" w:color="auto"/>
                <w:right w:val="none" w:sz="0" w:space="0" w:color="auto"/>
              </w:divBdr>
            </w:div>
          </w:divsChild>
        </w:div>
        <w:div w:id="1656060771">
          <w:marLeft w:val="0"/>
          <w:marRight w:val="0"/>
          <w:marTop w:val="0"/>
          <w:marBottom w:val="0"/>
          <w:divBdr>
            <w:top w:val="none" w:sz="0" w:space="0" w:color="auto"/>
            <w:left w:val="none" w:sz="0" w:space="0" w:color="auto"/>
            <w:bottom w:val="none" w:sz="0" w:space="0" w:color="auto"/>
            <w:right w:val="none" w:sz="0" w:space="0" w:color="auto"/>
          </w:divBdr>
          <w:divsChild>
            <w:div w:id="1403136699">
              <w:marLeft w:val="0"/>
              <w:marRight w:val="0"/>
              <w:marTop w:val="0"/>
              <w:marBottom w:val="0"/>
              <w:divBdr>
                <w:top w:val="none" w:sz="0" w:space="0" w:color="auto"/>
                <w:left w:val="none" w:sz="0" w:space="0" w:color="auto"/>
                <w:bottom w:val="none" w:sz="0" w:space="0" w:color="auto"/>
                <w:right w:val="none" w:sz="0" w:space="0" w:color="auto"/>
              </w:divBdr>
            </w:div>
          </w:divsChild>
        </w:div>
        <w:div w:id="1674870705">
          <w:marLeft w:val="0"/>
          <w:marRight w:val="0"/>
          <w:marTop w:val="0"/>
          <w:marBottom w:val="0"/>
          <w:divBdr>
            <w:top w:val="none" w:sz="0" w:space="0" w:color="auto"/>
            <w:left w:val="none" w:sz="0" w:space="0" w:color="auto"/>
            <w:bottom w:val="none" w:sz="0" w:space="0" w:color="auto"/>
            <w:right w:val="none" w:sz="0" w:space="0" w:color="auto"/>
          </w:divBdr>
          <w:divsChild>
            <w:div w:id="1194726334">
              <w:marLeft w:val="0"/>
              <w:marRight w:val="0"/>
              <w:marTop w:val="0"/>
              <w:marBottom w:val="0"/>
              <w:divBdr>
                <w:top w:val="none" w:sz="0" w:space="0" w:color="auto"/>
                <w:left w:val="none" w:sz="0" w:space="0" w:color="auto"/>
                <w:bottom w:val="none" w:sz="0" w:space="0" w:color="auto"/>
                <w:right w:val="none" w:sz="0" w:space="0" w:color="auto"/>
              </w:divBdr>
            </w:div>
          </w:divsChild>
        </w:div>
        <w:div w:id="1709913642">
          <w:marLeft w:val="0"/>
          <w:marRight w:val="0"/>
          <w:marTop w:val="0"/>
          <w:marBottom w:val="0"/>
          <w:divBdr>
            <w:top w:val="none" w:sz="0" w:space="0" w:color="auto"/>
            <w:left w:val="none" w:sz="0" w:space="0" w:color="auto"/>
            <w:bottom w:val="none" w:sz="0" w:space="0" w:color="auto"/>
            <w:right w:val="none" w:sz="0" w:space="0" w:color="auto"/>
          </w:divBdr>
          <w:divsChild>
            <w:div w:id="95951263">
              <w:marLeft w:val="0"/>
              <w:marRight w:val="0"/>
              <w:marTop w:val="0"/>
              <w:marBottom w:val="0"/>
              <w:divBdr>
                <w:top w:val="none" w:sz="0" w:space="0" w:color="auto"/>
                <w:left w:val="none" w:sz="0" w:space="0" w:color="auto"/>
                <w:bottom w:val="none" w:sz="0" w:space="0" w:color="auto"/>
                <w:right w:val="none" w:sz="0" w:space="0" w:color="auto"/>
              </w:divBdr>
            </w:div>
          </w:divsChild>
        </w:div>
        <w:div w:id="1710690243">
          <w:marLeft w:val="0"/>
          <w:marRight w:val="0"/>
          <w:marTop w:val="0"/>
          <w:marBottom w:val="0"/>
          <w:divBdr>
            <w:top w:val="none" w:sz="0" w:space="0" w:color="auto"/>
            <w:left w:val="none" w:sz="0" w:space="0" w:color="auto"/>
            <w:bottom w:val="none" w:sz="0" w:space="0" w:color="auto"/>
            <w:right w:val="none" w:sz="0" w:space="0" w:color="auto"/>
          </w:divBdr>
          <w:divsChild>
            <w:div w:id="769861534">
              <w:marLeft w:val="0"/>
              <w:marRight w:val="0"/>
              <w:marTop w:val="0"/>
              <w:marBottom w:val="0"/>
              <w:divBdr>
                <w:top w:val="none" w:sz="0" w:space="0" w:color="auto"/>
                <w:left w:val="none" w:sz="0" w:space="0" w:color="auto"/>
                <w:bottom w:val="none" w:sz="0" w:space="0" w:color="auto"/>
                <w:right w:val="none" w:sz="0" w:space="0" w:color="auto"/>
              </w:divBdr>
            </w:div>
          </w:divsChild>
        </w:div>
        <w:div w:id="1712416065">
          <w:marLeft w:val="0"/>
          <w:marRight w:val="0"/>
          <w:marTop w:val="0"/>
          <w:marBottom w:val="0"/>
          <w:divBdr>
            <w:top w:val="none" w:sz="0" w:space="0" w:color="auto"/>
            <w:left w:val="none" w:sz="0" w:space="0" w:color="auto"/>
            <w:bottom w:val="none" w:sz="0" w:space="0" w:color="auto"/>
            <w:right w:val="none" w:sz="0" w:space="0" w:color="auto"/>
          </w:divBdr>
          <w:divsChild>
            <w:div w:id="1261912672">
              <w:marLeft w:val="0"/>
              <w:marRight w:val="0"/>
              <w:marTop w:val="0"/>
              <w:marBottom w:val="0"/>
              <w:divBdr>
                <w:top w:val="none" w:sz="0" w:space="0" w:color="auto"/>
                <w:left w:val="none" w:sz="0" w:space="0" w:color="auto"/>
                <w:bottom w:val="none" w:sz="0" w:space="0" w:color="auto"/>
                <w:right w:val="none" w:sz="0" w:space="0" w:color="auto"/>
              </w:divBdr>
            </w:div>
          </w:divsChild>
        </w:div>
        <w:div w:id="1718315425">
          <w:marLeft w:val="0"/>
          <w:marRight w:val="0"/>
          <w:marTop w:val="0"/>
          <w:marBottom w:val="0"/>
          <w:divBdr>
            <w:top w:val="none" w:sz="0" w:space="0" w:color="auto"/>
            <w:left w:val="none" w:sz="0" w:space="0" w:color="auto"/>
            <w:bottom w:val="none" w:sz="0" w:space="0" w:color="auto"/>
            <w:right w:val="none" w:sz="0" w:space="0" w:color="auto"/>
          </w:divBdr>
          <w:divsChild>
            <w:div w:id="1962178534">
              <w:marLeft w:val="0"/>
              <w:marRight w:val="0"/>
              <w:marTop w:val="0"/>
              <w:marBottom w:val="0"/>
              <w:divBdr>
                <w:top w:val="none" w:sz="0" w:space="0" w:color="auto"/>
                <w:left w:val="none" w:sz="0" w:space="0" w:color="auto"/>
                <w:bottom w:val="none" w:sz="0" w:space="0" w:color="auto"/>
                <w:right w:val="none" w:sz="0" w:space="0" w:color="auto"/>
              </w:divBdr>
            </w:div>
          </w:divsChild>
        </w:div>
        <w:div w:id="1725325798">
          <w:marLeft w:val="0"/>
          <w:marRight w:val="0"/>
          <w:marTop w:val="0"/>
          <w:marBottom w:val="0"/>
          <w:divBdr>
            <w:top w:val="none" w:sz="0" w:space="0" w:color="auto"/>
            <w:left w:val="none" w:sz="0" w:space="0" w:color="auto"/>
            <w:bottom w:val="none" w:sz="0" w:space="0" w:color="auto"/>
            <w:right w:val="none" w:sz="0" w:space="0" w:color="auto"/>
          </w:divBdr>
          <w:divsChild>
            <w:div w:id="1549955736">
              <w:marLeft w:val="0"/>
              <w:marRight w:val="0"/>
              <w:marTop w:val="0"/>
              <w:marBottom w:val="0"/>
              <w:divBdr>
                <w:top w:val="none" w:sz="0" w:space="0" w:color="auto"/>
                <w:left w:val="none" w:sz="0" w:space="0" w:color="auto"/>
                <w:bottom w:val="none" w:sz="0" w:space="0" w:color="auto"/>
                <w:right w:val="none" w:sz="0" w:space="0" w:color="auto"/>
              </w:divBdr>
            </w:div>
          </w:divsChild>
        </w:div>
        <w:div w:id="1742872716">
          <w:marLeft w:val="0"/>
          <w:marRight w:val="0"/>
          <w:marTop w:val="0"/>
          <w:marBottom w:val="0"/>
          <w:divBdr>
            <w:top w:val="none" w:sz="0" w:space="0" w:color="auto"/>
            <w:left w:val="none" w:sz="0" w:space="0" w:color="auto"/>
            <w:bottom w:val="none" w:sz="0" w:space="0" w:color="auto"/>
            <w:right w:val="none" w:sz="0" w:space="0" w:color="auto"/>
          </w:divBdr>
          <w:divsChild>
            <w:div w:id="1856265362">
              <w:marLeft w:val="0"/>
              <w:marRight w:val="0"/>
              <w:marTop w:val="0"/>
              <w:marBottom w:val="0"/>
              <w:divBdr>
                <w:top w:val="none" w:sz="0" w:space="0" w:color="auto"/>
                <w:left w:val="none" w:sz="0" w:space="0" w:color="auto"/>
                <w:bottom w:val="none" w:sz="0" w:space="0" w:color="auto"/>
                <w:right w:val="none" w:sz="0" w:space="0" w:color="auto"/>
              </w:divBdr>
            </w:div>
          </w:divsChild>
        </w:div>
        <w:div w:id="1754233094">
          <w:marLeft w:val="0"/>
          <w:marRight w:val="0"/>
          <w:marTop w:val="0"/>
          <w:marBottom w:val="0"/>
          <w:divBdr>
            <w:top w:val="none" w:sz="0" w:space="0" w:color="auto"/>
            <w:left w:val="none" w:sz="0" w:space="0" w:color="auto"/>
            <w:bottom w:val="none" w:sz="0" w:space="0" w:color="auto"/>
            <w:right w:val="none" w:sz="0" w:space="0" w:color="auto"/>
          </w:divBdr>
          <w:divsChild>
            <w:div w:id="905147436">
              <w:marLeft w:val="0"/>
              <w:marRight w:val="0"/>
              <w:marTop w:val="0"/>
              <w:marBottom w:val="0"/>
              <w:divBdr>
                <w:top w:val="none" w:sz="0" w:space="0" w:color="auto"/>
                <w:left w:val="none" w:sz="0" w:space="0" w:color="auto"/>
                <w:bottom w:val="none" w:sz="0" w:space="0" w:color="auto"/>
                <w:right w:val="none" w:sz="0" w:space="0" w:color="auto"/>
              </w:divBdr>
            </w:div>
          </w:divsChild>
        </w:div>
        <w:div w:id="1757708184">
          <w:marLeft w:val="0"/>
          <w:marRight w:val="0"/>
          <w:marTop w:val="0"/>
          <w:marBottom w:val="0"/>
          <w:divBdr>
            <w:top w:val="none" w:sz="0" w:space="0" w:color="auto"/>
            <w:left w:val="none" w:sz="0" w:space="0" w:color="auto"/>
            <w:bottom w:val="none" w:sz="0" w:space="0" w:color="auto"/>
            <w:right w:val="none" w:sz="0" w:space="0" w:color="auto"/>
          </w:divBdr>
          <w:divsChild>
            <w:div w:id="474683957">
              <w:marLeft w:val="0"/>
              <w:marRight w:val="0"/>
              <w:marTop w:val="0"/>
              <w:marBottom w:val="0"/>
              <w:divBdr>
                <w:top w:val="none" w:sz="0" w:space="0" w:color="auto"/>
                <w:left w:val="none" w:sz="0" w:space="0" w:color="auto"/>
                <w:bottom w:val="none" w:sz="0" w:space="0" w:color="auto"/>
                <w:right w:val="none" w:sz="0" w:space="0" w:color="auto"/>
              </w:divBdr>
            </w:div>
          </w:divsChild>
        </w:div>
        <w:div w:id="1759061304">
          <w:marLeft w:val="0"/>
          <w:marRight w:val="0"/>
          <w:marTop w:val="0"/>
          <w:marBottom w:val="0"/>
          <w:divBdr>
            <w:top w:val="none" w:sz="0" w:space="0" w:color="auto"/>
            <w:left w:val="none" w:sz="0" w:space="0" w:color="auto"/>
            <w:bottom w:val="none" w:sz="0" w:space="0" w:color="auto"/>
            <w:right w:val="none" w:sz="0" w:space="0" w:color="auto"/>
          </w:divBdr>
          <w:divsChild>
            <w:div w:id="1797067420">
              <w:marLeft w:val="0"/>
              <w:marRight w:val="0"/>
              <w:marTop w:val="0"/>
              <w:marBottom w:val="0"/>
              <w:divBdr>
                <w:top w:val="none" w:sz="0" w:space="0" w:color="auto"/>
                <w:left w:val="none" w:sz="0" w:space="0" w:color="auto"/>
                <w:bottom w:val="none" w:sz="0" w:space="0" w:color="auto"/>
                <w:right w:val="none" w:sz="0" w:space="0" w:color="auto"/>
              </w:divBdr>
            </w:div>
          </w:divsChild>
        </w:div>
        <w:div w:id="1759251528">
          <w:marLeft w:val="0"/>
          <w:marRight w:val="0"/>
          <w:marTop w:val="0"/>
          <w:marBottom w:val="0"/>
          <w:divBdr>
            <w:top w:val="none" w:sz="0" w:space="0" w:color="auto"/>
            <w:left w:val="none" w:sz="0" w:space="0" w:color="auto"/>
            <w:bottom w:val="none" w:sz="0" w:space="0" w:color="auto"/>
            <w:right w:val="none" w:sz="0" w:space="0" w:color="auto"/>
          </w:divBdr>
          <w:divsChild>
            <w:div w:id="1013066974">
              <w:marLeft w:val="0"/>
              <w:marRight w:val="0"/>
              <w:marTop w:val="0"/>
              <w:marBottom w:val="0"/>
              <w:divBdr>
                <w:top w:val="none" w:sz="0" w:space="0" w:color="auto"/>
                <w:left w:val="none" w:sz="0" w:space="0" w:color="auto"/>
                <w:bottom w:val="none" w:sz="0" w:space="0" w:color="auto"/>
                <w:right w:val="none" w:sz="0" w:space="0" w:color="auto"/>
              </w:divBdr>
            </w:div>
          </w:divsChild>
        </w:div>
        <w:div w:id="1770195465">
          <w:marLeft w:val="0"/>
          <w:marRight w:val="0"/>
          <w:marTop w:val="0"/>
          <w:marBottom w:val="0"/>
          <w:divBdr>
            <w:top w:val="none" w:sz="0" w:space="0" w:color="auto"/>
            <w:left w:val="none" w:sz="0" w:space="0" w:color="auto"/>
            <w:bottom w:val="none" w:sz="0" w:space="0" w:color="auto"/>
            <w:right w:val="none" w:sz="0" w:space="0" w:color="auto"/>
          </w:divBdr>
          <w:divsChild>
            <w:div w:id="488712057">
              <w:marLeft w:val="0"/>
              <w:marRight w:val="0"/>
              <w:marTop w:val="0"/>
              <w:marBottom w:val="0"/>
              <w:divBdr>
                <w:top w:val="none" w:sz="0" w:space="0" w:color="auto"/>
                <w:left w:val="none" w:sz="0" w:space="0" w:color="auto"/>
                <w:bottom w:val="none" w:sz="0" w:space="0" w:color="auto"/>
                <w:right w:val="none" w:sz="0" w:space="0" w:color="auto"/>
              </w:divBdr>
            </w:div>
          </w:divsChild>
        </w:div>
        <w:div w:id="1770806493">
          <w:marLeft w:val="0"/>
          <w:marRight w:val="0"/>
          <w:marTop w:val="0"/>
          <w:marBottom w:val="0"/>
          <w:divBdr>
            <w:top w:val="none" w:sz="0" w:space="0" w:color="auto"/>
            <w:left w:val="none" w:sz="0" w:space="0" w:color="auto"/>
            <w:bottom w:val="none" w:sz="0" w:space="0" w:color="auto"/>
            <w:right w:val="none" w:sz="0" w:space="0" w:color="auto"/>
          </w:divBdr>
          <w:divsChild>
            <w:div w:id="4291635">
              <w:marLeft w:val="0"/>
              <w:marRight w:val="0"/>
              <w:marTop w:val="0"/>
              <w:marBottom w:val="0"/>
              <w:divBdr>
                <w:top w:val="none" w:sz="0" w:space="0" w:color="auto"/>
                <w:left w:val="none" w:sz="0" w:space="0" w:color="auto"/>
                <w:bottom w:val="none" w:sz="0" w:space="0" w:color="auto"/>
                <w:right w:val="none" w:sz="0" w:space="0" w:color="auto"/>
              </w:divBdr>
            </w:div>
          </w:divsChild>
        </w:div>
        <w:div w:id="1772821679">
          <w:marLeft w:val="0"/>
          <w:marRight w:val="0"/>
          <w:marTop w:val="0"/>
          <w:marBottom w:val="0"/>
          <w:divBdr>
            <w:top w:val="none" w:sz="0" w:space="0" w:color="auto"/>
            <w:left w:val="none" w:sz="0" w:space="0" w:color="auto"/>
            <w:bottom w:val="none" w:sz="0" w:space="0" w:color="auto"/>
            <w:right w:val="none" w:sz="0" w:space="0" w:color="auto"/>
          </w:divBdr>
          <w:divsChild>
            <w:div w:id="385881269">
              <w:marLeft w:val="0"/>
              <w:marRight w:val="0"/>
              <w:marTop w:val="0"/>
              <w:marBottom w:val="0"/>
              <w:divBdr>
                <w:top w:val="none" w:sz="0" w:space="0" w:color="auto"/>
                <w:left w:val="none" w:sz="0" w:space="0" w:color="auto"/>
                <w:bottom w:val="none" w:sz="0" w:space="0" w:color="auto"/>
                <w:right w:val="none" w:sz="0" w:space="0" w:color="auto"/>
              </w:divBdr>
            </w:div>
          </w:divsChild>
        </w:div>
        <w:div w:id="1773697557">
          <w:marLeft w:val="0"/>
          <w:marRight w:val="0"/>
          <w:marTop w:val="0"/>
          <w:marBottom w:val="0"/>
          <w:divBdr>
            <w:top w:val="none" w:sz="0" w:space="0" w:color="auto"/>
            <w:left w:val="none" w:sz="0" w:space="0" w:color="auto"/>
            <w:bottom w:val="none" w:sz="0" w:space="0" w:color="auto"/>
            <w:right w:val="none" w:sz="0" w:space="0" w:color="auto"/>
          </w:divBdr>
          <w:divsChild>
            <w:div w:id="867111009">
              <w:marLeft w:val="0"/>
              <w:marRight w:val="0"/>
              <w:marTop w:val="0"/>
              <w:marBottom w:val="0"/>
              <w:divBdr>
                <w:top w:val="none" w:sz="0" w:space="0" w:color="auto"/>
                <w:left w:val="none" w:sz="0" w:space="0" w:color="auto"/>
                <w:bottom w:val="none" w:sz="0" w:space="0" w:color="auto"/>
                <w:right w:val="none" w:sz="0" w:space="0" w:color="auto"/>
              </w:divBdr>
            </w:div>
          </w:divsChild>
        </w:div>
        <w:div w:id="1774470231">
          <w:marLeft w:val="0"/>
          <w:marRight w:val="0"/>
          <w:marTop w:val="0"/>
          <w:marBottom w:val="0"/>
          <w:divBdr>
            <w:top w:val="none" w:sz="0" w:space="0" w:color="auto"/>
            <w:left w:val="none" w:sz="0" w:space="0" w:color="auto"/>
            <w:bottom w:val="none" w:sz="0" w:space="0" w:color="auto"/>
            <w:right w:val="none" w:sz="0" w:space="0" w:color="auto"/>
          </w:divBdr>
          <w:divsChild>
            <w:div w:id="142242400">
              <w:marLeft w:val="0"/>
              <w:marRight w:val="0"/>
              <w:marTop w:val="0"/>
              <w:marBottom w:val="0"/>
              <w:divBdr>
                <w:top w:val="none" w:sz="0" w:space="0" w:color="auto"/>
                <w:left w:val="none" w:sz="0" w:space="0" w:color="auto"/>
                <w:bottom w:val="none" w:sz="0" w:space="0" w:color="auto"/>
                <w:right w:val="none" w:sz="0" w:space="0" w:color="auto"/>
              </w:divBdr>
            </w:div>
          </w:divsChild>
        </w:div>
        <w:div w:id="1781490589">
          <w:marLeft w:val="0"/>
          <w:marRight w:val="0"/>
          <w:marTop w:val="0"/>
          <w:marBottom w:val="0"/>
          <w:divBdr>
            <w:top w:val="none" w:sz="0" w:space="0" w:color="auto"/>
            <w:left w:val="none" w:sz="0" w:space="0" w:color="auto"/>
            <w:bottom w:val="none" w:sz="0" w:space="0" w:color="auto"/>
            <w:right w:val="none" w:sz="0" w:space="0" w:color="auto"/>
          </w:divBdr>
          <w:divsChild>
            <w:div w:id="2062484726">
              <w:marLeft w:val="0"/>
              <w:marRight w:val="0"/>
              <w:marTop w:val="0"/>
              <w:marBottom w:val="0"/>
              <w:divBdr>
                <w:top w:val="none" w:sz="0" w:space="0" w:color="auto"/>
                <w:left w:val="none" w:sz="0" w:space="0" w:color="auto"/>
                <w:bottom w:val="none" w:sz="0" w:space="0" w:color="auto"/>
                <w:right w:val="none" w:sz="0" w:space="0" w:color="auto"/>
              </w:divBdr>
            </w:div>
          </w:divsChild>
        </w:div>
        <w:div w:id="1787044341">
          <w:marLeft w:val="0"/>
          <w:marRight w:val="0"/>
          <w:marTop w:val="0"/>
          <w:marBottom w:val="0"/>
          <w:divBdr>
            <w:top w:val="none" w:sz="0" w:space="0" w:color="auto"/>
            <w:left w:val="none" w:sz="0" w:space="0" w:color="auto"/>
            <w:bottom w:val="none" w:sz="0" w:space="0" w:color="auto"/>
            <w:right w:val="none" w:sz="0" w:space="0" w:color="auto"/>
          </w:divBdr>
          <w:divsChild>
            <w:div w:id="53822401">
              <w:marLeft w:val="0"/>
              <w:marRight w:val="0"/>
              <w:marTop w:val="0"/>
              <w:marBottom w:val="0"/>
              <w:divBdr>
                <w:top w:val="none" w:sz="0" w:space="0" w:color="auto"/>
                <w:left w:val="none" w:sz="0" w:space="0" w:color="auto"/>
                <w:bottom w:val="none" w:sz="0" w:space="0" w:color="auto"/>
                <w:right w:val="none" w:sz="0" w:space="0" w:color="auto"/>
              </w:divBdr>
            </w:div>
          </w:divsChild>
        </w:div>
        <w:div w:id="1792166389">
          <w:marLeft w:val="0"/>
          <w:marRight w:val="0"/>
          <w:marTop w:val="0"/>
          <w:marBottom w:val="0"/>
          <w:divBdr>
            <w:top w:val="none" w:sz="0" w:space="0" w:color="auto"/>
            <w:left w:val="none" w:sz="0" w:space="0" w:color="auto"/>
            <w:bottom w:val="none" w:sz="0" w:space="0" w:color="auto"/>
            <w:right w:val="none" w:sz="0" w:space="0" w:color="auto"/>
          </w:divBdr>
          <w:divsChild>
            <w:div w:id="870990792">
              <w:marLeft w:val="0"/>
              <w:marRight w:val="0"/>
              <w:marTop w:val="0"/>
              <w:marBottom w:val="0"/>
              <w:divBdr>
                <w:top w:val="none" w:sz="0" w:space="0" w:color="auto"/>
                <w:left w:val="none" w:sz="0" w:space="0" w:color="auto"/>
                <w:bottom w:val="none" w:sz="0" w:space="0" w:color="auto"/>
                <w:right w:val="none" w:sz="0" w:space="0" w:color="auto"/>
              </w:divBdr>
            </w:div>
          </w:divsChild>
        </w:div>
        <w:div w:id="1795710800">
          <w:marLeft w:val="0"/>
          <w:marRight w:val="0"/>
          <w:marTop w:val="0"/>
          <w:marBottom w:val="0"/>
          <w:divBdr>
            <w:top w:val="none" w:sz="0" w:space="0" w:color="auto"/>
            <w:left w:val="none" w:sz="0" w:space="0" w:color="auto"/>
            <w:bottom w:val="none" w:sz="0" w:space="0" w:color="auto"/>
            <w:right w:val="none" w:sz="0" w:space="0" w:color="auto"/>
          </w:divBdr>
          <w:divsChild>
            <w:div w:id="286089512">
              <w:marLeft w:val="0"/>
              <w:marRight w:val="0"/>
              <w:marTop w:val="0"/>
              <w:marBottom w:val="0"/>
              <w:divBdr>
                <w:top w:val="none" w:sz="0" w:space="0" w:color="auto"/>
                <w:left w:val="none" w:sz="0" w:space="0" w:color="auto"/>
                <w:bottom w:val="none" w:sz="0" w:space="0" w:color="auto"/>
                <w:right w:val="none" w:sz="0" w:space="0" w:color="auto"/>
              </w:divBdr>
            </w:div>
          </w:divsChild>
        </w:div>
        <w:div w:id="1804418524">
          <w:marLeft w:val="0"/>
          <w:marRight w:val="0"/>
          <w:marTop w:val="0"/>
          <w:marBottom w:val="0"/>
          <w:divBdr>
            <w:top w:val="none" w:sz="0" w:space="0" w:color="auto"/>
            <w:left w:val="none" w:sz="0" w:space="0" w:color="auto"/>
            <w:bottom w:val="none" w:sz="0" w:space="0" w:color="auto"/>
            <w:right w:val="none" w:sz="0" w:space="0" w:color="auto"/>
          </w:divBdr>
          <w:divsChild>
            <w:div w:id="82266066">
              <w:marLeft w:val="0"/>
              <w:marRight w:val="0"/>
              <w:marTop w:val="0"/>
              <w:marBottom w:val="0"/>
              <w:divBdr>
                <w:top w:val="none" w:sz="0" w:space="0" w:color="auto"/>
                <w:left w:val="none" w:sz="0" w:space="0" w:color="auto"/>
                <w:bottom w:val="none" w:sz="0" w:space="0" w:color="auto"/>
                <w:right w:val="none" w:sz="0" w:space="0" w:color="auto"/>
              </w:divBdr>
            </w:div>
          </w:divsChild>
        </w:div>
        <w:div w:id="1815413828">
          <w:marLeft w:val="0"/>
          <w:marRight w:val="0"/>
          <w:marTop w:val="0"/>
          <w:marBottom w:val="0"/>
          <w:divBdr>
            <w:top w:val="none" w:sz="0" w:space="0" w:color="auto"/>
            <w:left w:val="none" w:sz="0" w:space="0" w:color="auto"/>
            <w:bottom w:val="none" w:sz="0" w:space="0" w:color="auto"/>
            <w:right w:val="none" w:sz="0" w:space="0" w:color="auto"/>
          </w:divBdr>
          <w:divsChild>
            <w:div w:id="1667247687">
              <w:marLeft w:val="0"/>
              <w:marRight w:val="0"/>
              <w:marTop w:val="0"/>
              <w:marBottom w:val="0"/>
              <w:divBdr>
                <w:top w:val="none" w:sz="0" w:space="0" w:color="auto"/>
                <w:left w:val="none" w:sz="0" w:space="0" w:color="auto"/>
                <w:bottom w:val="none" w:sz="0" w:space="0" w:color="auto"/>
                <w:right w:val="none" w:sz="0" w:space="0" w:color="auto"/>
              </w:divBdr>
            </w:div>
          </w:divsChild>
        </w:div>
        <w:div w:id="1824008682">
          <w:marLeft w:val="0"/>
          <w:marRight w:val="0"/>
          <w:marTop w:val="0"/>
          <w:marBottom w:val="0"/>
          <w:divBdr>
            <w:top w:val="none" w:sz="0" w:space="0" w:color="auto"/>
            <w:left w:val="none" w:sz="0" w:space="0" w:color="auto"/>
            <w:bottom w:val="none" w:sz="0" w:space="0" w:color="auto"/>
            <w:right w:val="none" w:sz="0" w:space="0" w:color="auto"/>
          </w:divBdr>
          <w:divsChild>
            <w:div w:id="792941046">
              <w:marLeft w:val="0"/>
              <w:marRight w:val="0"/>
              <w:marTop w:val="0"/>
              <w:marBottom w:val="0"/>
              <w:divBdr>
                <w:top w:val="none" w:sz="0" w:space="0" w:color="auto"/>
                <w:left w:val="none" w:sz="0" w:space="0" w:color="auto"/>
                <w:bottom w:val="none" w:sz="0" w:space="0" w:color="auto"/>
                <w:right w:val="none" w:sz="0" w:space="0" w:color="auto"/>
              </w:divBdr>
            </w:div>
          </w:divsChild>
        </w:div>
        <w:div w:id="1829010260">
          <w:marLeft w:val="0"/>
          <w:marRight w:val="0"/>
          <w:marTop w:val="0"/>
          <w:marBottom w:val="0"/>
          <w:divBdr>
            <w:top w:val="none" w:sz="0" w:space="0" w:color="auto"/>
            <w:left w:val="none" w:sz="0" w:space="0" w:color="auto"/>
            <w:bottom w:val="none" w:sz="0" w:space="0" w:color="auto"/>
            <w:right w:val="none" w:sz="0" w:space="0" w:color="auto"/>
          </w:divBdr>
          <w:divsChild>
            <w:div w:id="1028799181">
              <w:marLeft w:val="0"/>
              <w:marRight w:val="0"/>
              <w:marTop w:val="0"/>
              <w:marBottom w:val="0"/>
              <w:divBdr>
                <w:top w:val="none" w:sz="0" w:space="0" w:color="auto"/>
                <w:left w:val="none" w:sz="0" w:space="0" w:color="auto"/>
                <w:bottom w:val="none" w:sz="0" w:space="0" w:color="auto"/>
                <w:right w:val="none" w:sz="0" w:space="0" w:color="auto"/>
              </w:divBdr>
            </w:div>
          </w:divsChild>
        </w:div>
        <w:div w:id="1830174229">
          <w:marLeft w:val="0"/>
          <w:marRight w:val="0"/>
          <w:marTop w:val="0"/>
          <w:marBottom w:val="0"/>
          <w:divBdr>
            <w:top w:val="none" w:sz="0" w:space="0" w:color="auto"/>
            <w:left w:val="none" w:sz="0" w:space="0" w:color="auto"/>
            <w:bottom w:val="none" w:sz="0" w:space="0" w:color="auto"/>
            <w:right w:val="none" w:sz="0" w:space="0" w:color="auto"/>
          </w:divBdr>
          <w:divsChild>
            <w:div w:id="782580646">
              <w:marLeft w:val="0"/>
              <w:marRight w:val="0"/>
              <w:marTop w:val="0"/>
              <w:marBottom w:val="0"/>
              <w:divBdr>
                <w:top w:val="none" w:sz="0" w:space="0" w:color="auto"/>
                <w:left w:val="none" w:sz="0" w:space="0" w:color="auto"/>
                <w:bottom w:val="none" w:sz="0" w:space="0" w:color="auto"/>
                <w:right w:val="none" w:sz="0" w:space="0" w:color="auto"/>
              </w:divBdr>
            </w:div>
          </w:divsChild>
        </w:div>
        <w:div w:id="1832210596">
          <w:marLeft w:val="0"/>
          <w:marRight w:val="0"/>
          <w:marTop w:val="0"/>
          <w:marBottom w:val="0"/>
          <w:divBdr>
            <w:top w:val="none" w:sz="0" w:space="0" w:color="auto"/>
            <w:left w:val="none" w:sz="0" w:space="0" w:color="auto"/>
            <w:bottom w:val="none" w:sz="0" w:space="0" w:color="auto"/>
            <w:right w:val="none" w:sz="0" w:space="0" w:color="auto"/>
          </w:divBdr>
          <w:divsChild>
            <w:div w:id="1094516915">
              <w:marLeft w:val="0"/>
              <w:marRight w:val="0"/>
              <w:marTop w:val="0"/>
              <w:marBottom w:val="0"/>
              <w:divBdr>
                <w:top w:val="none" w:sz="0" w:space="0" w:color="auto"/>
                <w:left w:val="none" w:sz="0" w:space="0" w:color="auto"/>
                <w:bottom w:val="none" w:sz="0" w:space="0" w:color="auto"/>
                <w:right w:val="none" w:sz="0" w:space="0" w:color="auto"/>
              </w:divBdr>
            </w:div>
          </w:divsChild>
        </w:div>
        <w:div w:id="1846506200">
          <w:marLeft w:val="0"/>
          <w:marRight w:val="0"/>
          <w:marTop w:val="0"/>
          <w:marBottom w:val="0"/>
          <w:divBdr>
            <w:top w:val="none" w:sz="0" w:space="0" w:color="auto"/>
            <w:left w:val="none" w:sz="0" w:space="0" w:color="auto"/>
            <w:bottom w:val="none" w:sz="0" w:space="0" w:color="auto"/>
            <w:right w:val="none" w:sz="0" w:space="0" w:color="auto"/>
          </w:divBdr>
          <w:divsChild>
            <w:div w:id="386925227">
              <w:marLeft w:val="0"/>
              <w:marRight w:val="0"/>
              <w:marTop w:val="0"/>
              <w:marBottom w:val="0"/>
              <w:divBdr>
                <w:top w:val="none" w:sz="0" w:space="0" w:color="auto"/>
                <w:left w:val="none" w:sz="0" w:space="0" w:color="auto"/>
                <w:bottom w:val="none" w:sz="0" w:space="0" w:color="auto"/>
                <w:right w:val="none" w:sz="0" w:space="0" w:color="auto"/>
              </w:divBdr>
            </w:div>
          </w:divsChild>
        </w:div>
        <w:div w:id="1846626449">
          <w:marLeft w:val="0"/>
          <w:marRight w:val="0"/>
          <w:marTop w:val="0"/>
          <w:marBottom w:val="0"/>
          <w:divBdr>
            <w:top w:val="none" w:sz="0" w:space="0" w:color="auto"/>
            <w:left w:val="none" w:sz="0" w:space="0" w:color="auto"/>
            <w:bottom w:val="none" w:sz="0" w:space="0" w:color="auto"/>
            <w:right w:val="none" w:sz="0" w:space="0" w:color="auto"/>
          </w:divBdr>
          <w:divsChild>
            <w:div w:id="833759137">
              <w:marLeft w:val="0"/>
              <w:marRight w:val="0"/>
              <w:marTop w:val="0"/>
              <w:marBottom w:val="0"/>
              <w:divBdr>
                <w:top w:val="none" w:sz="0" w:space="0" w:color="auto"/>
                <w:left w:val="none" w:sz="0" w:space="0" w:color="auto"/>
                <w:bottom w:val="none" w:sz="0" w:space="0" w:color="auto"/>
                <w:right w:val="none" w:sz="0" w:space="0" w:color="auto"/>
              </w:divBdr>
            </w:div>
          </w:divsChild>
        </w:div>
        <w:div w:id="1851917148">
          <w:marLeft w:val="0"/>
          <w:marRight w:val="0"/>
          <w:marTop w:val="0"/>
          <w:marBottom w:val="0"/>
          <w:divBdr>
            <w:top w:val="none" w:sz="0" w:space="0" w:color="auto"/>
            <w:left w:val="none" w:sz="0" w:space="0" w:color="auto"/>
            <w:bottom w:val="none" w:sz="0" w:space="0" w:color="auto"/>
            <w:right w:val="none" w:sz="0" w:space="0" w:color="auto"/>
          </w:divBdr>
          <w:divsChild>
            <w:div w:id="304506680">
              <w:marLeft w:val="0"/>
              <w:marRight w:val="0"/>
              <w:marTop w:val="0"/>
              <w:marBottom w:val="0"/>
              <w:divBdr>
                <w:top w:val="none" w:sz="0" w:space="0" w:color="auto"/>
                <w:left w:val="none" w:sz="0" w:space="0" w:color="auto"/>
                <w:bottom w:val="none" w:sz="0" w:space="0" w:color="auto"/>
                <w:right w:val="none" w:sz="0" w:space="0" w:color="auto"/>
              </w:divBdr>
            </w:div>
          </w:divsChild>
        </w:div>
        <w:div w:id="1874417554">
          <w:marLeft w:val="0"/>
          <w:marRight w:val="0"/>
          <w:marTop w:val="0"/>
          <w:marBottom w:val="0"/>
          <w:divBdr>
            <w:top w:val="none" w:sz="0" w:space="0" w:color="auto"/>
            <w:left w:val="none" w:sz="0" w:space="0" w:color="auto"/>
            <w:bottom w:val="none" w:sz="0" w:space="0" w:color="auto"/>
            <w:right w:val="none" w:sz="0" w:space="0" w:color="auto"/>
          </w:divBdr>
          <w:divsChild>
            <w:div w:id="721831553">
              <w:marLeft w:val="0"/>
              <w:marRight w:val="0"/>
              <w:marTop w:val="0"/>
              <w:marBottom w:val="0"/>
              <w:divBdr>
                <w:top w:val="none" w:sz="0" w:space="0" w:color="auto"/>
                <w:left w:val="none" w:sz="0" w:space="0" w:color="auto"/>
                <w:bottom w:val="none" w:sz="0" w:space="0" w:color="auto"/>
                <w:right w:val="none" w:sz="0" w:space="0" w:color="auto"/>
              </w:divBdr>
            </w:div>
          </w:divsChild>
        </w:div>
        <w:div w:id="1881748072">
          <w:marLeft w:val="0"/>
          <w:marRight w:val="0"/>
          <w:marTop w:val="0"/>
          <w:marBottom w:val="0"/>
          <w:divBdr>
            <w:top w:val="none" w:sz="0" w:space="0" w:color="auto"/>
            <w:left w:val="none" w:sz="0" w:space="0" w:color="auto"/>
            <w:bottom w:val="none" w:sz="0" w:space="0" w:color="auto"/>
            <w:right w:val="none" w:sz="0" w:space="0" w:color="auto"/>
          </w:divBdr>
          <w:divsChild>
            <w:div w:id="693851582">
              <w:marLeft w:val="0"/>
              <w:marRight w:val="0"/>
              <w:marTop w:val="0"/>
              <w:marBottom w:val="0"/>
              <w:divBdr>
                <w:top w:val="none" w:sz="0" w:space="0" w:color="auto"/>
                <w:left w:val="none" w:sz="0" w:space="0" w:color="auto"/>
                <w:bottom w:val="none" w:sz="0" w:space="0" w:color="auto"/>
                <w:right w:val="none" w:sz="0" w:space="0" w:color="auto"/>
              </w:divBdr>
            </w:div>
          </w:divsChild>
        </w:div>
        <w:div w:id="1888225842">
          <w:marLeft w:val="0"/>
          <w:marRight w:val="0"/>
          <w:marTop w:val="0"/>
          <w:marBottom w:val="0"/>
          <w:divBdr>
            <w:top w:val="none" w:sz="0" w:space="0" w:color="auto"/>
            <w:left w:val="none" w:sz="0" w:space="0" w:color="auto"/>
            <w:bottom w:val="none" w:sz="0" w:space="0" w:color="auto"/>
            <w:right w:val="none" w:sz="0" w:space="0" w:color="auto"/>
          </w:divBdr>
          <w:divsChild>
            <w:div w:id="650405061">
              <w:marLeft w:val="0"/>
              <w:marRight w:val="0"/>
              <w:marTop w:val="0"/>
              <w:marBottom w:val="0"/>
              <w:divBdr>
                <w:top w:val="none" w:sz="0" w:space="0" w:color="auto"/>
                <w:left w:val="none" w:sz="0" w:space="0" w:color="auto"/>
                <w:bottom w:val="none" w:sz="0" w:space="0" w:color="auto"/>
                <w:right w:val="none" w:sz="0" w:space="0" w:color="auto"/>
              </w:divBdr>
            </w:div>
          </w:divsChild>
        </w:div>
        <w:div w:id="1902599499">
          <w:marLeft w:val="0"/>
          <w:marRight w:val="0"/>
          <w:marTop w:val="0"/>
          <w:marBottom w:val="0"/>
          <w:divBdr>
            <w:top w:val="none" w:sz="0" w:space="0" w:color="auto"/>
            <w:left w:val="none" w:sz="0" w:space="0" w:color="auto"/>
            <w:bottom w:val="none" w:sz="0" w:space="0" w:color="auto"/>
            <w:right w:val="none" w:sz="0" w:space="0" w:color="auto"/>
          </w:divBdr>
          <w:divsChild>
            <w:div w:id="1340623183">
              <w:marLeft w:val="0"/>
              <w:marRight w:val="0"/>
              <w:marTop w:val="0"/>
              <w:marBottom w:val="0"/>
              <w:divBdr>
                <w:top w:val="none" w:sz="0" w:space="0" w:color="auto"/>
                <w:left w:val="none" w:sz="0" w:space="0" w:color="auto"/>
                <w:bottom w:val="none" w:sz="0" w:space="0" w:color="auto"/>
                <w:right w:val="none" w:sz="0" w:space="0" w:color="auto"/>
              </w:divBdr>
            </w:div>
          </w:divsChild>
        </w:div>
        <w:div w:id="1906604469">
          <w:marLeft w:val="0"/>
          <w:marRight w:val="0"/>
          <w:marTop w:val="0"/>
          <w:marBottom w:val="0"/>
          <w:divBdr>
            <w:top w:val="none" w:sz="0" w:space="0" w:color="auto"/>
            <w:left w:val="none" w:sz="0" w:space="0" w:color="auto"/>
            <w:bottom w:val="none" w:sz="0" w:space="0" w:color="auto"/>
            <w:right w:val="none" w:sz="0" w:space="0" w:color="auto"/>
          </w:divBdr>
          <w:divsChild>
            <w:div w:id="405567432">
              <w:marLeft w:val="0"/>
              <w:marRight w:val="0"/>
              <w:marTop w:val="0"/>
              <w:marBottom w:val="0"/>
              <w:divBdr>
                <w:top w:val="none" w:sz="0" w:space="0" w:color="auto"/>
                <w:left w:val="none" w:sz="0" w:space="0" w:color="auto"/>
                <w:bottom w:val="none" w:sz="0" w:space="0" w:color="auto"/>
                <w:right w:val="none" w:sz="0" w:space="0" w:color="auto"/>
              </w:divBdr>
            </w:div>
          </w:divsChild>
        </w:div>
        <w:div w:id="1930851548">
          <w:marLeft w:val="0"/>
          <w:marRight w:val="0"/>
          <w:marTop w:val="0"/>
          <w:marBottom w:val="0"/>
          <w:divBdr>
            <w:top w:val="none" w:sz="0" w:space="0" w:color="auto"/>
            <w:left w:val="none" w:sz="0" w:space="0" w:color="auto"/>
            <w:bottom w:val="none" w:sz="0" w:space="0" w:color="auto"/>
            <w:right w:val="none" w:sz="0" w:space="0" w:color="auto"/>
          </w:divBdr>
          <w:divsChild>
            <w:div w:id="864709469">
              <w:marLeft w:val="0"/>
              <w:marRight w:val="0"/>
              <w:marTop w:val="0"/>
              <w:marBottom w:val="0"/>
              <w:divBdr>
                <w:top w:val="none" w:sz="0" w:space="0" w:color="auto"/>
                <w:left w:val="none" w:sz="0" w:space="0" w:color="auto"/>
                <w:bottom w:val="none" w:sz="0" w:space="0" w:color="auto"/>
                <w:right w:val="none" w:sz="0" w:space="0" w:color="auto"/>
              </w:divBdr>
            </w:div>
          </w:divsChild>
        </w:div>
        <w:div w:id="1931425707">
          <w:marLeft w:val="0"/>
          <w:marRight w:val="0"/>
          <w:marTop w:val="0"/>
          <w:marBottom w:val="0"/>
          <w:divBdr>
            <w:top w:val="none" w:sz="0" w:space="0" w:color="auto"/>
            <w:left w:val="none" w:sz="0" w:space="0" w:color="auto"/>
            <w:bottom w:val="none" w:sz="0" w:space="0" w:color="auto"/>
            <w:right w:val="none" w:sz="0" w:space="0" w:color="auto"/>
          </w:divBdr>
          <w:divsChild>
            <w:div w:id="889539656">
              <w:marLeft w:val="0"/>
              <w:marRight w:val="0"/>
              <w:marTop w:val="0"/>
              <w:marBottom w:val="0"/>
              <w:divBdr>
                <w:top w:val="none" w:sz="0" w:space="0" w:color="auto"/>
                <w:left w:val="none" w:sz="0" w:space="0" w:color="auto"/>
                <w:bottom w:val="none" w:sz="0" w:space="0" w:color="auto"/>
                <w:right w:val="none" w:sz="0" w:space="0" w:color="auto"/>
              </w:divBdr>
            </w:div>
          </w:divsChild>
        </w:div>
        <w:div w:id="1948345185">
          <w:marLeft w:val="0"/>
          <w:marRight w:val="0"/>
          <w:marTop w:val="0"/>
          <w:marBottom w:val="0"/>
          <w:divBdr>
            <w:top w:val="none" w:sz="0" w:space="0" w:color="auto"/>
            <w:left w:val="none" w:sz="0" w:space="0" w:color="auto"/>
            <w:bottom w:val="none" w:sz="0" w:space="0" w:color="auto"/>
            <w:right w:val="none" w:sz="0" w:space="0" w:color="auto"/>
          </w:divBdr>
          <w:divsChild>
            <w:div w:id="742722964">
              <w:marLeft w:val="0"/>
              <w:marRight w:val="0"/>
              <w:marTop w:val="0"/>
              <w:marBottom w:val="0"/>
              <w:divBdr>
                <w:top w:val="none" w:sz="0" w:space="0" w:color="auto"/>
                <w:left w:val="none" w:sz="0" w:space="0" w:color="auto"/>
                <w:bottom w:val="none" w:sz="0" w:space="0" w:color="auto"/>
                <w:right w:val="none" w:sz="0" w:space="0" w:color="auto"/>
              </w:divBdr>
            </w:div>
          </w:divsChild>
        </w:div>
        <w:div w:id="1950893245">
          <w:marLeft w:val="0"/>
          <w:marRight w:val="0"/>
          <w:marTop w:val="0"/>
          <w:marBottom w:val="0"/>
          <w:divBdr>
            <w:top w:val="none" w:sz="0" w:space="0" w:color="auto"/>
            <w:left w:val="none" w:sz="0" w:space="0" w:color="auto"/>
            <w:bottom w:val="none" w:sz="0" w:space="0" w:color="auto"/>
            <w:right w:val="none" w:sz="0" w:space="0" w:color="auto"/>
          </w:divBdr>
          <w:divsChild>
            <w:div w:id="429275543">
              <w:marLeft w:val="0"/>
              <w:marRight w:val="0"/>
              <w:marTop w:val="0"/>
              <w:marBottom w:val="0"/>
              <w:divBdr>
                <w:top w:val="none" w:sz="0" w:space="0" w:color="auto"/>
                <w:left w:val="none" w:sz="0" w:space="0" w:color="auto"/>
                <w:bottom w:val="none" w:sz="0" w:space="0" w:color="auto"/>
                <w:right w:val="none" w:sz="0" w:space="0" w:color="auto"/>
              </w:divBdr>
            </w:div>
          </w:divsChild>
        </w:div>
        <w:div w:id="1959875513">
          <w:marLeft w:val="0"/>
          <w:marRight w:val="0"/>
          <w:marTop w:val="0"/>
          <w:marBottom w:val="0"/>
          <w:divBdr>
            <w:top w:val="none" w:sz="0" w:space="0" w:color="auto"/>
            <w:left w:val="none" w:sz="0" w:space="0" w:color="auto"/>
            <w:bottom w:val="none" w:sz="0" w:space="0" w:color="auto"/>
            <w:right w:val="none" w:sz="0" w:space="0" w:color="auto"/>
          </w:divBdr>
          <w:divsChild>
            <w:div w:id="1017389692">
              <w:marLeft w:val="0"/>
              <w:marRight w:val="0"/>
              <w:marTop w:val="0"/>
              <w:marBottom w:val="0"/>
              <w:divBdr>
                <w:top w:val="none" w:sz="0" w:space="0" w:color="auto"/>
                <w:left w:val="none" w:sz="0" w:space="0" w:color="auto"/>
                <w:bottom w:val="none" w:sz="0" w:space="0" w:color="auto"/>
                <w:right w:val="none" w:sz="0" w:space="0" w:color="auto"/>
              </w:divBdr>
            </w:div>
          </w:divsChild>
        </w:div>
        <w:div w:id="1961957015">
          <w:marLeft w:val="0"/>
          <w:marRight w:val="0"/>
          <w:marTop w:val="0"/>
          <w:marBottom w:val="0"/>
          <w:divBdr>
            <w:top w:val="none" w:sz="0" w:space="0" w:color="auto"/>
            <w:left w:val="none" w:sz="0" w:space="0" w:color="auto"/>
            <w:bottom w:val="none" w:sz="0" w:space="0" w:color="auto"/>
            <w:right w:val="none" w:sz="0" w:space="0" w:color="auto"/>
          </w:divBdr>
          <w:divsChild>
            <w:div w:id="694771391">
              <w:marLeft w:val="0"/>
              <w:marRight w:val="0"/>
              <w:marTop w:val="0"/>
              <w:marBottom w:val="0"/>
              <w:divBdr>
                <w:top w:val="none" w:sz="0" w:space="0" w:color="auto"/>
                <w:left w:val="none" w:sz="0" w:space="0" w:color="auto"/>
                <w:bottom w:val="none" w:sz="0" w:space="0" w:color="auto"/>
                <w:right w:val="none" w:sz="0" w:space="0" w:color="auto"/>
              </w:divBdr>
            </w:div>
          </w:divsChild>
        </w:div>
        <w:div w:id="1962414361">
          <w:marLeft w:val="0"/>
          <w:marRight w:val="0"/>
          <w:marTop w:val="0"/>
          <w:marBottom w:val="0"/>
          <w:divBdr>
            <w:top w:val="none" w:sz="0" w:space="0" w:color="auto"/>
            <w:left w:val="none" w:sz="0" w:space="0" w:color="auto"/>
            <w:bottom w:val="none" w:sz="0" w:space="0" w:color="auto"/>
            <w:right w:val="none" w:sz="0" w:space="0" w:color="auto"/>
          </w:divBdr>
          <w:divsChild>
            <w:div w:id="819689256">
              <w:marLeft w:val="0"/>
              <w:marRight w:val="0"/>
              <w:marTop w:val="0"/>
              <w:marBottom w:val="0"/>
              <w:divBdr>
                <w:top w:val="none" w:sz="0" w:space="0" w:color="auto"/>
                <w:left w:val="none" w:sz="0" w:space="0" w:color="auto"/>
                <w:bottom w:val="none" w:sz="0" w:space="0" w:color="auto"/>
                <w:right w:val="none" w:sz="0" w:space="0" w:color="auto"/>
              </w:divBdr>
            </w:div>
          </w:divsChild>
        </w:div>
        <w:div w:id="1990405134">
          <w:marLeft w:val="0"/>
          <w:marRight w:val="0"/>
          <w:marTop w:val="0"/>
          <w:marBottom w:val="0"/>
          <w:divBdr>
            <w:top w:val="none" w:sz="0" w:space="0" w:color="auto"/>
            <w:left w:val="none" w:sz="0" w:space="0" w:color="auto"/>
            <w:bottom w:val="none" w:sz="0" w:space="0" w:color="auto"/>
            <w:right w:val="none" w:sz="0" w:space="0" w:color="auto"/>
          </w:divBdr>
          <w:divsChild>
            <w:div w:id="736123907">
              <w:marLeft w:val="0"/>
              <w:marRight w:val="0"/>
              <w:marTop w:val="0"/>
              <w:marBottom w:val="0"/>
              <w:divBdr>
                <w:top w:val="none" w:sz="0" w:space="0" w:color="auto"/>
                <w:left w:val="none" w:sz="0" w:space="0" w:color="auto"/>
                <w:bottom w:val="none" w:sz="0" w:space="0" w:color="auto"/>
                <w:right w:val="none" w:sz="0" w:space="0" w:color="auto"/>
              </w:divBdr>
            </w:div>
          </w:divsChild>
        </w:div>
        <w:div w:id="2004041948">
          <w:marLeft w:val="0"/>
          <w:marRight w:val="0"/>
          <w:marTop w:val="0"/>
          <w:marBottom w:val="0"/>
          <w:divBdr>
            <w:top w:val="none" w:sz="0" w:space="0" w:color="auto"/>
            <w:left w:val="none" w:sz="0" w:space="0" w:color="auto"/>
            <w:bottom w:val="none" w:sz="0" w:space="0" w:color="auto"/>
            <w:right w:val="none" w:sz="0" w:space="0" w:color="auto"/>
          </w:divBdr>
          <w:divsChild>
            <w:div w:id="837043788">
              <w:marLeft w:val="0"/>
              <w:marRight w:val="0"/>
              <w:marTop w:val="0"/>
              <w:marBottom w:val="0"/>
              <w:divBdr>
                <w:top w:val="none" w:sz="0" w:space="0" w:color="auto"/>
                <w:left w:val="none" w:sz="0" w:space="0" w:color="auto"/>
                <w:bottom w:val="none" w:sz="0" w:space="0" w:color="auto"/>
                <w:right w:val="none" w:sz="0" w:space="0" w:color="auto"/>
              </w:divBdr>
            </w:div>
          </w:divsChild>
        </w:div>
        <w:div w:id="2007971585">
          <w:marLeft w:val="0"/>
          <w:marRight w:val="0"/>
          <w:marTop w:val="0"/>
          <w:marBottom w:val="0"/>
          <w:divBdr>
            <w:top w:val="none" w:sz="0" w:space="0" w:color="auto"/>
            <w:left w:val="none" w:sz="0" w:space="0" w:color="auto"/>
            <w:bottom w:val="none" w:sz="0" w:space="0" w:color="auto"/>
            <w:right w:val="none" w:sz="0" w:space="0" w:color="auto"/>
          </w:divBdr>
          <w:divsChild>
            <w:div w:id="1142190107">
              <w:marLeft w:val="0"/>
              <w:marRight w:val="0"/>
              <w:marTop w:val="0"/>
              <w:marBottom w:val="0"/>
              <w:divBdr>
                <w:top w:val="none" w:sz="0" w:space="0" w:color="auto"/>
                <w:left w:val="none" w:sz="0" w:space="0" w:color="auto"/>
                <w:bottom w:val="none" w:sz="0" w:space="0" w:color="auto"/>
                <w:right w:val="none" w:sz="0" w:space="0" w:color="auto"/>
              </w:divBdr>
            </w:div>
          </w:divsChild>
        </w:div>
        <w:div w:id="2018652000">
          <w:marLeft w:val="0"/>
          <w:marRight w:val="0"/>
          <w:marTop w:val="0"/>
          <w:marBottom w:val="0"/>
          <w:divBdr>
            <w:top w:val="none" w:sz="0" w:space="0" w:color="auto"/>
            <w:left w:val="none" w:sz="0" w:space="0" w:color="auto"/>
            <w:bottom w:val="none" w:sz="0" w:space="0" w:color="auto"/>
            <w:right w:val="none" w:sz="0" w:space="0" w:color="auto"/>
          </w:divBdr>
          <w:divsChild>
            <w:div w:id="513613399">
              <w:marLeft w:val="0"/>
              <w:marRight w:val="0"/>
              <w:marTop w:val="0"/>
              <w:marBottom w:val="0"/>
              <w:divBdr>
                <w:top w:val="none" w:sz="0" w:space="0" w:color="auto"/>
                <w:left w:val="none" w:sz="0" w:space="0" w:color="auto"/>
                <w:bottom w:val="none" w:sz="0" w:space="0" w:color="auto"/>
                <w:right w:val="none" w:sz="0" w:space="0" w:color="auto"/>
              </w:divBdr>
            </w:div>
          </w:divsChild>
        </w:div>
        <w:div w:id="2042051253">
          <w:marLeft w:val="0"/>
          <w:marRight w:val="0"/>
          <w:marTop w:val="0"/>
          <w:marBottom w:val="0"/>
          <w:divBdr>
            <w:top w:val="none" w:sz="0" w:space="0" w:color="auto"/>
            <w:left w:val="none" w:sz="0" w:space="0" w:color="auto"/>
            <w:bottom w:val="none" w:sz="0" w:space="0" w:color="auto"/>
            <w:right w:val="none" w:sz="0" w:space="0" w:color="auto"/>
          </w:divBdr>
          <w:divsChild>
            <w:div w:id="523398215">
              <w:marLeft w:val="0"/>
              <w:marRight w:val="0"/>
              <w:marTop w:val="0"/>
              <w:marBottom w:val="0"/>
              <w:divBdr>
                <w:top w:val="none" w:sz="0" w:space="0" w:color="auto"/>
                <w:left w:val="none" w:sz="0" w:space="0" w:color="auto"/>
                <w:bottom w:val="none" w:sz="0" w:space="0" w:color="auto"/>
                <w:right w:val="none" w:sz="0" w:space="0" w:color="auto"/>
              </w:divBdr>
            </w:div>
          </w:divsChild>
        </w:div>
        <w:div w:id="2043626456">
          <w:marLeft w:val="0"/>
          <w:marRight w:val="0"/>
          <w:marTop w:val="0"/>
          <w:marBottom w:val="0"/>
          <w:divBdr>
            <w:top w:val="none" w:sz="0" w:space="0" w:color="auto"/>
            <w:left w:val="none" w:sz="0" w:space="0" w:color="auto"/>
            <w:bottom w:val="none" w:sz="0" w:space="0" w:color="auto"/>
            <w:right w:val="none" w:sz="0" w:space="0" w:color="auto"/>
          </w:divBdr>
          <w:divsChild>
            <w:div w:id="243688231">
              <w:marLeft w:val="0"/>
              <w:marRight w:val="0"/>
              <w:marTop w:val="0"/>
              <w:marBottom w:val="0"/>
              <w:divBdr>
                <w:top w:val="none" w:sz="0" w:space="0" w:color="auto"/>
                <w:left w:val="none" w:sz="0" w:space="0" w:color="auto"/>
                <w:bottom w:val="none" w:sz="0" w:space="0" w:color="auto"/>
                <w:right w:val="none" w:sz="0" w:space="0" w:color="auto"/>
              </w:divBdr>
            </w:div>
          </w:divsChild>
        </w:div>
        <w:div w:id="2057271054">
          <w:marLeft w:val="0"/>
          <w:marRight w:val="0"/>
          <w:marTop w:val="0"/>
          <w:marBottom w:val="0"/>
          <w:divBdr>
            <w:top w:val="none" w:sz="0" w:space="0" w:color="auto"/>
            <w:left w:val="none" w:sz="0" w:space="0" w:color="auto"/>
            <w:bottom w:val="none" w:sz="0" w:space="0" w:color="auto"/>
            <w:right w:val="none" w:sz="0" w:space="0" w:color="auto"/>
          </w:divBdr>
          <w:divsChild>
            <w:div w:id="825900753">
              <w:marLeft w:val="0"/>
              <w:marRight w:val="0"/>
              <w:marTop w:val="0"/>
              <w:marBottom w:val="0"/>
              <w:divBdr>
                <w:top w:val="none" w:sz="0" w:space="0" w:color="auto"/>
                <w:left w:val="none" w:sz="0" w:space="0" w:color="auto"/>
                <w:bottom w:val="none" w:sz="0" w:space="0" w:color="auto"/>
                <w:right w:val="none" w:sz="0" w:space="0" w:color="auto"/>
              </w:divBdr>
            </w:div>
          </w:divsChild>
        </w:div>
        <w:div w:id="2060739573">
          <w:marLeft w:val="0"/>
          <w:marRight w:val="0"/>
          <w:marTop w:val="0"/>
          <w:marBottom w:val="0"/>
          <w:divBdr>
            <w:top w:val="none" w:sz="0" w:space="0" w:color="auto"/>
            <w:left w:val="none" w:sz="0" w:space="0" w:color="auto"/>
            <w:bottom w:val="none" w:sz="0" w:space="0" w:color="auto"/>
            <w:right w:val="none" w:sz="0" w:space="0" w:color="auto"/>
          </w:divBdr>
          <w:divsChild>
            <w:div w:id="81949774">
              <w:marLeft w:val="0"/>
              <w:marRight w:val="0"/>
              <w:marTop w:val="0"/>
              <w:marBottom w:val="0"/>
              <w:divBdr>
                <w:top w:val="none" w:sz="0" w:space="0" w:color="auto"/>
                <w:left w:val="none" w:sz="0" w:space="0" w:color="auto"/>
                <w:bottom w:val="none" w:sz="0" w:space="0" w:color="auto"/>
                <w:right w:val="none" w:sz="0" w:space="0" w:color="auto"/>
              </w:divBdr>
            </w:div>
          </w:divsChild>
        </w:div>
        <w:div w:id="2063481984">
          <w:marLeft w:val="0"/>
          <w:marRight w:val="0"/>
          <w:marTop w:val="0"/>
          <w:marBottom w:val="0"/>
          <w:divBdr>
            <w:top w:val="none" w:sz="0" w:space="0" w:color="auto"/>
            <w:left w:val="none" w:sz="0" w:space="0" w:color="auto"/>
            <w:bottom w:val="none" w:sz="0" w:space="0" w:color="auto"/>
            <w:right w:val="none" w:sz="0" w:space="0" w:color="auto"/>
          </w:divBdr>
          <w:divsChild>
            <w:div w:id="1335185483">
              <w:marLeft w:val="0"/>
              <w:marRight w:val="0"/>
              <w:marTop w:val="0"/>
              <w:marBottom w:val="0"/>
              <w:divBdr>
                <w:top w:val="none" w:sz="0" w:space="0" w:color="auto"/>
                <w:left w:val="none" w:sz="0" w:space="0" w:color="auto"/>
                <w:bottom w:val="none" w:sz="0" w:space="0" w:color="auto"/>
                <w:right w:val="none" w:sz="0" w:space="0" w:color="auto"/>
              </w:divBdr>
            </w:div>
          </w:divsChild>
        </w:div>
        <w:div w:id="2066950250">
          <w:marLeft w:val="0"/>
          <w:marRight w:val="0"/>
          <w:marTop w:val="0"/>
          <w:marBottom w:val="0"/>
          <w:divBdr>
            <w:top w:val="none" w:sz="0" w:space="0" w:color="auto"/>
            <w:left w:val="none" w:sz="0" w:space="0" w:color="auto"/>
            <w:bottom w:val="none" w:sz="0" w:space="0" w:color="auto"/>
            <w:right w:val="none" w:sz="0" w:space="0" w:color="auto"/>
          </w:divBdr>
          <w:divsChild>
            <w:div w:id="1635060840">
              <w:marLeft w:val="0"/>
              <w:marRight w:val="0"/>
              <w:marTop w:val="0"/>
              <w:marBottom w:val="0"/>
              <w:divBdr>
                <w:top w:val="none" w:sz="0" w:space="0" w:color="auto"/>
                <w:left w:val="none" w:sz="0" w:space="0" w:color="auto"/>
                <w:bottom w:val="none" w:sz="0" w:space="0" w:color="auto"/>
                <w:right w:val="none" w:sz="0" w:space="0" w:color="auto"/>
              </w:divBdr>
            </w:div>
          </w:divsChild>
        </w:div>
        <w:div w:id="2069330542">
          <w:marLeft w:val="0"/>
          <w:marRight w:val="0"/>
          <w:marTop w:val="0"/>
          <w:marBottom w:val="0"/>
          <w:divBdr>
            <w:top w:val="none" w:sz="0" w:space="0" w:color="auto"/>
            <w:left w:val="none" w:sz="0" w:space="0" w:color="auto"/>
            <w:bottom w:val="none" w:sz="0" w:space="0" w:color="auto"/>
            <w:right w:val="none" w:sz="0" w:space="0" w:color="auto"/>
          </w:divBdr>
          <w:divsChild>
            <w:div w:id="1475870970">
              <w:marLeft w:val="0"/>
              <w:marRight w:val="0"/>
              <w:marTop w:val="0"/>
              <w:marBottom w:val="0"/>
              <w:divBdr>
                <w:top w:val="none" w:sz="0" w:space="0" w:color="auto"/>
                <w:left w:val="none" w:sz="0" w:space="0" w:color="auto"/>
                <w:bottom w:val="none" w:sz="0" w:space="0" w:color="auto"/>
                <w:right w:val="none" w:sz="0" w:space="0" w:color="auto"/>
              </w:divBdr>
            </w:div>
          </w:divsChild>
        </w:div>
        <w:div w:id="2093353606">
          <w:marLeft w:val="0"/>
          <w:marRight w:val="0"/>
          <w:marTop w:val="0"/>
          <w:marBottom w:val="0"/>
          <w:divBdr>
            <w:top w:val="none" w:sz="0" w:space="0" w:color="auto"/>
            <w:left w:val="none" w:sz="0" w:space="0" w:color="auto"/>
            <w:bottom w:val="none" w:sz="0" w:space="0" w:color="auto"/>
            <w:right w:val="none" w:sz="0" w:space="0" w:color="auto"/>
          </w:divBdr>
          <w:divsChild>
            <w:div w:id="1259480597">
              <w:marLeft w:val="0"/>
              <w:marRight w:val="0"/>
              <w:marTop w:val="0"/>
              <w:marBottom w:val="0"/>
              <w:divBdr>
                <w:top w:val="none" w:sz="0" w:space="0" w:color="auto"/>
                <w:left w:val="none" w:sz="0" w:space="0" w:color="auto"/>
                <w:bottom w:val="none" w:sz="0" w:space="0" w:color="auto"/>
                <w:right w:val="none" w:sz="0" w:space="0" w:color="auto"/>
              </w:divBdr>
            </w:div>
          </w:divsChild>
        </w:div>
        <w:div w:id="2106152360">
          <w:marLeft w:val="0"/>
          <w:marRight w:val="0"/>
          <w:marTop w:val="0"/>
          <w:marBottom w:val="0"/>
          <w:divBdr>
            <w:top w:val="none" w:sz="0" w:space="0" w:color="auto"/>
            <w:left w:val="none" w:sz="0" w:space="0" w:color="auto"/>
            <w:bottom w:val="none" w:sz="0" w:space="0" w:color="auto"/>
            <w:right w:val="none" w:sz="0" w:space="0" w:color="auto"/>
          </w:divBdr>
          <w:divsChild>
            <w:div w:id="309404714">
              <w:marLeft w:val="0"/>
              <w:marRight w:val="0"/>
              <w:marTop w:val="0"/>
              <w:marBottom w:val="0"/>
              <w:divBdr>
                <w:top w:val="none" w:sz="0" w:space="0" w:color="auto"/>
                <w:left w:val="none" w:sz="0" w:space="0" w:color="auto"/>
                <w:bottom w:val="none" w:sz="0" w:space="0" w:color="auto"/>
                <w:right w:val="none" w:sz="0" w:space="0" w:color="auto"/>
              </w:divBdr>
            </w:div>
          </w:divsChild>
        </w:div>
        <w:div w:id="2108646942">
          <w:marLeft w:val="0"/>
          <w:marRight w:val="0"/>
          <w:marTop w:val="0"/>
          <w:marBottom w:val="0"/>
          <w:divBdr>
            <w:top w:val="none" w:sz="0" w:space="0" w:color="auto"/>
            <w:left w:val="none" w:sz="0" w:space="0" w:color="auto"/>
            <w:bottom w:val="none" w:sz="0" w:space="0" w:color="auto"/>
            <w:right w:val="none" w:sz="0" w:space="0" w:color="auto"/>
          </w:divBdr>
          <w:divsChild>
            <w:div w:id="1193566802">
              <w:marLeft w:val="0"/>
              <w:marRight w:val="0"/>
              <w:marTop w:val="0"/>
              <w:marBottom w:val="0"/>
              <w:divBdr>
                <w:top w:val="none" w:sz="0" w:space="0" w:color="auto"/>
                <w:left w:val="none" w:sz="0" w:space="0" w:color="auto"/>
                <w:bottom w:val="none" w:sz="0" w:space="0" w:color="auto"/>
                <w:right w:val="none" w:sz="0" w:space="0" w:color="auto"/>
              </w:divBdr>
            </w:div>
          </w:divsChild>
        </w:div>
        <w:div w:id="2131893540">
          <w:marLeft w:val="0"/>
          <w:marRight w:val="0"/>
          <w:marTop w:val="0"/>
          <w:marBottom w:val="0"/>
          <w:divBdr>
            <w:top w:val="none" w:sz="0" w:space="0" w:color="auto"/>
            <w:left w:val="none" w:sz="0" w:space="0" w:color="auto"/>
            <w:bottom w:val="none" w:sz="0" w:space="0" w:color="auto"/>
            <w:right w:val="none" w:sz="0" w:space="0" w:color="auto"/>
          </w:divBdr>
          <w:divsChild>
            <w:div w:id="2071885125">
              <w:marLeft w:val="0"/>
              <w:marRight w:val="0"/>
              <w:marTop w:val="0"/>
              <w:marBottom w:val="0"/>
              <w:divBdr>
                <w:top w:val="none" w:sz="0" w:space="0" w:color="auto"/>
                <w:left w:val="none" w:sz="0" w:space="0" w:color="auto"/>
                <w:bottom w:val="none" w:sz="0" w:space="0" w:color="auto"/>
                <w:right w:val="none" w:sz="0" w:space="0" w:color="auto"/>
              </w:divBdr>
            </w:div>
          </w:divsChild>
        </w:div>
        <w:div w:id="2137865988">
          <w:marLeft w:val="0"/>
          <w:marRight w:val="0"/>
          <w:marTop w:val="0"/>
          <w:marBottom w:val="0"/>
          <w:divBdr>
            <w:top w:val="none" w:sz="0" w:space="0" w:color="auto"/>
            <w:left w:val="none" w:sz="0" w:space="0" w:color="auto"/>
            <w:bottom w:val="none" w:sz="0" w:space="0" w:color="auto"/>
            <w:right w:val="none" w:sz="0" w:space="0" w:color="auto"/>
          </w:divBdr>
          <w:divsChild>
            <w:div w:id="1757432657">
              <w:marLeft w:val="0"/>
              <w:marRight w:val="0"/>
              <w:marTop w:val="0"/>
              <w:marBottom w:val="0"/>
              <w:divBdr>
                <w:top w:val="none" w:sz="0" w:space="0" w:color="auto"/>
                <w:left w:val="none" w:sz="0" w:space="0" w:color="auto"/>
                <w:bottom w:val="none" w:sz="0" w:space="0" w:color="auto"/>
                <w:right w:val="none" w:sz="0" w:space="0" w:color="auto"/>
              </w:divBdr>
            </w:div>
          </w:divsChild>
        </w:div>
        <w:div w:id="2138642055">
          <w:marLeft w:val="0"/>
          <w:marRight w:val="0"/>
          <w:marTop w:val="0"/>
          <w:marBottom w:val="0"/>
          <w:divBdr>
            <w:top w:val="none" w:sz="0" w:space="0" w:color="auto"/>
            <w:left w:val="none" w:sz="0" w:space="0" w:color="auto"/>
            <w:bottom w:val="none" w:sz="0" w:space="0" w:color="auto"/>
            <w:right w:val="none" w:sz="0" w:space="0" w:color="auto"/>
          </w:divBdr>
          <w:divsChild>
            <w:div w:id="1212964857">
              <w:marLeft w:val="0"/>
              <w:marRight w:val="0"/>
              <w:marTop w:val="0"/>
              <w:marBottom w:val="0"/>
              <w:divBdr>
                <w:top w:val="none" w:sz="0" w:space="0" w:color="auto"/>
                <w:left w:val="none" w:sz="0" w:space="0" w:color="auto"/>
                <w:bottom w:val="none" w:sz="0" w:space="0" w:color="auto"/>
                <w:right w:val="none" w:sz="0" w:space="0" w:color="auto"/>
              </w:divBdr>
            </w:div>
          </w:divsChild>
        </w:div>
        <w:div w:id="2139564543">
          <w:marLeft w:val="0"/>
          <w:marRight w:val="0"/>
          <w:marTop w:val="0"/>
          <w:marBottom w:val="0"/>
          <w:divBdr>
            <w:top w:val="none" w:sz="0" w:space="0" w:color="auto"/>
            <w:left w:val="none" w:sz="0" w:space="0" w:color="auto"/>
            <w:bottom w:val="none" w:sz="0" w:space="0" w:color="auto"/>
            <w:right w:val="none" w:sz="0" w:space="0" w:color="auto"/>
          </w:divBdr>
          <w:divsChild>
            <w:div w:id="1600605316">
              <w:marLeft w:val="0"/>
              <w:marRight w:val="0"/>
              <w:marTop w:val="0"/>
              <w:marBottom w:val="0"/>
              <w:divBdr>
                <w:top w:val="none" w:sz="0" w:space="0" w:color="auto"/>
                <w:left w:val="none" w:sz="0" w:space="0" w:color="auto"/>
                <w:bottom w:val="none" w:sz="0" w:space="0" w:color="auto"/>
                <w:right w:val="none" w:sz="0" w:space="0" w:color="auto"/>
              </w:divBdr>
            </w:div>
          </w:divsChild>
        </w:div>
        <w:div w:id="2142573647">
          <w:marLeft w:val="0"/>
          <w:marRight w:val="0"/>
          <w:marTop w:val="0"/>
          <w:marBottom w:val="0"/>
          <w:divBdr>
            <w:top w:val="none" w:sz="0" w:space="0" w:color="auto"/>
            <w:left w:val="none" w:sz="0" w:space="0" w:color="auto"/>
            <w:bottom w:val="none" w:sz="0" w:space="0" w:color="auto"/>
            <w:right w:val="none" w:sz="0" w:space="0" w:color="auto"/>
          </w:divBdr>
          <w:divsChild>
            <w:div w:id="21120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8005">
      <w:bodyDiv w:val="1"/>
      <w:marLeft w:val="0"/>
      <w:marRight w:val="0"/>
      <w:marTop w:val="0"/>
      <w:marBottom w:val="0"/>
      <w:divBdr>
        <w:top w:val="none" w:sz="0" w:space="0" w:color="auto"/>
        <w:left w:val="none" w:sz="0" w:space="0" w:color="auto"/>
        <w:bottom w:val="none" w:sz="0" w:space="0" w:color="auto"/>
        <w:right w:val="none" w:sz="0" w:space="0" w:color="auto"/>
      </w:divBdr>
    </w:div>
    <w:div w:id="1435396652">
      <w:bodyDiv w:val="1"/>
      <w:marLeft w:val="0"/>
      <w:marRight w:val="0"/>
      <w:marTop w:val="0"/>
      <w:marBottom w:val="0"/>
      <w:divBdr>
        <w:top w:val="none" w:sz="0" w:space="0" w:color="auto"/>
        <w:left w:val="none" w:sz="0" w:space="0" w:color="auto"/>
        <w:bottom w:val="none" w:sz="0" w:space="0" w:color="auto"/>
        <w:right w:val="none" w:sz="0" w:space="0" w:color="auto"/>
      </w:divBdr>
    </w:div>
    <w:div w:id="1447965216">
      <w:bodyDiv w:val="1"/>
      <w:marLeft w:val="0"/>
      <w:marRight w:val="0"/>
      <w:marTop w:val="0"/>
      <w:marBottom w:val="0"/>
      <w:divBdr>
        <w:top w:val="none" w:sz="0" w:space="0" w:color="auto"/>
        <w:left w:val="none" w:sz="0" w:space="0" w:color="auto"/>
        <w:bottom w:val="none" w:sz="0" w:space="0" w:color="auto"/>
        <w:right w:val="none" w:sz="0" w:space="0" w:color="auto"/>
      </w:divBdr>
    </w:div>
    <w:div w:id="1466776782">
      <w:bodyDiv w:val="1"/>
      <w:marLeft w:val="0"/>
      <w:marRight w:val="0"/>
      <w:marTop w:val="0"/>
      <w:marBottom w:val="0"/>
      <w:divBdr>
        <w:top w:val="none" w:sz="0" w:space="0" w:color="auto"/>
        <w:left w:val="none" w:sz="0" w:space="0" w:color="auto"/>
        <w:bottom w:val="none" w:sz="0" w:space="0" w:color="auto"/>
        <w:right w:val="none" w:sz="0" w:space="0" w:color="auto"/>
      </w:divBdr>
    </w:div>
    <w:div w:id="1507284932">
      <w:bodyDiv w:val="1"/>
      <w:marLeft w:val="0"/>
      <w:marRight w:val="0"/>
      <w:marTop w:val="0"/>
      <w:marBottom w:val="0"/>
      <w:divBdr>
        <w:top w:val="none" w:sz="0" w:space="0" w:color="auto"/>
        <w:left w:val="none" w:sz="0" w:space="0" w:color="auto"/>
        <w:bottom w:val="none" w:sz="0" w:space="0" w:color="auto"/>
        <w:right w:val="none" w:sz="0" w:space="0" w:color="auto"/>
      </w:divBdr>
    </w:div>
    <w:div w:id="1520006907">
      <w:bodyDiv w:val="1"/>
      <w:marLeft w:val="0"/>
      <w:marRight w:val="0"/>
      <w:marTop w:val="0"/>
      <w:marBottom w:val="0"/>
      <w:divBdr>
        <w:top w:val="none" w:sz="0" w:space="0" w:color="auto"/>
        <w:left w:val="none" w:sz="0" w:space="0" w:color="auto"/>
        <w:bottom w:val="none" w:sz="0" w:space="0" w:color="auto"/>
        <w:right w:val="none" w:sz="0" w:space="0" w:color="auto"/>
      </w:divBdr>
      <w:divsChild>
        <w:div w:id="16349860">
          <w:marLeft w:val="0"/>
          <w:marRight w:val="0"/>
          <w:marTop w:val="0"/>
          <w:marBottom w:val="0"/>
          <w:divBdr>
            <w:top w:val="none" w:sz="0" w:space="0" w:color="auto"/>
            <w:left w:val="none" w:sz="0" w:space="0" w:color="auto"/>
            <w:bottom w:val="none" w:sz="0" w:space="0" w:color="auto"/>
            <w:right w:val="none" w:sz="0" w:space="0" w:color="auto"/>
          </w:divBdr>
        </w:div>
        <w:div w:id="98257175">
          <w:marLeft w:val="0"/>
          <w:marRight w:val="0"/>
          <w:marTop w:val="0"/>
          <w:marBottom w:val="0"/>
          <w:divBdr>
            <w:top w:val="none" w:sz="0" w:space="0" w:color="auto"/>
            <w:left w:val="none" w:sz="0" w:space="0" w:color="auto"/>
            <w:bottom w:val="none" w:sz="0" w:space="0" w:color="auto"/>
            <w:right w:val="none" w:sz="0" w:space="0" w:color="auto"/>
          </w:divBdr>
        </w:div>
        <w:div w:id="159852759">
          <w:marLeft w:val="0"/>
          <w:marRight w:val="0"/>
          <w:marTop w:val="0"/>
          <w:marBottom w:val="0"/>
          <w:divBdr>
            <w:top w:val="none" w:sz="0" w:space="0" w:color="auto"/>
            <w:left w:val="none" w:sz="0" w:space="0" w:color="auto"/>
            <w:bottom w:val="none" w:sz="0" w:space="0" w:color="auto"/>
            <w:right w:val="none" w:sz="0" w:space="0" w:color="auto"/>
          </w:divBdr>
        </w:div>
        <w:div w:id="168175323">
          <w:marLeft w:val="0"/>
          <w:marRight w:val="0"/>
          <w:marTop w:val="0"/>
          <w:marBottom w:val="0"/>
          <w:divBdr>
            <w:top w:val="none" w:sz="0" w:space="0" w:color="auto"/>
            <w:left w:val="none" w:sz="0" w:space="0" w:color="auto"/>
            <w:bottom w:val="none" w:sz="0" w:space="0" w:color="auto"/>
            <w:right w:val="none" w:sz="0" w:space="0" w:color="auto"/>
          </w:divBdr>
        </w:div>
        <w:div w:id="210927014">
          <w:marLeft w:val="0"/>
          <w:marRight w:val="0"/>
          <w:marTop w:val="0"/>
          <w:marBottom w:val="0"/>
          <w:divBdr>
            <w:top w:val="none" w:sz="0" w:space="0" w:color="auto"/>
            <w:left w:val="none" w:sz="0" w:space="0" w:color="auto"/>
            <w:bottom w:val="none" w:sz="0" w:space="0" w:color="auto"/>
            <w:right w:val="none" w:sz="0" w:space="0" w:color="auto"/>
          </w:divBdr>
        </w:div>
        <w:div w:id="228925747">
          <w:marLeft w:val="0"/>
          <w:marRight w:val="0"/>
          <w:marTop w:val="0"/>
          <w:marBottom w:val="0"/>
          <w:divBdr>
            <w:top w:val="none" w:sz="0" w:space="0" w:color="auto"/>
            <w:left w:val="none" w:sz="0" w:space="0" w:color="auto"/>
            <w:bottom w:val="none" w:sz="0" w:space="0" w:color="auto"/>
            <w:right w:val="none" w:sz="0" w:space="0" w:color="auto"/>
          </w:divBdr>
        </w:div>
        <w:div w:id="245193574">
          <w:marLeft w:val="0"/>
          <w:marRight w:val="0"/>
          <w:marTop w:val="0"/>
          <w:marBottom w:val="0"/>
          <w:divBdr>
            <w:top w:val="none" w:sz="0" w:space="0" w:color="auto"/>
            <w:left w:val="none" w:sz="0" w:space="0" w:color="auto"/>
            <w:bottom w:val="none" w:sz="0" w:space="0" w:color="auto"/>
            <w:right w:val="none" w:sz="0" w:space="0" w:color="auto"/>
          </w:divBdr>
        </w:div>
        <w:div w:id="290866816">
          <w:marLeft w:val="0"/>
          <w:marRight w:val="0"/>
          <w:marTop w:val="0"/>
          <w:marBottom w:val="0"/>
          <w:divBdr>
            <w:top w:val="none" w:sz="0" w:space="0" w:color="auto"/>
            <w:left w:val="none" w:sz="0" w:space="0" w:color="auto"/>
            <w:bottom w:val="none" w:sz="0" w:space="0" w:color="auto"/>
            <w:right w:val="none" w:sz="0" w:space="0" w:color="auto"/>
          </w:divBdr>
          <w:divsChild>
            <w:div w:id="1603151642">
              <w:marLeft w:val="-75"/>
              <w:marRight w:val="0"/>
              <w:marTop w:val="30"/>
              <w:marBottom w:val="30"/>
              <w:divBdr>
                <w:top w:val="none" w:sz="0" w:space="0" w:color="auto"/>
                <w:left w:val="none" w:sz="0" w:space="0" w:color="auto"/>
                <w:bottom w:val="none" w:sz="0" w:space="0" w:color="auto"/>
                <w:right w:val="none" w:sz="0" w:space="0" w:color="auto"/>
              </w:divBdr>
              <w:divsChild>
                <w:div w:id="71778123">
                  <w:marLeft w:val="0"/>
                  <w:marRight w:val="0"/>
                  <w:marTop w:val="0"/>
                  <w:marBottom w:val="0"/>
                  <w:divBdr>
                    <w:top w:val="none" w:sz="0" w:space="0" w:color="auto"/>
                    <w:left w:val="none" w:sz="0" w:space="0" w:color="auto"/>
                    <w:bottom w:val="none" w:sz="0" w:space="0" w:color="auto"/>
                    <w:right w:val="none" w:sz="0" w:space="0" w:color="auto"/>
                  </w:divBdr>
                  <w:divsChild>
                    <w:div w:id="744491045">
                      <w:marLeft w:val="0"/>
                      <w:marRight w:val="0"/>
                      <w:marTop w:val="0"/>
                      <w:marBottom w:val="0"/>
                      <w:divBdr>
                        <w:top w:val="none" w:sz="0" w:space="0" w:color="auto"/>
                        <w:left w:val="none" w:sz="0" w:space="0" w:color="auto"/>
                        <w:bottom w:val="none" w:sz="0" w:space="0" w:color="auto"/>
                        <w:right w:val="none" w:sz="0" w:space="0" w:color="auto"/>
                      </w:divBdr>
                    </w:div>
                  </w:divsChild>
                </w:div>
                <w:div w:id="456796100">
                  <w:marLeft w:val="0"/>
                  <w:marRight w:val="0"/>
                  <w:marTop w:val="0"/>
                  <w:marBottom w:val="0"/>
                  <w:divBdr>
                    <w:top w:val="none" w:sz="0" w:space="0" w:color="auto"/>
                    <w:left w:val="none" w:sz="0" w:space="0" w:color="auto"/>
                    <w:bottom w:val="none" w:sz="0" w:space="0" w:color="auto"/>
                    <w:right w:val="none" w:sz="0" w:space="0" w:color="auto"/>
                  </w:divBdr>
                  <w:divsChild>
                    <w:div w:id="259140578">
                      <w:marLeft w:val="0"/>
                      <w:marRight w:val="0"/>
                      <w:marTop w:val="0"/>
                      <w:marBottom w:val="0"/>
                      <w:divBdr>
                        <w:top w:val="none" w:sz="0" w:space="0" w:color="auto"/>
                        <w:left w:val="none" w:sz="0" w:space="0" w:color="auto"/>
                        <w:bottom w:val="none" w:sz="0" w:space="0" w:color="auto"/>
                        <w:right w:val="none" w:sz="0" w:space="0" w:color="auto"/>
                      </w:divBdr>
                    </w:div>
                  </w:divsChild>
                </w:div>
                <w:div w:id="458644463">
                  <w:marLeft w:val="0"/>
                  <w:marRight w:val="0"/>
                  <w:marTop w:val="0"/>
                  <w:marBottom w:val="0"/>
                  <w:divBdr>
                    <w:top w:val="none" w:sz="0" w:space="0" w:color="auto"/>
                    <w:left w:val="none" w:sz="0" w:space="0" w:color="auto"/>
                    <w:bottom w:val="none" w:sz="0" w:space="0" w:color="auto"/>
                    <w:right w:val="none" w:sz="0" w:space="0" w:color="auto"/>
                  </w:divBdr>
                  <w:divsChild>
                    <w:div w:id="15276872">
                      <w:marLeft w:val="0"/>
                      <w:marRight w:val="0"/>
                      <w:marTop w:val="0"/>
                      <w:marBottom w:val="0"/>
                      <w:divBdr>
                        <w:top w:val="none" w:sz="0" w:space="0" w:color="auto"/>
                        <w:left w:val="none" w:sz="0" w:space="0" w:color="auto"/>
                        <w:bottom w:val="none" w:sz="0" w:space="0" w:color="auto"/>
                        <w:right w:val="none" w:sz="0" w:space="0" w:color="auto"/>
                      </w:divBdr>
                    </w:div>
                  </w:divsChild>
                </w:div>
                <w:div w:id="1015154699">
                  <w:marLeft w:val="0"/>
                  <w:marRight w:val="0"/>
                  <w:marTop w:val="0"/>
                  <w:marBottom w:val="0"/>
                  <w:divBdr>
                    <w:top w:val="none" w:sz="0" w:space="0" w:color="auto"/>
                    <w:left w:val="none" w:sz="0" w:space="0" w:color="auto"/>
                    <w:bottom w:val="none" w:sz="0" w:space="0" w:color="auto"/>
                    <w:right w:val="none" w:sz="0" w:space="0" w:color="auto"/>
                  </w:divBdr>
                  <w:divsChild>
                    <w:div w:id="628633798">
                      <w:marLeft w:val="0"/>
                      <w:marRight w:val="0"/>
                      <w:marTop w:val="0"/>
                      <w:marBottom w:val="0"/>
                      <w:divBdr>
                        <w:top w:val="none" w:sz="0" w:space="0" w:color="auto"/>
                        <w:left w:val="none" w:sz="0" w:space="0" w:color="auto"/>
                        <w:bottom w:val="none" w:sz="0" w:space="0" w:color="auto"/>
                        <w:right w:val="none" w:sz="0" w:space="0" w:color="auto"/>
                      </w:divBdr>
                    </w:div>
                    <w:div w:id="1709838558">
                      <w:marLeft w:val="0"/>
                      <w:marRight w:val="0"/>
                      <w:marTop w:val="0"/>
                      <w:marBottom w:val="0"/>
                      <w:divBdr>
                        <w:top w:val="none" w:sz="0" w:space="0" w:color="auto"/>
                        <w:left w:val="none" w:sz="0" w:space="0" w:color="auto"/>
                        <w:bottom w:val="none" w:sz="0" w:space="0" w:color="auto"/>
                        <w:right w:val="none" w:sz="0" w:space="0" w:color="auto"/>
                      </w:divBdr>
                    </w:div>
                  </w:divsChild>
                </w:div>
                <w:div w:id="1468400660">
                  <w:marLeft w:val="0"/>
                  <w:marRight w:val="0"/>
                  <w:marTop w:val="0"/>
                  <w:marBottom w:val="0"/>
                  <w:divBdr>
                    <w:top w:val="none" w:sz="0" w:space="0" w:color="auto"/>
                    <w:left w:val="none" w:sz="0" w:space="0" w:color="auto"/>
                    <w:bottom w:val="none" w:sz="0" w:space="0" w:color="auto"/>
                    <w:right w:val="none" w:sz="0" w:space="0" w:color="auto"/>
                  </w:divBdr>
                  <w:divsChild>
                    <w:div w:id="692658811">
                      <w:marLeft w:val="0"/>
                      <w:marRight w:val="0"/>
                      <w:marTop w:val="0"/>
                      <w:marBottom w:val="0"/>
                      <w:divBdr>
                        <w:top w:val="none" w:sz="0" w:space="0" w:color="auto"/>
                        <w:left w:val="none" w:sz="0" w:space="0" w:color="auto"/>
                        <w:bottom w:val="none" w:sz="0" w:space="0" w:color="auto"/>
                        <w:right w:val="none" w:sz="0" w:space="0" w:color="auto"/>
                      </w:divBdr>
                    </w:div>
                  </w:divsChild>
                </w:div>
                <w:div w:id="1496652333">
                  <w:marLeft w:val="0"/>
                  <w:marRight w:val="0"/>
                  <w:marTop w:val="0"/>
                  <w:marBottom w:val="0"/>
                  <w:divBdr>
                    <w:top w:val="none" w:sz="0" w:space="0" w:color="auto"/>
                    <w:left w:val="none" w:sz="0" w:space="0" w:color="auto"/>
                    <w:bottom w:val="none" w:sz="0" w:space="0" w:color="auto"/>
                    <w:right w:val="none" w:sz="0" w:space="0" w:color="auto"/>
                  </w:divBdr>
                  <w:divsChild>
                    <w:div w:id="1697389473">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sChild>
                </w:div>
                <w:div w:id="1878077953">
                  <w:marLeft w:val="0"/>
                  <w:marRight w:val="0"/>
                  <w:marTop w:val="0"/>
                  <w:marBottom w:val="0"/>
                  <w:divBdr>
                    <w:top w:val="none" w:sz="0" w:space="0" w:color="auto"/>
                    <w:left w:val="none" w:sz="0" w:space="0" w:color="auto"/>
                    <w:bottom w:val="none" w:sz="0" w:space="0" w:color="auto"/>
                    <w:right w:val="none" w:sz="0" w:space="0" w:color="auto"/>
                  </w:divBdr>
                  <w:divsChild>
                    <w:div w:id="425228993">
                      <w:marLeft w:val="0"/>
                      <w:marRight w:val="0"/>
                      <w:marTop w:val="0"/>
                      <w:marBottom w:val="0"/>
                      <w:divBdr>
                        <w:top w:val="none" w:sz="0" w:space="0" w:color="auto"/>
                        <w:left w:val="none" w:sz="0" w:space="0" w:color="auto"/>
                        <w:bottom w:val="none" w:sz="0" w:space="0" w:color="auto"/>
                        <w:right w:val="none" w:sz="0" w:space="0" w:color="auto"/>
                      </w:divBdr>
                    </w:div>
                    <w:div w:id="1076782394">
                      <w:marLeft w:val="0"/>
                      <w:marRight w:val="0"/>
                      <w:marTop w:val="0"/>
                      <w:marBottom w:val="0"/>
                      <w:divBdr>
                        <w:top w:val="none" w:sz="0" w:space="0" w:color="auto"/>
                        <w:left w:val="none" w:sz="0" w:space="0" w:color="auto"/>
                        <w:bottom w:val="none" w:sz="0" w:space="0" w:color="auto"/>
                        <w:right w:val="none" w:sz="0" w:space="0" w:color="auto"/>
                      </w:divBdr>
                    </w:div>
                  </w:divsChild>
                </w:div>
                <w:div w:id="2002195523">
                  <w:marLeft w:val="0"/>
                  <w:marRight w:val="0"/>
                  <w:marTop w:val="0"/>
                  <w:marBottom w:val="0"/>
                  <w:divBdr>
                    <w:top w:val="none" w:sz="0" w:space="0" w:color="auto"/>
                    <w:left w:val="none" w:sz="0" w:space="0" w:color="auto"/>
                    <w:bottom w:val="none" w:sz="0" w:space="0" w:color="auto"/>
                    <w:right w:val="none" w:sz="0" w:space="0" w:color="auto"/>
                  </w:divBdr>
                  <w:divsChild>
                    <w:div w:id="2364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3598">
          <w:marLeft w:val="0"/>
          <w:marRight w:val="0"/>
          <w:marTop w:val="0"/>
          <w:marBottom w:val="0"/>
          <w:divBdr>
            <w:top w:val="none" w:sz="0" w:space="0" w:color="auto"/>
            <w:left w:val="none" w:sz="0" w:space="0" w:color="auto"/>
            <w:bottom w:val="none" w:sz="0" w:space="0" w:color="auto"/>
            <w:right w:val="none" w:sz="0" w:space="0" w:color="auto"/>
          </w:divBdr>
        </w:div>
        <w:div w:id="526867613">
          <w:marLeft w:val="0"/>
          <w:marRight w:val="0"/>
          <w:marTop w:val="0"/>
          <w:marBottom w:val="0"/>
          <w:divBdr>
            <w:top w:val="none" w:sz="0" w:space="0" w:color="auto"/>
            <w:left w:val="none" w:sz="0" w:space="0" w:color="auto"/>
            <w:bottom w:val="none" w:sz="0" w:space="0" w:color="auto"/>
            <w:right w:val="none" w:sz="0" w:space="0" w:color="auto"/>
          </w:divBdr>
        </w:div>
        <w:div w:id="561989100">
          <w:marLeft w:val="0"/>
          <w:marRight w:val="0"/>
          <w:marTop w:val="0"/>
          <w:marBottom w:val="0"/>
          <w:divBdr>
            <w:top w:val="none" w:sz="0" w:space="0" w:color="auto"/>
            <w:left w:val="none" w:sz="0" w:space="0" w:color="auto"/>
            <w:bottom w:val="none" w:sz="0" w:space="0" w:color="auto"/>
            <w:right w:val="none" w:sz="0" w:space="0" w:color="auto"/>
          </w:divBdr>
        </w:div>
        <w:div w:id="581371459">
          <w:marLeft w:val="0"/>
          <w:marRight w:val="0"/>
          <w:marTop w:val="0"/>
          <w:marBottom w:val="0"/>
          <w:divBdr>
            <w:top w:val="none" w:sz="0" w:space="0" w:color="auto"/>
            <w:left w:val="none" w:sz="0" w:space="0" w:color="auto"/>
            <w:bottom w:val="none" w:sz="0" w:space="0" w:color="auto"/>
            <w:right w:val="none" w:sz="0" w:space="0" w:color="auto"/>
          </w:divBdr>
        </w:div>
        <w:div w:id="591280960">
          <w:marLeft w:val="0"/>
          <w:marRight w:val="0"/>
          <w:marTop w:val="0"/>
          <w:marBottom w:val="0"/>
          <w:divBdr>
            <w:top w:val="none" w:sz="0" w:space="0" w:color="auto"/>
            <w:left w:val="none" w:sz="0" w:space="0" w:color="auto"/>
            <w:bottom w:val="none" w:sz="0" w:space="0" w:color="auto"/>
            <w:right w:val="none" w:sz="0" w:space="0" w:color="auto"/>
          </w:divBdr>
        </w:div>
        <w:div w:id="612247397">
          <w:marLeft w:val="0"/>
          <w:marRight w:val="0"/>
          <w:marTop w:val="0"/>
          <w:marBottom w:val="0"/>
          <w:divBdr>
            <w:top w:val="none" w:sz="0" w:space="0" w:color="auto"/>
            <w:left w:val="none" w:sz="0" w:space="0" w:color="auto"/>
            <w:bottom w:val="none" w:sz="0" w:space="0" w:color="auto"/>
            <w:right w:val="none" w:sz="0" w:space="0" w:color="auto"/>
          </w:divBdr>
        </w:div>
        <w:div w:id="628363789">
          <w:marLeft w:val="0"/>
          <w:marRight w:val="0"/>
          <w:marTop w:val="0"/>
          <w:marBottom w:val="0"/>
          <w:divBdr>
            <w:top w:val="none" w:sz="0" w:space="0" w:color="auto"/>
            <w:left w:val="none" w:sz="0" w:space="0" w:color="auto"/>
            <w:bottom w:val="none" w:sz="0" w:space="0" w:color="auto"/>
            <w:right w:val="none" w:sz="0" w:space="0" w:color="auto"/>
          </w:divBdr>
        </w:div>
        <w:div w:id="736131882">
          <w:marLeft w:val="0"/>
          <w:marRight w:val="0"/>
          <w:marTop w:val="0"/>
          <w:marBottom w:val="0"/>
          <w:divBdr>
            <w:top w:val="none" w:sz="0" w:space="0" w:color="auto"/>
            <w:left w:val="none" w:sz="0" w:space="0" w:color="auto"/>
            <w:bottom w:val="none" w:sz="0" w:space="0" w:color="auto"/>
            <w:right w:val="none" w:sz="0" w:space="0" w:color="auto"/>
          </w:divBdr>
        </w:div>
        <w:div w:id="807623702">
          <w:marLeft w:val="0"/>
          <w:marRight w:val="0"/>
          <w:marTop w:val="0"/>
          <w:marBottom w:val="0"/>
          <w:divBdr>
            <w:top w:val="none" w:sz="0" w:space="0" w:color="auto"/>
            <w:left w:val="none" w:sz="0" w:space="0" w:color="auto"/>
            <w:bottom w:val="none" w:sz="0" w:space="0" w:color="auto"/>
            <w:right w:val="none" w:sz="0" w:space="0" w:color="auto"/>
          </w:divBdr>
        </w:div>
        <w:div w:id="863709390">
          <w:marLeft w:val="0"/>
          <w:marRight w:val="0"/>
          <w:marTop w:val="0"/>
          <w:marBottom w:val="0"/>
          <w:divBdr>
            <w:top w:val="none" w:sz="0" w:space="0" w:color="auto"/>
            <w:left w:val="none" w:sz="0" w:space="0" w:color="auto"/>
            <w:bottom w:val="none" w:sz="0" w:space="0" w:color="auto"/>
            <w:right w:val="none" w:sz="0" w:space="0" w:color="auto"/>
          </w:divBdr>
        </w:div>
        <w:div w:id="936601349">
          <w:marLeft w:val="0"/>
          <w:marRight w:val="0"/>
          <w:marTop w:val="0"/>
          <w:marBottom w:val="0"/>
          <w:divBdr>
            <w:top w:val="none" w:sz="0" w:space="0" w:color="auto"/>
            <w:left w:val="none" w:sz="0" w:space="0" w:color="auto"/>
            <w:bottom w:val="none" w:sz="0" w:space="0" w:color="auto"/>
            <w:right w:val="none" w:sz="0" w:space="0" w:color="auto"/>
          </w:divBdr>
        </w:div>
        <w:div w:id="980110349">
          <w:marLeft w:val="0"/>
          <w:marRight w:val="0"/>
          <w:marTop w:val="0"/>
          <w:marBottom w:val="0"/>
          <w:divBdr>
            <w:top w:val="none" w:sz="0" w:space="0" w:color="auto"/>
            <w:left w:val="none" w:sz="0" w:space="0" w:color="auto"/>
            <w:bottom w:val="none" w:sz="0" w:space="0" w:color="auto"/>
            <w:right w:val="none" w:sz="0" w:space="0" w:color="auto"/>
          </w:divBdr>
          <w:divsChild>
            <w:div w:id="1625883343">
              <w:marLeft w:val="-75"/>
              <w:marRight w:val="0"/>
              <w:marTop w:val="30"/>
              <w:marBottom w:val="30"/>
              <w:divBdr>
                <w:top w:val="none" w:sz="0" w:space="0" w:color="auto"/>
                <w:left w:val="none" w:sz="0" w:space="0" w:color="auto"/>
                <w:bottom w:val="none" w:sz="0" w:space="0" w:color="auto"/>
                <w:right w:val="none" w:sz="0" w:space="0" w:color="auto"/>
              </w:divBdr>
              <w:divsChild>
                <w:div w:id="363167237">
                  <w:marLeft w:val="0"/>
                  <w:marRight w:val="0"/>
                  <w:marTop w:val="0"/>
                  <w:marBottom w:val="0"/>
                  <w:divBdr>
                    <w:top w:val="none" w:sz="0" w:space="0" w:color="auto"/>
                    <w:left w:val="none" w:sz="0" w:space="0" w:color="auto"/>
                    <w:bottom w:val="none" w:sz="0" w:space="0" w:color="auto"/>
                    <w:right w:val="none" w:sz="0" w:space="0" w:color="auto"/>
                  </w:divBdr>
                  <w:divsChild>
                    <w:div w:id="503518580">
                      <w:marLeft w:val="0"/>
                      <w:marRight w:val="0"/>
                      <w:marTop w:val="0"/>
                      <w:marBottom w:val="0"/>
                      <w:divBdr>
                        <w:top w:val="none" w:sz="0" w:space="0" w:color="auto"/>
                        <w:left w:val="none" w:sz="0" w:space="0" w:color="auto"/>
                        <w:bottom w:val="none" w:sz="0" w:space="0" w:color="auto"/>
                        <w:right w:val="none" w:sz="0" w:space="0" w:color="auto"/>
                      </w:divBdr>
                    </w:div>
                  </w:divsChild>
                </w:div>
                <w:div w:id="417139180">
                  <w:marLeft w:val="0"/>
                  <w:marRight w:val="0"/>
                  <w:marTop w:val="0"/>
                  <w:marBottom w:val="0"/>
                  <w:divBdr>
                    <w:top w:val="none" w:sz="0" w:space="0" w:color="auto"/>
                    <w:left w:val="none" w:sz="0" w:space="0" w:color="auto"/>
                    <w:bottom w:val="none" w:sz="0" w:space="0" w:color="auto"/>
                    <w:right w:val="none" w:sz="0" w:space="0" w:color="auto"/>
                  </w:divBdr>
                  <w:divsChild>
                    <w:div w:id="671877348">
                      <w:marLeft w:val="0"/>
                      <w:marRight w:val="0"/>
                      <w:marTop w:val="0"/>
                      <w:marBottom w:val="0"/>
                      <w:divBdr>
                        <w:top w:val="none" w:sz="0" w:space="0" w:color="auto"/>
                        <w:left w:val="none" w:sz="0" w:space="0" w:color="auto"/>
                        <w:bottom w:val="none" w:sz="0" w:space="0" w:color="auto"/>
                        <w:right w:val="none" w:sz="0" w:space="0" w:color="auto"/>
                      </w:divBdr>
                    </w:div>
                    <w:div w:id="1101225364">
                      <w:marLeft w:val="0"/>
                      <w:marRight w:val="0"/>
                      <w:marTop w:val="0"/>
                      <w:marBottom w:val="0"/>
                      <w:divBdr>
                        <w:top w:val="none" w:sz="0" w:space="0" w:color="auto"/>
                        <w:left w:val="none" w:sz="0" w:space="0" w:color="auto"/>
                        <w:bottom w:val="none" w:sz="0" w:space="0" w:color="auto"/>
                        <w:right w:val="none" w:sz="0" w:space="0" w:color="auto"/>
                      </w:divBdr>
                    </w:div>
                  </w:divsChild>
                </w:div>
                <w:div w:id="836961221">
                  <w:marLeft w:val="0"/>
                  <w:marRight w:val="0"/>
                  <w:marTop w:val="0"/>
                  <w:marBottom w:val="0"/>
                  <w:divBdr>
                    <w:top w:val="none" w:sz="0" w:space="0" w:color="auto"/>
                    <w:left w:val="none" w:sz="0" w:space="0" w:color="auto"/>
                    <w:bottom w:val="none" w:sz="0" w:space="0" w:color="auto"/>
                    <w:right w:val="none" w:sz="0" w:space="0" w:color="auto"/>
                  </w:divBdr>
                  <w:divsChild>
                    <w:div w:id="1910921046">
                      <w:marLeft w:val="0"/>
                      <w:marRight w:val="0"/>
                      <w:marTop w:val="0"/>
                      <w:marBottom w:val="0"/>
                      <w:divBdr>
                        <w:top w:val="none" w:sz="0" w:space="0" w:color="auto"/>
                        <w:left w:val="none" w:sz="0" w:space="0" w:color="auto"/>
                        <w:bottom w:val="none" w:sz="0" w:space="0" w:color="auto"/>
                        <w:right w:val="none" w:sz="0" w:space="0" w:color="auto"/>
                      </w:divBdr>
                    </w:div>
                  </w:divsChild>
                </w:div>
                <w:div w:id="1141653451">
                  <w:marLeft w:val="0"/>
                  <w:marRight w:val="0"/>
                  <w:marTop w:val="0"/>
                  <w:marBottom w:val="0"/>
                  <w:divBdr>
                    <w:top w:val="none" w:sz="0" w:space="0" w:color="auto"/>
                    <w:left w:val="none" w:sz="0" w:space="0" w:color="auto"/>
                    <w:bottom w:val="none" w:sz="0" w:space="0" w:color="auto"/>
                    <w:right w:val="none" w:sz="0" w:space="0" w:color="auto"/>
                  </w:divBdr>
                  <w:divsChild>
                    <w:div w:id="731269427">
                      <w:marLeft w:val="0"/>
                      <w:marRight w:val="0"/>
                      <w:marTop w:val="0"/>
                      <w:marBottom w:val="0"/>
                      <w:divBdr>
                        <w:top w:val="none" w:sz="0" w:space="0" w:color="auto"/>
                        <w:left w:val="none" w:sz="0" w:space="0" w:color="auto"/>
                        <w:bottom w:val="none" w:sz="0" w:space="0" w:color="auto"/>
                        <w:right w:val="none" w:sz="0" w:space="0" w:color="auto"/>
                      </w:divBdr>
                    </w:div>
                  </w:divsChild>
                </w:div>
                <w:div w:id="1245262505">
                  <w:marLeft w:val="0"/>
                  <w:marRight w:val="0"/>
                  <w:marTop w:val="0"/>
                  <w:marBottom w:val="0"/>
                  <w:divBdr>
                    <w:top w:val="none" w:sz="0" w:space="0" w:color="auto"/>
                    <w:left w:val="none" w:sz="0" w:space="0" w:color="auto"/>
                    <w:bottom w:val="none" w:sz="0" w:space="0" w:color="auto"/>
                    <w:right w:val="none" w:sz="0" w:space="0" w:color="auto"/>
                  </w:divBdr>
                  <w:divsChild>
                    <w:div w:id="480082354">
                      <w:marLeft w:val="0"/>
                      <w:marRight w:val="0"/>
                      <w:marTop w:val="0"/>
                      <w:marBottom w:val="0"/>
                      <w:divBdr>
                        <w:top w:val="none" w:sz="0" w:space="0" w:color="auto"/>
                        <w:left w:val="none" w:sz="0" w:space="0" w:color="auto"/>
                        <w:bottom w:val="none" w:sz="0" w:space="0" w:color="auto"/>
                        <w:right w:val="none" w:sz="0" w:space="0" w:color="auto"/>
                      </w:divBdr>
                    </w:div>
                    <w:div w:id="740102736">
                      <w:marLeft w:val="0"/>
                      <w:marRight w:val="0"/>
                      <w:marTop w:val="0"/>
                      <w:marBottom w:val="0"/>
                      <w:divBdr>
                        <w:top w:val="none" w:sz="0" w:space="0" w:color="auto"/>
                        <w:left w:val="none" w:sz="0" w:space="0" w:color="auto"/>
                        <w:bottom w:val="none" w:sz="0" w:space="0" w:color="auto"/>
                        <w:right w:val="none" w:sz="0" w:space="0" w:color="auto"/>
                      </w:divBdr>
                    </w:div>
                  </w:divsChild>
                </w:div>
                <w:div w:id="1271008088">
                  <w:marLeft w:val="0"/>
                  <w:marRight w:val="0"/>
                  <w:marTop w:val="0"/>
                  <w:marBottom w:val="0"/>
                  <w:divBdr>
                    <w:top w:val="none" w:sz="0" w:space="0" w:color="auto"/>
                    <w:left w:val="none" w:sz="0" w:space="0" w:color="auto"/>
                    <w:bottom w:val="none" w:sz="0" w:space="0" w:color="auto"/>
                    <w:right w:val="none" w:sz="0" w:space="0" w:color="auto"/>
                  </w:divBdr>
                  <w:divsChild>
                    <w:div w:id="851261723">
                      <w:marLeft w:val="0"/>
                      <w:marRight w:val="0"/>
                      <w:marTop w:val="0"/>
                      <w:marBottom w:val="0"/>
                      <w:divBdr>
                        <w:top w:val="none" w:sz="0" w:space="0" w:color="auto"/>
                        <w:left w:val="none" w:sz="0" w:space="0" w:color="auto"/>
                        <w:bottom w:val="none" w:sz="0" w:space="0" w:color="auto"/>
                        <w:right w:val="none" w:sz="0" w:space="0" w:color="auto"/>
                      </w:divBdr>
                    </w:div>
                  </w:divsChild>
                </w:div>
                <w:div w:id="1444769627">
                  <w:marLeft w:val="0"/>
                  <w:marRight w:val="0"/>
                  <w:marTop w:val="0"/>
                  <w:marBottom w:val="0"/>
                  <w:divBdr>
                    <w:top w:val="none" w:sz="0" w:space="0" w:color="auto"/>
                    <w:left w:val="none" w:sz="0" w:space="0" w:color="auto"/>
                    <w:bottom w:val="none" w:sz="0" w:space="0" w:color="auto"/>
                    <w:right w:val="none" w:sz="0" w:space="0" w:color="auto"/>
                  </w:divBdr>
                  <w:divsChild>
                    <w:div w:id="858353113">
                      <w:marLeft w:val="0"/>
                      <w:marRight w:val="0"/>
                      <w:marTop w:val="0"/>
                      <w:marBottom w:val="0"/>
                      <w:divBdr>
                        <w:top w:val="none" w:sz="0" w:space="0" w:color="auto"/>
                        <w:left w:val="none" w:sz="0" w:space="0" w:color="auto"/>
                        <w:bottom w:val="none" w:sz="0" w:space="0" w:color="auto"/>
                        <w:right w:val="none" w:sz="0" w:space="0" w:color="auto"/>
                      </w:divBdr>
                    </w:div>
                  </w:divsChild>
                </w:div>
                <w:div w:id="1658998010">
                  <w:marLeft w:val="0"/>
                  <w:marRight w:val="0"/>
                  <w:marTop w:val="0"/>
                  <w:marBottom w:val="0"/>
                  <w:divBdr>
                    <w:top w:val="none" w:sz="0" w:space="0" w:color="auto"/>
                    <w:left w:val="none" w:sz="0" w:space="0" w:color="auto"/>
                    <w:bottom w:val="none" w:sz="0" w:space="0" w:color="auto"/>
                    <w:right w:val="none" w:sz="0" w:space="0" w:color="auto"/>
                  </w:divBdr>
                  <w:divsChild>
                    <w:div w:id="50469485">
                      <w:marLeft w:val="0"/>
                      <w:marRight w:val="0"/>
                      <w:marTop w:val="0"/>
                      <w:marBottom w:val="0"/>
                      <w:divBdr>
                        <w:top w:val="none" w:sz="0" w:space="0" w:color="auto"/>
                        <w:left w:val="none" w:sz="0" w:space="0" w:color="auto"/>
                        <w:bottom w:val="none" w:sz="0" w:space="0" w:color="auto"/>
                        <w:right w:val="none" w:sz="0" w:space="0" w:color="auto"/>
                      </w:divBdr>
                    </w:div>
                  </w:divsChild>
                </w:div>
                <w:div w:id="1670788254">
                  <w:marLeft w:val="0"/>
                  <w:marRight w:val="0"/>
                  <w:marTop w:val="0"/>
                  <w:marBottom w:val="0"/>
                  <w:divBdr>
                    <w:top w:val="none" w:sz="0" w:space="0" w:color="auto"/>
                    <w:left w:val="none" w:sz="0" w:space="0" w:color="auto"/>
                    <w:bottom w:val="none" w:sz="0" w:space="0" w:color="auto"/>
                    <w:right w:val="none" w:sz="0" w:space="0" w:color="auto"/>
                  </w:divBdr>
                  <w:divsChild>
                    <w:div w:id="334959330">
                      <w:marLeft w:val="0"/>
                      <w:marRight w:val="0"/>
                      <w:marTop w:val="0"/>
                      <w:marBottom w:val="0"/>
                      <w:divBdr>
                        <w:top w:val="none" w:sz="0" w:space="0" w:color="auto"/>
                        <w:left w:val="none" w:sz="0" w:space="0" w:color="auto"/>
                        <w:bottom w:val="none" w:sz="0" w:space="0" w:color="auto"/>
                        <w:right w:val="none" w:sz="0" w:space="0" w:color="auto"/>
                      </w:divBdr>
                    </w:div>
                    <w:div w:id="866990882">
                      <w:marLeft w:val="0"/>
                      <w:marRight w:val="0"/>
                      <w:marTop w:val="0"/>
                      <w:marBottom w:val="0"/>
                      <w:divBdr>
                        <w:top w:val="none" w:sz="0" w:space="0" w:color="auto"/>
                        <w:left w:val="none" w:sz="0" w:space="0" w:color="auto"/>
                        <w:bottom w:val="none" w:sz="0" w:space="0" w:color="auto"/>
                        <w:right w:val="none" w:sz="0" w:space="0" w:color="auto"/>
                      </w:divBdr>
                    </w:div>
                  </w:divsChild>
                </w:div>
                <w:div w:id="1810442918">
                  <w:marLeft w:val="0"/>
                  <w:marRight w:val="0"/>
                  <w:marTop w:val="0"/>
                  <w:marBottom w:val="0"/>
                  <w:divBdr>
                    <w:top w:val="none" w:sz="0" w:space="0" w:color="auto"/>
                    <w:left w:val="none" w:sz="0" w:space="0" w:color="auto"/>
                    <w:bottom w:val="none" w:sz="0" w:space="0" w:color="auto"/>
                    <w:right w:val="none" w:sz="0" w:space="0" w:color="auto"/>
                  </w:divBdr>
                  <w:divsChild>
                    <w:div w:id="87635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3054">
          <w:marLeft w:val="0"/>
          <w:marRight w:val="0"/>
          <w:marTop w:val="0"/>
          <w:marBottom w:val="0"/>
          <w:divBdr>
            <w:top w:val="none" w:sz="0" w:space="0" w:color="auto"/>
            <w:left w:val="none" w:sz="0" w:space="0" w:color="auto"/>
            <w:bottom w:val="none" w:sz="0" w:space="0" w:color="auto"/>
            <w:right w:val="none" w:sz="0" w:space="0" w:color="auto"/>
          </w:divBdr>
        </w:div>
        <w:div w:id="1098528505">
          <w:marLeft w:val="0"/>
          <w:marRight w:val="0"/>
          <w:marTop w:val="0"/>
          <w:marBottom w:val="0"/>
          <w:divBdr>
            <w:top w:val="none" w:sz="0" w:space="0" w:color="auto"/>
            <w:left w:val="none" w:sz="0" w:space="0" w:color="auto"/>
            <w:bottom w:val="none" w:sz="0" w:space="0" w:color="auto"/>
            <w:right w:val="none" w:sz="0" w:space="0" w:color="auto"/>
          </w:divBdr>
        </w:div>
        <w:div w:id="1176114649">
          <w:marLeft w:val="0"/>
          <w:marRight w:val="0"/>
          <w:marTop w:val="0"/>
          <w:marBottom w:val="0"/>
          <w:divBdr>
            <w:top w:val="none" w:sz="0" w:space="0" w:color="auto"/>
            <w:left w:val="none" w:sz="0" w:space="0" w:color="auto"/>
            <w:bottom w:val="none" w:sz="0" w:space="0" w:color="auto"/>
            <w:right w:val="none" w:sz="0" w:space="0" w:color="auto"/>
          </w:divBdr>
        </w:div>
        <w:div w:id="1227062305">
          <w:marLeft w:val="0"/>
          <w:marRight w:val="0"/>
          <w:marTop w:val="0"/>
          <w:marBottom w:val="0"/>
          <w:divBdr>
            <w:top w:val="none" w:sz="0" w:space="0" w:color="auto"/>
            <w:left w:val="none" w:sz="0" w:space="0" w:color="auto"/>
            <w:bottom w:val="none" w:sz="0" w:space="0" w:color="auto"/>
            <w:right w:val="none" w:sz="0" w:space="0" w:color="auto"/>
          </w:divBdr>
        </w:div>
        <w:div w:id="1263799113">
          <w:marLeft w:val="0"/>
          <w:marRight w:val="0"/>
          <w:marTop w:val="0"/>
          <w:marBottom w:val="0"/>
          <w:divBdr>
            <w:top w:val="none" w:sz="0" w:space="0" w:color="auto"/>
            <w:left w:val="none" w:sz="0" w:space="0" w:color="auto"/>
            <w:bottom w:val="none" w:sz="0" w:space="0" w:color="auto"/>
            <w:right w:val="none" w:sz="0" w:space="0" w:color="auto"/>
          </w:divBdr>
        </w:div>
        <w:div w:id="1674145119">
          <w:marLeft w:val="0"/>
          <w:marRight w:val="0"/>
          <w:marTop w:val="0"/>
          <w:marBottom w:val="0"/>
          <w:divBdr>
            <w:top w:val="none" w:sz="0" w:space="0" w:color="auto"/>
            <w:left w:val="none" w:sz="0" w:space="0" w:color="auto"/>
            <w:bottom w:val="none" w:sz="0" w:space="0" w:color="auto"/>
            <w:right w:val="none" w:sz="0" w:space="0" w:color="auto"/>
          </w:divBdr>
        </w:div>
        <w:div w:id="1983267915">
          <w:marLeft w:val="0"/>
          <w:marRight w:val="0"/>
          <w:marTop w:val="0"/>
          <w:marBottom w:val="0"/>
          <w:divBdr>
            <w:top w:val="none" w:sz="0" w:space="0" w:color="auto"/>
            <w:left w:val="none" w:sz="0" w:space="0" w:color="auto"/>
            <w:bottom w:val="none" w:sz="0" w:space="0" w:color="auto"/>
            <w:right w:val="none" w:sz="0" w:space="0" w:color="auto"/>
          </w:divBdr>
        </w:div>
        <w:div w:id="2106920357">
          <w:marLeft w:val="0"/>
          <w:marRight w:val="0"/>
          <w:marTop w:val="0"/>
          <w:marBottom w:val="0"/>
          <w:divBdr>
            <w:top w:val="none" w:sz="0" w:space="0" w:color="auto"/>
            <w:left w:val="none" w:sz="0" w:space="0" w:color="auto"/>
            <w:bottom w:val="none" w:sz="0" w:space="0" w:color="auto"/>
            <w:right w:val="none" w:sz="0" w:space="0" w:color="auto"/>
          </w:divBdr>
        </w:div>
        <w:div w:id="2124685112">
          <w:marLeft w:val="0"/>
          <w:marRight w:val="0"/>
          <w:marTop w:val="0"/>
          <w:marBottom w:val="0"/>
          <w:divBdr>
            <w:top w:val="none" w:sz="0" w:space="0" w:color="auto"/>
            <w:left w:val="none" w:sz="0" w:space="0" w:color="auto"/>
            <w:bottom w:val="none" w:sz="0" w:space="0" w:color="auto"/>
            <w:right w:val="none" w:sz="0" w:space="0" w:color="auto"/>
          </w:divBdr>
        </w:div>
      </w:divsChild>
    </w:div>
    <w:div w:id="1564872297">
      <w:bodyDiv w:val="1"/>
      <w:marLeft w:val="0"/>
      <w:marRight w:val="0"/>
      <w:marTop w:val="0"/>
      <w:marBottom w:val="0"/>
      <w:divBdr>
        <w:top w:val="none" w:sz="0" w:space="0" w:color="auto"/>
        <w:left w:val="none" w:sz="0" w:space="0" w:color="auto"/>
        <w:bottom w:val="none" w:sz="0" w:space="0" w:color="auto"/>
        <w:right w:val="none" w:sz="0" w:space="0" w:color="auto"/>
      </w:divBdr>
    </w:div>
    <w:div w:id="1572962038">
      <w:bodyDiv w:val="1"/>
      <w:marLeft w:val="0"/>
      <w:marRight w:val="0"/>
      <w:marTop w:val="0"/>
      <w:marBottom w:val="0"/>
      <w:divBdr>
        <w:top w:val="none" w:sz="0" w:space="0" w:color="auto"/>
        <w:left w:val="none" w:sz="0" w:space="0" w:color="auto"/>
        <w:bottom w:val="none" w:sz="0" w:space="0" w:color="auto"/>
        <w:right w:val="none" w:sz="0" w:space="0" w:color="auto"/>
      </w:divBdr>
    </w:div>
    <w:div w:id="1606771256">
      <w:bodyDiv w:val="1"/>
      <w:marLeft w:val="0"/>
      <w:marRight w:val="0"/>
      <w:marTop w:val="0"/>
      <w:marBottom w:val="0"/>
      <w:divBdr>
        <w:top w:val="none" w:sz="0" w:space="0" w:color="auto"/>
        <w:left w:val="none" w:sz="0" w:space="0" w:color="auto"/>
        <w:bottom w:val="none" w:sz="0" w:space="0" w:color="auto"/>
        <w:right w:val="none" w:sz="0" w:space="0" w:color="auto"/>
      </w:divBdr>
    </w:div>
    <w:div w:id="1612514721">
      <w:bodyDiv w:val="1"/>
      <w:marLeft w:val="0"/>
      <w:marRight w:val="0"/>
      <w:marTop w:val="0"/>
      <w:marBottom w:val="0"/>
      <w:divBdr>
        <w:top w:val="none" w:sz="0" w:space="0" w:color="auto"/>
        <w:left w:val="none" w:sz="0" w:space="0" w:color="auto"/>
        <w:bottom w:val="none" w:sz="0" w:space="0" w:color="auto"/>
        <w:right w:val="none" w:sz="0" w:space="0" w:color="auto"/>
      </w:divBdr>
      <w:divsChild>
        <w:div w:id="36974238">
          <w:marLeft w:val="0"/>
          <w:marRight w:val="0"/>
          <w:marTop w:val="0"/>
          <w:marBottom w:val="0"/>
          <w:divBdr>
            <w:top w:val="none" w:sz="0" w:space="0" w:color="auto"/>
            <w:left w:val="none" w:sz="0" w:space="0" w:color="auto"/>
            <w:bottom w:val="none" w:sz="0" w:space="0" w:color="auto"/>
            <w:right w:val="none" w:sz="0" w:space="0" w:color="auto"/>
          </w:divBdr>
          <w:divsChild>
            <w:div w:id="891230740">
              <w:marLeft w:val="0"/>
              <w:marRight w:val="0"/>
              <w:marTop w:val="0"/>
              <w:marBottom w:val="0"/>
              <w:divBdr>
                <w:top w:val="none" w:sz="0" w:space="0" w:color="auto"/>
                <w:left w:val="none" w:sz="0" w:space="0" w:color="auto"/>
                <w:bottom w:val="none" w:sz="0" w:space="0" w:color="auto"/>
                <w:right w:val="none" w:sz="0" w:space="0" w:color="auto"/>
              </w:divBdr>
            </w:div>
          </w:divsChild>
        </w:div>
        <w:div w:id="39866265">
          <w:marLeft w:val="0"/>
          <w:marRight w:val="0"/>
          <w:marTop w:val="0"/>
          <w:marBottom w:val="0"/>
          <w:divBdr>
            <w:top w:val="none" w:sz="0" w:space="0" w:color="auto"/>
            <w:left w:val="none" w:sz="0" w:space="0" w:color="auto"/>
            <w:bottom w:val="none" w:sz="0" w:space="0" w:color="auto"/>
            <w:right w:val="none" w:sz="0" w:space="0" w:color="auto"/>
          </w:divBdr>
          <w:divsChild>
            <w:div w:id="426972358">
              <w:marLeft w:val="0"/>
              <w:marRight w:val="0"/>
              <w:marTop w:val="0"/>
              <w:marBottom w:val="0"/>
              <w:divBdr>
                <w:top w:val="none" w:sz="0" w:space="0" w:color="auto"/>
                <w:left w:val="none" w:sz="0" w:space="0" w:color="auto"/>
                <w:bottom w:val="none" w:sz="0" w:space="0" w:color="auto"/>
                <w:right w:val="none" w:sz="0" w:space="0" w:color="auto"/>
              </w:divBdr>
            </w:div>
          </w:divsChild>
        </w:div>
        <w:div w:id="45759138">
          <w:marLeft w:val="0"/>
          <w:marRight w:val="0"/>
          <w:marTop w:val="0"/>
          <w:marBottom w:val="0"/>
          <w:divBdr>
            <w:top w:val="none" w:sz="0" w:space="0" w:color="auto"/>
            <w:left w:val="none" w:sz="0" w:space="0" w:color="auto"/>
            <w:bottom w:val="none" w:sz="0" w:space="0" w:color="auto"/>
            <w:right w:val="none" w:sz="0" w:space="0" w:color="auto"/>
          </w:divBdr>
          <w:divsChild>
            <w:div w:id="1360424300">
              <w:marLeft w:val="0"/>
              <w:marRight w:val="0"/>
              <w:marTop w:val="0"/>
              <w:marBottom w:val="0"/>
              <w:divBdr>
                <w:top w:val="none" w:sz="0" w:space="0" w:color="auto"/>
                <w:left w:val="none" w:sz="0" w:space="0" w:color="auto"/>
                <w:bottom w:val="none" w:sz="0" w:space="0" w:color="auto"/>
                <w:right w:val="none" w:sz="0" w:space="0" w:color="auto"/>
              </w:divBdr>
            </w:div>
          </w:divsChild>
        </w:div>
        <w:div w:id="93792323">
          <w:marLeft w:val="0"/>
          <w:marRight w:val="0"/>
          <w:marTop w:val="0"/>
          <w:marBottom w:val="0"/>
          <w:divBdr>
            <w:top w:val="none" w:sz="0" w:space="0" w:color="auto"/>
            <w:left w:val="none" w:sz="0" w:space="0" w:color="auto"/>
            <w:bottom w:val="none" w:sz="0" w:space="0" w:color="auto"/>
            <w:right w:val="none" w:sz="0" w:space="0" w:color="auto"/>
          </w:divBdr>
          <w:divsChild>
            <w:div w:id="98113541">
              <w:marLeft w:val="0"/>
              <w:marRight w:val="0"/>
              <w:marTop w:val="0"/>
              <w:marBottom w:val="0"/>
              <w:divBdr>
                <w:top w:val="none" w:sz="0" w:space="0" w:color="auto"/>
                <w:left w:val="none" w:sz="0" w:space="0" w:color="auto"/>
                <w:bottom w:val="none" w:sz="0" w:space="0" w:color="auto"/>
                <w:right w:val="none" w:sz="0" w:space="0" w:color="auto"/>
              </w:divBdr>
            </w:div>
          </w:divsChild>
        </w:div>
        <w:div w:id="125053440">
          <w:marLeft w:val="0"/>
          <w:marRight w:val="0"/>
          <w:marTop w:val="0"/>
          <w:marBottom w:val="0"/>
          <w:divBdr>
            <w:top w:val="none" w:sz="0" w:space="0" w:color="auto"/>
            <w:left w:val="none" w:sz="0" w:space="0" w:color="auto"/>
            <w:bottom w:val="none" w:sz="0" w:space="0" w:color="auto"/>
            <w:right w:val="none" w:sz="0" w:space="0" w:color="auto"/>
          </w:divBdr>
          <w:divsChild>
            <w:div w:id="336426573">
              <w:marLeft w:val="0"/>
              <w:marRight w:val="0"/>
              <w:marTop w:val="0"/>
              <w:marBottom w:val="0"/>
              <w:divBdr>
                <w:top w:val="none" w:sz="0" w:space="0" w:color="auto"/>
                <w:left w:val="none" w:sz="0" w:space="0" w:color="auto"/>
                <w:bottom w:val="none" w:sz="0" w:space="0" w:color="auto"/>
                <w:right w:val="none" w:sz="0" w:space="0" w:color="auto"/>
              </w:divBdr>
            </w:div>
          </w:divsChild>
        </w:div>
        <w:div w:id="151525997">
          <w:marLeft w:val="0"/>
          <w:marRight w:val="0"/>
          <w:marTop w:val="0"/>
          <w:marBottom w:val="0"/>
          <w:divBdr>
            <w:top w:val="none" w:sz="0" w:space="0" w:color="auto"/>
            <w:left w:val="none" w:sz="0" w:space="0" w:color="auto"/>
            <w:bottom w:val="none" w:sz="0" w:space="0" w:color="auto"/>
            <w:right w:val="none" w:sz="0" w:space="0" w:color="auto"/>
          </w:divBdr>
          <w:divsChild>
            <w:div w:id="1103067101">
              <w:marLeft w:val="0"/>
              <w:marRight w:val="0"/>
              <w:marTop w:val="0"/>
              <w:marBottom w:val="0"/>
              <w:divBdr>
                <w:top w:val="none" w:sz="0" w:space="0" w:color="auto"/>
                <w:left w:val="none" w:sz="0" w:space="0" w:color="auto"/>
                <w:bottom w:val="none" w:sz="0" w:space="0" w:color="auto"/>
                <w:right w:val="none" w:sz="0" w:space="0" w:color="auto"/>
              </w:divBdr>
            </w:div>
          </w:divsChild>
        </w:div>
        <w:div w:id="347878979">
          <w:marLeft w:val="0"/>
          <w:marRight w:val="0"/>
          <w:marTop w:val="0"/>
          <w:marBottom w:val="0"/>
          <w:divBdr>
            <w:top w:val="none" w:sz="0" w:space="0" w:color="auto"/>
            <w:left w:val="none" w:sz="0" w:space="0" w:color="auto"/>
            <w:bottom w:val="none" w:sz="0" w:space="0" w:color="auto"/>
            <w:right w:val="none" w:sz="0" w:space="0" w:color="auto"/>
          </w:divBdr>
          <w:divsChild>
            <w:div w:id="1877504339">
              <w:marLeft w:val="0"/>
              <w:marRight w:val="0"/>
              <w:marTop w:val="0"/>
              <w:marBottom w:val="0"/>
              <w:divBdr>
                <w:top w:val="none" w:sz="0" w:space="0" w:color="auto"/>
                <w:left w:val="none" w:sz="0" w:space="0" w:color="auto"/>
                <w:bottom w:val="none" w:sz="0" w:space="0" w:color="auto"/>
                <w:right w:val="none" w:sz="0" w:space="0" w:color="auto"/>
              </w:divBdr>
            </w:div>
          </w:divsChild>
        </w:div>
        <w:div w:id="409886033">
          <w:marLeft w:val="0"/>
          <w:marRight w:val="0"/>
          <w:marTop w:val="0"/>
          <w:marBottom w:val="0"/>
          <w:divBdr>
            <w:top w:val="none" w:sz="0" w:space="0" w:color="auto"/>
            <w:left w:val="none" w:sz="0" w:space="0" w:color="auto"/>
            <w:bottom w:val="none" w:sz="0" w:space="0" w:color="auto"/>
            <w:right w:val="none" w:sz="0" w:space="0" w:color="auto"/>
          </w:divBdr>
          <w:divsChild>
            <w:div w:id="1631129401">
              <w:marLeft w:val="0"/>
              <w:marRight w:val="0"/>
              <w:marTop w:val="0"/>
              <w:marBottom w:val="0"/>
              <w:divBdr>
                <w:top w:val="none" w:sz="0" w:space="0" w:color="auto"/>
                <w:left w:val="none" w:sz="0" w:space="0" w:color="auto"/>
                <w:bottom w:val="none" w:sz="0" w:space="0" w:color="auto"/>
                <w:right w:val="none" w:sz="0" w:space="0" w:color="auto"/>
              </w:divBdr>
            </w:div>
          </w:divsChild>
        </w:div>
        <w:div w:id="434374498">
          <w:marLeft w:val="0"/>
          <w:marRight w:val="0"/>
          <w:marTop w:val="0"/>
          <w:marBottom w:val="0"/>
          <w:divBdr>
            <w:top w:val="none" w:sz="0" w:space="0" w:color="auto"/>
            <w:left w:val="none" w:sz="0" w:space="0" w:color="auto"/>
            <w:bottom w:val="none" w:sz="0" w:space="0" w:color="auto"/>
            <w:right w:val="none" w:sz="0" w:space="0" w:color="auto"/>
          </w:divBdr>
          <w:divsChild>
            <w:div w:id="1562668217">
              <w:marLeft w:val="0"/>
              <w:marRight w:val="0"/>
              <w:marTop w:val="0"/>
              <w:marBottom w:val="0"/>
              <w:divBdr>
                <w:top w:val="none" w:sz="0" w:space="0" w:color="auto"/>
                <w:left w:val="none" w:sz="0" w:space="0" w:color="auto"/>
                <w:bottom w:val="none" w:sz="0" w:space="0" w:color="auto"/>
                <w:right w:val="none" w:sz="0" w:space="0" w:color="auto"/>
              </w:divBdr>
            </w:div>
          </w:divsChild>
        </w:div>
        <w:div w:id="495996583">
          <w:marLeft w:val="0"/>
          <w:marRight w:val="0"/>
          <w:marTop w:val="0"/>
          <w:marBottom w:val="0"/>
          <w:divBdr>
            <w:top w:val="none" w:sz="0" w:space="0" w:color="auto"/>
            <w:left w:val="none" w:sz="0" w:space="0" w:color="auto"/>
            <w:bottom w:val="none" w:sz="0" w:space="0" w:color="auto"/>
            <w:right w:val="none" w:sz="0" w:space="0" w:color="auto"/>
          </w:divBdr>
          <w:divsChild>
            <w:div w:id="1995599190">
              <w:marLeft w:val="0"/>
              <w:marRight w:val="0"/>
              <w:marTop w:val="0"/>
              <w:marBottom w:val="0"/>
              <w:divBdr>
                <w:top w:val="none" w:sz="0" w:space="0" w:color="auto"/>
                <w:left w:val="none" w:sz="0" w:space="0" w:color="auto"/>
                <w:bottom w:val="none" w:sz="0" w:space="0" w:color="auto"/>
                <w:right w:val="none" w:sz="0" w:space="0" w:color="auto"/>
              </w:divBdr>
            </w:div>
          </w:divsChild>
        </w:div>
        <w:div w:id="542983034">
          <w:marLeft w:val="0"/>
          <w:marRight w:val="0"/>
          <w:marTop w:val="0"/>
          <w:marBottom w:val="0"/>
          <w:divBdr>
            <w:top w:val="none" w:sz="0" w:space="0" w:color="auto"/>
            <w:left w:val="none" w:sz="0" w:space="0" w:color="auto"/>
            <w:bottom w:val="none" w:sz="0" w:space="0" w:color="auto"/>
            <w:right w:val="none" w:sz="0" w:space="0" w:color="auto"/>
          </w:divBdr>
          <w:divsChild>
            <w:div w:id="1555387589">
              <w:marLeft w:val="0"/>
              <w:marRight w:val="0"/>
              <w:marTop w:val="0"/>
              <w:marBottom w:val="0"/>
              <w:divBdr>
                <w:top w:val="none" w:sz="0" w:space="0" w:color="auto"/>
                <w:left w:val="none" w:sz="0" w:space="0" w:color="auto"/>
                <w:bottom w:val="none" w:sz="0" w:space="0" w:color="auto"/>
                <w:right w:val="none" w:sz="0" w:space="0" w:color="auto"/>
              </w:divBdr>
            </w:div>
          </w:divsChild>
        </w:div>
        <w:div w:id="584338126">
          <w:marLeft w:val="0"/>
          <w:marRight w:val="0"/>
          <w:marTop w:val="0"/>
          <w:marBottom w:val="0"/>
          <w:divBdr>
            <w:top w:val="none" w:sz="0" w:space="0" w:color="auto"/>
            <w:left w:val="none" w:sz="0" w:space="0" w:color="auto"/>
            <w:bottom w:val="none" w:sz="0" w:space="0" w:color="auto"/>
            <w:right w:val="none" w:sz="0" w:space="0" w:color="auto"/>
          </w:divBdr>
          <w:divsChild>
            <w:div w:id="2012633852">
              <w:marLeft w:val="0"/>
              <w:marRight w:val="0"/>
              <w:marTop w:val="0"/>
              <w:marBottom w:val="0"/>
              <w:divBdr>
                <w:top w:val="none" w:sz="0" w:space="0" w:color="auto"/>
                <w:left w:val="none" w:sz="0" w:space="0" w:color="auto"/>
                <w:bottom w:val="none" w:sz="0" w:space="0" w:color="auto"/>
                <w:right w:val="none" w:sz="0" w:space="0" w:color="auto"/>
              </w:divBdr>
            </w:div>
          </w:divsChild>
        </w:div>
        <w:div w:id="665400514">
          <w:marLeft w:val="0"/>
          <w:marRight w:val="0"/>
          <w:marTop w:val="0"/>
          <w:marBottom w:val="0"/>
          <w:divBdr>
            <w:top w:val="none" w:sz="0" w:space="0" w:color="auto"/>
            <w:left w:val="none" w:sz="0" w:space="0" w:color="auto"/>
            <w:bottom w:val="none" w:sz="0" w:space="0" w:color="auto"/>
            <w:right w:val="none" w:sz="0" w:space="0" w:color="auto"/>
          </w:divBdr>
          <w:divsChild>
            <w:div w:id="1072119006">
              <w:marLeft w:val="0"/>
              <w:marRight w:val="0"/>
              <w:marTop w:val="0"/>
              <w:marBottom w:val="0"/>
              <w:divBdr>
                <w:top w:val="none" w:sz="0" w:space="0" w:color="auto"/>
                <w:left w:val="none" w:sz="0" w:space="0" w:color="auto"/>
                <w:bottom w:val="none" w:sz="0" w:space="0" w:color="auto"/>
                <w:right w:val="none" w:sz="0" w:space="0" w:color="auto"/>
              </w:divBdr>
            </w:div>
          </w:divsChild>
        </w:div>
        <w:div w:id="699939717">
          <w:marLeft w:val="0"/>
          <w:marRight w:val="0"/>
          <w:marTop w:val="0"/>
          <w:marBottom w:val="0"/>
          <w:divBdr>
            <w:top w:val="none" w:sz="0" w:space="0" w:color="auto"/>
            <w:left w:val="none" w:sz="0" w:space="0" w:color="auto"/>
            <w:bottom w:val="none" w:sz="0" w:space="0" w:color="auto"/>
            <w:right w:val="none" w:sz="0" w:space="0" w:color="auto"/>
          </w:divBdr>
          <w:divsChild>
            <w:div w:id="2112387602">
              <w:marLeft w:val="0"/>
              <w:marRight w:val="0"/>
              <w:marTop w:val="0"/>
              <w:marBottom w:val="0"/>
              <w:divBdr>
                <w:top w:val="none" w:sz="0" w:space="0" w:color="auto"/>
                <w:left w:val="none" w:sz="0" w:space="0" w:color="auto"/>
                <w:bottom w:val="none" w:sz="0" w:space="0" w:color="auto"/>
                <w:right w:val="none" w:sz="0" w:space="0" w:color="auto"/>
              </w:divBdr>
            </w:div>
          </w:divsChild>
        </w:div>
        <w:div w:id="713309321">
          <w:marLeft w:val="0"/>
          <w:marRight w:val="0"/>
          <w:marTop w:val="0"/>
          <w:marBottom w:val="0"/>
          <w:divBdr>
            <w:top w:val="none" w:sz="0" w:space="0" w:color="auto"/>
            <w:left w:val="none" w:sz="0" w:space="0" w:color="auto"/>
            <w:bottom w:val="none" w:sz="0" w:space="0" w:color="auto"/>
            <w:right w:val="none" w:sz="0" w:space="0" w:color="auto"/>
          </w:divBdr>
          <w:divsChild>
            <w:div w:id="146364246">
              <w:marLeft w:val="0"/>
              <w:marRight w:val="0"/>
              <w:marTop w:val="0"/>
              <w:marBottom w:val="0"/>
              <w:divBdr>
                <w:top w:val="none" w:sz="0" w:space="0" w:color="auto"/>
                <w:left w:val="none" w:sz="0" w:space="0" w:color="auto"/>
                <w:bottom w:val="none" w:sz="0" w:space="0" w:color="auto"/>
                <w:right w:val="none" w:sz="0" w:space="0" w:color="auto"/>
              </w:divBdr>
            </w:div>
          </w:divsChild>
        </w:div>
        <w:div w:id="725907775">
          <w:marLeft w:val="0"/>
          <w:marRight w:val="0"/>
          <w:marTop w:val="0"/>
          <w:marBottom w:val="0"/>
          <w:divBdr>
            <w:top w:val="none" w:sz="0" w:space="0" w:color="auto"/>
            <w:left w:val="none" w:sz="0" w:space="0" w:color="auto"/>
            <w:bottom w:val="none" w:sz="0" w:space="0" w:color="auto"/>
            <w:right w:val="none" w:sz="0" w:space="0" w:color="auto"/>
          </w:divBdr>
          <w:divsChild>
            <w:div w:id="745882173">
              <w:marLeft w:val="0"/>
              <w:marRight w:val="0"/>
              <w:marTop w:val="0"/>
              <w:marBottom w:val="0"/>
              <w:divBdr>
                <w:top w:val="none" w:sz="0" w:space="0" w:color="auto"/>
                <w:left w:val="none" w:sz="0" w:space="0" w:color="auto"/>
                <w:bottom w:val="none" w:sz="0" w:space="0" w:color="auto"/>
                <w:right w:val="none" w:sz="0" w:space="0" w:color="auto"/>
              </w:divBdr>
            </w:div>
          </w:divsChild>
        </w:div>
        <w:div w:id="755514980">
          <w:marLeft w:val="0"/>
          <w:marRight w:val="0"/>
          <w:marTop w:val="0"/>
          <w:marBottom w:val="0"/>
          <w:divBdr>
            <w:top w:val="none" w:sz="0" w:space="0" w:color="auto"/>
            <w:left w:val="none" w:sz="0" w:space="0" w:color="auto"/>
            <w:bottom w:val="none" w:sz="0" w:space="0" w:color="auto"/>
            <w:right w:val="none" w:sz="0" w:space="0" w:color="auto"/>
          </w:divBdr>
          <w:divsChild>
            <w:div w:id="1384283266">
              <w:marLeft w:val="0"/>
              <w:marRight w:val="0"/>
              <w:marTop w:val="0"/>
              <w:marBottom w:val="0"/>
              <w:divBdr>
                <w:top w:val="none" w:sz="0" w:space="0" w:color="auto"/>
                <w:left w:val="none" w:sz="0" w:space="0" w:color="auto"/>
                <w:bottom w:val="none" w:sz="0" w:space="0" w:color="auto"/>
                <w:right w:val="none" w:sz="0" w:space="0" w:color="auto"/>
              </w:divBdr>
            </w:div>
          </w:divsChild>
        </w:div>
        <w:div w:id="777603086">
          <w:marLeft w:val="0"/>
          <w:marRight w:val="0"/>
          <w:marTop w:val="0"/>
          <w:marBottom w:val="0"/>
          <w:divBdr>
            <w:top w:val="none" w:sz="0" w:space="0" w:color="auto"/>
            <w:left w:val="none" w:sz="0" w:space="0" w:color="auto"/>
            <w:bottom w:val="none" w:sz="0" w:space="0" w:color="auto"/>
            <w:right w:val="none" w:sz="0" w:space="0" w:color="auto"/>
          </w:divBdr>
          <w:divsChild>
            <w:div w:id="643658634">
              <w:marLeft w:val="0"/>
              <w:marRight w:val="0"/>
              <w:marTop w:val="0"/>
              <w:marBottom w:val="0"/>
              <w:divBdr>
                <w:top w:val="none" w:sz="0" w:space="0" w:color="auto"/>
                <w:left w:val="none" w:sz="0" w:space="0" w:color="auto"/>
                <w:bottom w:val="none" w:sz="0" w:space="0" w:color="auto"/>
                <w:right w:val="none" w:sz="0" w:space="0" w:color="auto"/>
              </w:divBdr>
            </w:div>
            <w:div w:id="910041288">
              <w:marLeft w:val="0"/>
              <w:marRight w:val="0"/>
              <w:marTop w:val="0"/>
              <w:marBottom w:val="0"/>
              <w:divBdr>
                <w:top w:val="none" w:sz="0" w:space="0" w:color="auto"/>
                <w:left w:val="none" w:sz="0" w:space="0" w:color="auto"/>
                <w:bottom w:val="none" w:sz="0" w:space="0" w:color="auto"/>
                <w:right w:val="none" w:sz="0" w:space="0" w:color="auto"/>
              </w:divBdr>
            </w:div>
          </w:divsChild>
        </w:div>
        <w:div w:id="781999079">
          <w:marLeft w:val="0"/>
          <w:marRight w:val="0"/>
          <w:marTop w:val="0"/>
          <w:marBottom w:val="0"/>
          <w:divBdr>
            <w:top w:val="none" w:sz="0" w:space="0" w:color="auto"/>
            <w:left w:val="none" w:sz="0" w:space="0" w:color="auto"/>
            <w:bottom w:val="none" w:sz="0" w:space="0" w:color="auto"/>
            <w:right w:val="none" w:sz="0" w:space="0" w:color="auto"/>
          </w:divBdr>
          <w:divsChild>
            <w:div w:id="883642051">
              <w:marLeft w:val="0"/>
              <w:marRight w:val="0"/>
              <w:marTop w:val="0"/>
              <w:marBottom w:val="0"/>
              <w:divBdr>
                <w:top w:val="none" w:sz="0" w:space="0" w:color="auto"/>
                <w:left w:val="none" w:sz="0" w:space="0" w:color="auto"/>
                <w:bottom w:val="none" w:sz="0" w:space="0" w:color="auto"/>
                <w:right w:val="none" w:sz="0" w:space="0" w:color="auto"/>
              </w:divBdr>
            </w:div>
          </w:divsChild>
        </w:div>
        <w:div w:id="815295796">
          <w:marLeft w:val="0"/>
          <w:marRight w:val="0"/>
          <w:marTop w:val="0"/>
          <w:marBottom w:val="0"/>
          <w:divBdr>
            <w:top w:val="none" w:sz="0" w:space="0" w:color="auto"/>
            <w:left w:val="none" w:sz="0" w:space="0" w:color="auto"/>
            <w:bottom w:val="none" w:sz="0" w:space="0" w:color="auto"/>
            <w:right w:val="none" w:sz="0" w:space="0" w:color="auto"/>
          </w:divBdr>
          <w:divsChild>
            <w:div w:id="89352020">
              <w:marLeft w:val="0"/>
              <w:marRight w:val="0"/>
              <w:marTop w:val="0"/>
              <w:marBottom w:val="0"/>
              <w:divBdr>
                <w:top w:val="none" w:sz="0" w:space="0" w:color="auto"/>
                <w:left w:val="none" w:sz="0" w:space="0" w:color="auto"/>
                <w:bottom w:val="none" w:sz="0" w:space="0" w:color="auto"/>
                <w:right w:val="none" w:sz="0" w:space="0" w:color="auto"/>
              </w:divBdr>
            </w:div>
          </w:divsChild>
        </w:div>
        <w:div w:id="879710908">
          <w:marLeft w:val="0"/>
          <w:marRight w:val="0"/>
          <w:marTop w:val="0"/>
          <w:marBottom w:val="0"/>
          <w:divBdr>
            <w:top w:val="none" w:sz="0" w:space="0" w:color="auto"/>
            <w:left w:val="none" w:sz="0" w:space="0" w:color="auto"/>
            <w:bottom w:val="none" w:sz="0" w:space="0" w:color="auto"/>
            <w:right w:val="none" w:sz="0" w:space="0" w:color="auto"/>
          </w:divBdr>
          <w:divsChild>
            <w:div w:id="1792284865">
              <w:marLeft w:val="0"/>
              <w:marRight w:val="0"/>
              <w:marTop w:val="0"/>
              <w:marBottom w:val="0"/>
              <w:divBdr>
                <w:top w:val="none" w:sz="0" w:space="0" w:color="auto"/>
                <w:left w:val="none" w:sz="0" w:space="0" w:color="auto"/>
                <w:bottom w:val="none" w:sz="0" w:space="0" w:color="auto"/>
                <w:right w:val="none" w:sz="0" w:space="0" w:color="auto"/>
              </w:divBdr>
            </w:div>
          </w:divsChild>
        </w:div>
        <w:div w:id="921833610">
          <w:marLeft w:val="0"/>
          <w:marRight w:val="0"/>
          <w:marTop w:val="0"/>
          <w:marBottom w:val="0"/>
          <w:divBdr>
            <w:top w:val="none" w:sz="0" w:space="0" w:color="auto"/>
            <w:left w:val="none" w:sz="0" w:space="0" w:color="auto"/>
            <w:bottom w:val="none" w:sz="0" w:space="0" w:color="auto"/>
            <w:right w:val="none" w:sz="0" w:space="0" w:color="auto"/>
          </w:divBdr>
          <w:divsChild>
            <w:div w:id="964844909">
              <w:marLeft w:val="0"/>
              <w:marRight w:val="0"/>
              <w:marTop w:val="0"/>
              <w:marBottom w:val="0"/>
              <w:divBdr>
                <w:top w:val="none" w:sz="0" w:space="0" w:color="auto"/>
                <w:left w:val="none" w:sz="0" w:space="0" w:color="auto"/>
                <w:bottom w:val="none" w:sz="0" w:space="0" w:color="auto"/>
                <w:right w:val="none" w:sz="0" w:space="0" w:color="auto"/>
              </w:divBdr>
            </w:div>
          </w:divsChild>
        </w:div>
        <w:div w:id="953513081">
          <w:marLeft w:val="0"/>
          <w:marRight w:val="0"/>
          <w:marTop w:val="0"/>
          <w:marBottom w:val="0"/>
          <w:divBdr>
            <w:top w:val="none" w:sz="0" w:space="0" w:color="auto"/>
            <w:left w:val="none" w:sz="0" w:space="0" w:color="auto"/>
            <w:bottom w:val="none" w:sz="0" w:space="0" w:color="auto"/>
            <w:right w:val="none" w:sz="0" w:space="0" w:color="auto"/>
          </w:divBdr>
          <w:divsChild>
            <w:div w:id="1139802330">
              <w:marLeft w:val="0"/>
              <w:marRight w:val="0"/>
              <w:marTop w:val="0"/>
              <w:marBottom w:val="0"/>
              <w:divBdr>
                <w:top w:val="none" w:sz="0" w:space="0" w:color="auto"/>
                <w:left w:val="none" w:sz="0" w:space="0" w:color="auto"/>
                <w:bottom w:val="none" w:sz="0" w:space="0" w:color="auto"/>
                <w:right w:val="none" w:sz="0" w:space="0" w:color="auto"/>
              </w:divBdr>
            </w:div>
          </w:divsChild>
        </w:div>
        <w:div w:id="974337592">
          <w:marLeft w:val="0"/>
          <w:marRight w:val="0"/>
          <w:marTop w:val="0"/>
          <w:marBottom w:val="0"/>
          <w:divBdr>
            <w:top w:val="none" w:sz="0" w:space="0" w:color="auto"/>
            <w:left w:val="none" w:sz="0" w:space="0" w:color="auto"/>
            <w:bottom w:val="none" w:sz="0" w:space="0" w:color="auto"/>
            <w:right w:val="none" w:sz="0" w:space="0" w:color="auto"/>
          </w:divBdr>
          <w:divsChild>
            <w:div w:id="1650746580">
              <w:marLeft w:val="0"/>
              <w:marRight w:val="0"/>
              <w:marTop w:val="0"/>
              <w:marBottom w:val="0"/>
              <w:divBdr>
                <w:top w:val="none" w:sz="0" w:space="0" w:color="auto"/>
                <w:left w:val="none" w:sz="0" w:space="0" w:color="auto"/>
                <w:bottom w:val="none" w:sz="0" w:space="0" w:color="auto"/>
                <w:right w:val="none" w:sz="0" w:space="0" w:color="auto"/>
              </w:divBdr>
            </w:div>
          </w:divsChild>
        </w:div>
        <w:div w:id="1089429343">
          <w:marLeft w:val="0"/>
          <w:marRight w:val="0"/>
          <w:marTop w:val="0"/>
          <w:marBottom w:val="0"/>
          <w:divBdr>
            <w:top w:val="none" w:sz="0" w:space="0" w:color="auto"/>
            <w:left w:val="none" w:sz="0" w:space="0" w:color="auto"/>
            <w:bottom w:val="none" w:sz="0" w:space="0" w:color="auto"/>
            <w:right w:val="none" w:sz="0" w:space="0" w:color="auto"/>
          </w:divBdr>
          <w:divsChild>
            <w:div w:id="2097239154">
              <w:marLeft w:val="0"/>
              <w:marRight w:val="0"/>
              <w:marTop w:val="0"/>
              <w:marBottom w:val="0"/>
              <w:divBdr>
                <w:top w:val="none" w:sz="0" w:space="0" w:color="auto"/>
                <w:left w:val="none" w:sz="0" w:space="0" w:color="auto"/>
                <w:bottom w:val="none" w:sz="0" w:space="0" w:color="auto"/>
                <w:right w:val="none" w:sz="0" w:space="0" w:color="auto"/>
              </w:divBdr>
            </w:div>
          </w:divsChild>
        </w:div>
        <w:div w:id="1093280390">
          <w:marLeft w:val="0"/>
          <w:marRight w:val="0"/>
          <w:marTop w:val="0"/>
          <w:marBottom w:val="0"/>
          <w:divBdr>
            <w:top w:val="none" w:sz="0" w:space="0" w:color="auto"/>
            <w:left w:val="none" w:sz="0" w:space="0" w:color="auto"/>
            <w:bottom w:val="none" w:sz="0" w:space="0" w:color="auto"/>
            <w:right w:val="none" w:sz="0" w:space="0" w:color="auto"/>
          </w:divBdr>
          <w:divsChild>
            <w:div w:id="1489205191">
              <w:marLeft w:val="0"/>
              <w:marRight w:val="0"/>
              <w:marTop w:val="0"/>
              <w:marBottom w:val="0"/>
              <w:divBdr>
                <w:top w:val="none" w:sz="0" w:space="0" w:color="auto"/>
                <w:left w:val="none" w:sz="0" w:space="0" w:color="auto"/>
                <w:bottom w:val="none" w:sz="0" w:space="0" w:color="auto"/>
                <w:right w:val="none" w:sz="0" w:space="0" w:color="auto"/>
              </w:divBdr>
            </w:div>
          </w:divsChild>
        </w:div>
        <w:div w:id="1191651508">
          <w:marLeft w:val="0"/>
          <w:marRight w:val="0"/>
          <w:marTop w:val="0"/>
          <w:marBottom w:val="0"/>
          <w:divBdr>
            <w:top w:val="none" w:sz="0" w:space="0" w:color="auto"/>
            <w:left w:val="none" w:sz="0" w:space="0" w:color="auto"/>
            <w:bottom w:val="none" w:sz="0" w:space="0" w:color="auto"/>
            <w:right w:val="none" w:sz="0" w:space="0" w:color="auto"/>
          </w:divBdr>
          <w:divsChild>
            <w:div w:id="275909961">
              <w:marLeft w:val="0"/>
              <w:marRight w:val="0"/>
              <w:marTop w:val="0"/>
              <w:marBottom w:val="0"/>
              <w:divBdr>
                <w:top w:val="none" w:sz="0" w:space="0" w:color="auto"/>
                <w:left w:val="none" w:sz="0" w:space="0" w:color="auto"/>
                <w:bottom w:val="none" w:sz="0" w:space="0" w:color="auto"/>
                <w:right w:val="none" w:sz="0" w:space="0" w:color="auto"/>
              </w:divBdr>
            </w:div>
          </w:divsChild>
        </w:div>
        <w:div w:id="1225919604">
          <w:marLeft w:val="0"/>
          <w:marRight w:val="0"/>
          <w:marTop w:val="0"/>
          <w:marBottom w:val="0"/>
          <w:divBdr>
            <w:top w:val="none" w:sz="0" w:space="0" w:color="auto"/>
            <w:left w:val="none" w:sz="0" w:space="0" w:color="auto"/>
            <w:bottom w:val="none" w:sz="0" w:space="0" w:color="auto"/>
            <w:right w:val="none" w:sz="0" w:space="0" w:color="auto"/>
          </w:divBdr>
          <w:divsChild>
            <w:div w:id="314183513">
              <w:marLeft w:val="0"/>
              <w:marRight w:val="0"/>
              <w:marTop w:val="0"/>
              <w:marBottom w:val="0"/>
              <w:divBdr>
                <w:top w:val="none" w:sz="0" w:space="0" w:color="auto"/>
                <w:left w:val="none" w:sz="0" w:space="0" w:color="auto"/>
                <w:bottom w:val="none" w:sz="0" w:space="0" w:color="auto"/>
                <w:right w:val="none" w:sz="0" w:space="0" w:color="auto"/>
              </w:divBdr>
            </w:div>
          </w:divsChild>
        </w:div>
        <w:div w:id="1275672463">
          <w:marLeft w:val="0"/>
          <w:marRight w:val="0"/>
          <w:marTop w:val="0"/>
          <w:marBottom w:val="0"/>
          <w:divBdr>
            <w:top w:val="none" w:sz="0" w:space="0" w:color="auto"/>
            <w:left w:val="none" w:sz="0" w:space="0" w:color="auto"/>
            <w:bottom w:val="none" w:sz="0" w:space="0" w:color="auto"/>
            <w:right w:val="none" w:sz="0" w:space="0" w:color="auto"/>
          </w:divBdr>
          <w:divsChild>
            <w:div w:id="254288403">
              <w:marLeft w:val="0"/>
              <w:marRight w:val="0"/>
              <w:marTop w:val="0"/>
              <w:marBottom w:val="0"/>
              <w:divBdr>
                <w:top w:val="none" w:sz="0" w:space="0" w:color="auto"/>
                <w:left w:val="none" w:sz="0" w:space="0" w:color="auto"/>
                <w:bottom w:val="none" w:sz="0" w:space="0" w:color="auto"/>
                <w:right w:val="none" w:sz="0" w:space="0" w:color="auto"/>
              </w:divBdr>
            </w:div>
          </w:divsChild>
        </w:div>
        <w:div w:id="1336766291">
          <w:marLeft w:val="0"/>
          <w:marRight w:val="0"/>
          <w:marTop w:val="0"/>
          <w:marBottom w:val="0"/>
          <w:divBdr>
            <w:top w:val="none" w:sz="0" w:space="0" w:color="auto"/>
            <w:left w:val="none" w:sz="0" w:space="0" w:color="auto"/>
            <w:bottom w:val="none" w:sz="0" w:space="0" w:color="auto"/>
            <w:right w:val="none" w:sz="0" w:space="0" w:color="auto"/>
          </w:divBdr>
          <w:divsChild>
            <w:div w:id="343868568">
              <w:marLeft w:val="0"/>
              <w:marRight w:val="0"/>
              <w:marTop w:val="0"/>
              <w:marBottom w:val="0"/>
              <w:divBdr>
                <w:top w:val="none" w:sz="0" w:space="0" w:color="auto"/>
                <w:left w:val="none" w:sz="0" w:space="0" w:color="auto"/>
                <w:bottom w:val="none" w:sz="0" w:space="0" w:color="auto"/>
                <w:right w:val="none" w:sz="0" w:space="0" w:color="auto"/>
              </w:divBdr>
            </w:div>
          </w:divsChild>
        </w:div>
        <w:div w:id="1389496481">
          <w:marLeft w:val="0"/>
          <w:marRight w:val="0"/>
          <w:marTop w:val="0"/>
          <w:marBottom w:val="0"/>
          <w:divBdr>
            <w:top w:val="none" w:sz="0" w:space="0" w:color="auto"/>
            <w:left w:val="none" w:sz="0" w:space="0" w:color="auto"/>
            <w:bottom w:val="none" w:sz="0" w:space="0" w:color="auto"/>
            <w:right w:val="none" w:sz="0" w:space="0" w:color="auto"/>
          </w:divBdr>
          <w:divsChild>
            <w:div w:id="900403974">
              <w:marLeft w:val="0"/>
              <w:marRight w:val="0"/>
              <w:marTop w:val="0"/>
              <w:marBottom w:val="0"/>
              <w:divBdr>
                <w:top w:val="none" w:sz="0" w:space="0" w:color="auto"/>
                <w:left w:val="none" w:sz="0" w:space="0" w:color="auto"/>
                <w:bottom w:val="none" w:sz="0" w:space="0" w:color="auto"/>
                <w:right w:val="none" w:sz="0" w:space="0" w:color="auto"/>
              </w:divBdr>
            </w:div>
          </w:divsChild>
        </w:div>
        <w:div w:id="1461918210">
          <w:marLeft w:val="0"/>
          <w:marRight w:val="0"/>
          <w:marTop w:val="0"/>
          <w:marBottom w:val="0"/>
          <w:divBdr>
            <w:top w:val="none" w:sz="0" w:space="0" w:color="auto"/>
            <w:left w:val="none" w:sz="0" w:space="0" w:color="auto"/>
            <w:bottom w:val="none" w:sz="0" w:space="0" w:color="auto"/>
            <w:right w:val="none" w:sz="0" w:space="0" w:color="auto"/>
          </w:divBdr>
          <w:divsChild>
            <w:div w:id="907302216">
              <w:marLeft w:val="0"/>
              <w:marRight w:val="0"/>
              <w:marTop w:val="0"/>
              <w:marBottom w:val="0"/>
              <w:divBdr>
                <w:top w:val="none" w:sz="0" w:space="0" w:color="auto"/>
                <w:left w:val="none" w:sz="0" w:space="0" w:color="auto"/>
                <w:bottom w:val="none" w:sz="0" w:space="0" w:color="auto"/>
                <w:right w:val="none" w:sz="0" w:space="0" w:color="auto"/>
              </w:divBdr>
            </w:div>
          </w:divsChild>
        </w:div>
        <w:div w:id="1489249546">
          <w:marLeft w:val="0"/>
          <w:marRight w:val="0"/>
          <w:marTop w:val="0"/>
          <w:marBottom w:val="0"/>
          <w:divBdr>
            <w:top w:val="none" w:sz="0" w:space="0" w:color="auto"/>
            <w:left w:val="none" w:sz="0" w:space="0" w:color="auto"/>
            <w:bottom w:val="none" w:sz="0" w:space="0" w:color="auto"/>
            <w:right w:val="none" w:sz="0" w:space="0" w:color="auto"/>
          </w:divBdr>
          <w:divsChild>
            <w:div w:id="2023893004">
              <w:marLeft w:val="0"/>
              <w:marRight w:val="0"/>
              <w:marTop w:val="0"/>
              <w:marBottom w:val="0"/>
              <w:divBdr>
                <w:top w:val="none" w:sz="0" w:space="0" w:color="auto"/>
                <w:left w:val="none" w:sz="0" w:space="0" w:color="auto"/>
                <w:bottom w:val="none" w:sz="0" w:space="0" w:color="auto"/>
                <w:right w:val="none" w:sz="0" w:space="0" w:color="auto"/>
              </w:divBdr>
            </w:div>
          </w:divsChild>
        </w:div>
        <w:div w:id="1648242498">
          <w:marLeft w:val="0"/>
          <w:marRight w:val="0"/>
          <w:marTop w:val="0"/>
          <w:marBottom w:val="0"/>
          <w:divBdr>
            <w:top w:val="none" w:sz="0" w:space="0" w:color="auto"/>
            <w:left w:val="none" w:sz="0" w:space="0" w:color="auto"/>
            <w:bottom w:val="none" w:sz="0" w:space="0" w:color="auto"/>
            <w:right w:val="none" w:sz="0" w:space="0" w:color="auto"/>
          </w:divBdr>
          <w:divsChild>
            <w:div w:id="1829588987">
              <w:marLeft w:val="0"/>
              <w:marRight w:val="0"/>
              <w:marTop w:val="0"/>
              <w:marBottom w:val="0"/>
              <w:divBdr>
                <w:top w:val="none" w:sz="0" w:space="0" w:color="auto"/>
                <w:left w:val="none" w:sz="0" w:space="0" w:color="auto"/>
                <w:bottom w:val="none" w:sz="0" w:space="0" w:color="auto"/>
                <w:right w:val="none" w:sz="0" w:space="0" w:color="auto"/>
              </w:divBdr>
            </w:div>
          </w:divsChild>
        </w:div>
        <w:div w:id="1677535971">
          <w:marLeft w:val="0"/>
          <w:marRight w:val="0"/>
          <w:marTop w:val="0"/>
          <w:marBottom w:val="0"/>
          <w:divBdr>
            <w:top w:val="none" w:sz="0" w:space="0" w:color="auto"/>
            <w:left w:val="none" w:sz="0" w:space="0" w:color="auto"/>
            <w:bottom w:val="none" w:sz="0" w:space="0" w:color="auto"/>
            <w:right w:val="none" w:sz="0" w:space="0" w:color="auto"/>
          </w:divBdr>
          <w:divsChild>
            <w:div w:id="1788963913">
              <w:marLeft w:val="0"/>
              <w:marRight w:val="0"/>
              <w:marTop w:val="0"/>
              <w:marBottom w:val="0"/>
              <w:divBdr>
                <w:top w:val="none" w:sz="0" w:space="0" w:color="auto"/>
                <w:left w:val="none" w:sz="0" w:space="0" w:color="auto"/>
                <w:bottom w:val="none" w:sz="0" w:space="0" w:color="auto"/>
                <w:right w:val="none" w:sz="0" w:space="0" w:color="auto"/>
              </w:divBdr>
            </w:div>
          </w:divsChild>
        </w:div>
        <w:div w:id="1680890658">
          <w:marLeft w:val="0"/>
          <w:marRight w:val="0"/>
          <w:marTop w:val="0"/>
          <w:marBottom w:val="0"/>
          <w:divBdr>
            <w:top w:val="none" w:sz="0" w:space="0" w:color="auto"/>
            <w:left w:val="none" w:sz="0" w:space="0" w:color="auto"/>
            <w:bottom w:val="none" w:sz="0" w:space="0" w:color="auto"/>
            <w:right w:val="none" w:sz="0" w:space="0" w:color="auto"/>
          </w:divBdr>
          <w:divsChild>
            <w:div w:id="1524516404">
              <w:marLeft w:val="0"/>
              <w:marRight w:val="0"/>
              <w:marTop w:val="0"/>
              <w:marBottom w:val="0"/>
              <w:divBdr>
                <w:top w:val="none" w:sz="0" w:space="0" w:color="auto"/>
                <w:left w:val="none" w:sz="0" w:space="0" w:color="auto"/>
                <w:bottom w:val="none" w:sz="0" w:space="0" w:color="auto"/>
                <w:right w:val="none" w:sz="0" w:space="0" w:color="auto"/>
              </w:divBdr>
            </w:div>
          </w:divsChild>
        </w:div>
        <w:div w:id="1720781553">
          <w:marLeft w:val="0"/>
          <w:marRight w:val="0"/>
          <w:marTop w:val="0"/>
          <w:marBottom w:val="0"/>
          <w:divBdr>
            <w:top w:val="none" w:sz="0" w:space="0" w:color="auto"/>
            <w:left w:val="none" w:sz="0" w:space="0" w:color="auto"/>
            <w:bottom w:val="none" w:sz="0" w:space="0" w:color="auto"/>
            <w:right w:val="none" w:sz="0" w:space="0" w:color="auto"/>
          </w:divBdr>
          <w:divsChild>
            <w:div w:id="1026523011">
              <w:marLeft w:val="0"/>
              <w:marRight w:val="0"/>
              <w:marTop w:val="0"/>
              <w:marBottom w:val="0"/>
              <w:divBdr>
                <w:top w:val="none" w:sz="0" w:space="0" w:color="auto"/>
                <w:left w:val="none" w:sz="0" w:space="0" w:color="auto"/>
                <w:bottom w:val="none" w:sz="0" w:space="0" w:color="auto"/>
                <w:right w:val="none" w:sz="0" w:space="0" w:color="auto"/>
              </w:divBdr>
            </w:div>
          </w:divsChild>
        </w:div>
        <w:div w:id="1727487841">
          <w:marLeft w:val="0"/>
          <w:marRight w:val="0"/>
          <w:marTop w:val="0"/>
          <w:marBottom w:val="0"/>
          <w:divBdr>
            <w:top w:val="none" w:sz="0" w:space="0" w:color="auto"/>
            <w:left w:val="none" w:sz="0" w:space="0" w:color="auto"/>
            <w:bottom w:val="none" w:sz="0" w:space="0" w:color="auto"/>
            <w:right w:val="none" w:sz="0" w:space="0" w:color="auto"/>
          </w:divBdr>
          <w:divsChild>
            <w:div w:id="2060977362">
              <w:marLeft w:val="0"/>
              <w:marRight w:val="0"/>
              <w:marTop w:val="0"/>
              <w:marBottom w:val="0"/>
              <w:divBdr>
                <w:top w:val="none" w:sz="0" w:space="0" w:color="auto"/>
                <w:left w:val="none" w:sz="0" w:space="0" w:color="auto"/>
                <w:bottom w:val="none" w:sz="0" w:space="0" w:color="auto"/>
                <w:right w:val="none" w:sz="0" w:space="0" w:color="auto"/>
              </w:divBdr>
            </w:div>
          </w:divsChild>
        </w:div>
        <w:div w:id="1765539877">
          <w:marLeft w:val="0"/>
          <w:marRight w:val="0"/>
          <w:marTop w:val="0"/>
          <w:marBottom w:val="0"/>
          <w:divBdr>
            <w:top w:val="none" w:sz="0" w:space="0" w:color="auto"/>
            <w:left w:val="none" w:sz="0" w:space="0" w:color="auto"/>
            <w:bottom w:val="none" w:sz="0" w:space="0" w:color="auto"/>
            <w:right w:val="none" w:sz="0" w:space="0" w:color="auto"/>
          </w:divBdr>
          <w:divsChild>
            <w:div w:id="706949970">
              <w:marLeft w:val="0"/>
              <w:marRight w:val="0"/>
              <w:marTop w:val="0"/>
              <w:marBottom w:val="0"/>
              <w:divBdr>
                <w:top w:val="none" w:sz="0" w:space="0" w:color="auto"/>
                <w:left w:val="none" w:sz="0" w:space="0" w:color="auto"/>
                <w:bottom w:val="none" w:sz="0" w:space="0" w:color="auto"/>
                <w:right w:val="none" w:sz="0" w:space="0" w:color="auto"/>
              </w:divBdr>
            </w:div>
          </w:divsChild>
        </w:div>
        <w:div w:id="1795521993">
          <w:marLeft w:val="0"/>
          <w:marRight w:val="0"/>
          <w:marTop w:val="0"/>
          <w:marBottom w:val="0"/>
          <w:divBdr>
            <w:top w:val="none" w:sz="0" w:space="0" w:color="auto"/>
            <w:left w:val="none" w:sz="0" w:space="0" w:color="auto"/>
            <w:bottom w:val="none" w:sz="0" w:space="0" w:color="auto"/>
            <w:right w:val="none" w:sz="0" w:space="0" w:color="auto"/>
          </w:divBdr>
          <w:divsChild>
            <w:div w:id="336032635">
              <w:marLeft w:val="0"/>
              <w:marRight w:val="0"/>
              <w:marTop w:val="0"/>
              <w:marBottom w:val="0"/>
              <w:divBdr>
                <w:top w:val="none" w:sz="0" w:space="0" w:color="auto"/>
                <w:left w:val="none" w:sz="0" w:space="0" w:color="auto"/>
                <w:bottom w:val="none" w:sz="0" w:space="0" w:color="auto"/>
                <w:right w:val="none" w:sz="0" w:space="0" w:color="auto"/>
              </w:divBdr>
            </w:div>
          </w:divsChild>
        </w:div>
        <w:div w:id="1907035183">
          <w:marLeft w:val="0"/>
          <w:marRight w:val="0"/>
          <w:marTop w:val="0"/>
          <w:marBottom w:val="0"/>
          <w:divBdr>
            <w:top w:val="none" w:sz="0" w:space="0" w:color="auto"/>
            <w:left w:val="none" w:sz="0" w:space="0" w:color="auto"/>
            <w:bottom w:val="none" w:sz="0" w:space="0" w:color="auto"/>
            <w:right w:val="none" w:sz="0" w:space="0" w:color="auto"/>
          </w:divBdr>
          <w:divsChild>
            <w:div w:id="98834897">
              <w:marLeft w:val="0"/>
              <w:marRight w:val="0"/>
              <w:marTop w:val="0"/>
              <w:marBottom w:val="0"/>
              <w:divBdr>
                <w:top w:val="none" w:sz="0" w:space="0" w:color="auto"/>
                <w:left w:val="none" w:sz="0" w:space="0" w:color="auto"/>
                <w:bottom w:val="none" w:sz="0" w:space="0" w:color="auto"/>
                <w:right w:val="none" w:sz="0" w:space="0" w:color="auto"/>
              </w:divBdr>
            </w:div>
          </w:divsChild>
        </w:div>
        <w:div w:id="1923223274">
          <w:marLeft w:val="0"/>
          <w:marRight w:val="0"/>
          <w:marTop w:val="0"/>
          <w:marBottom w:val="0"/>
          <w:divBdr>
            <w:top w:val="none" w:sz="0" w:space="0" w:color="auto"/>
            <w:left w:val="none" w:sz="0" w:space="0" w:color="auto"/>
            <w:bottom w:val="none" w:sz="0" w:space="0" w:color="auto"/>
            <w:right w:val="none" w:sz="0" w:space="0" w:color="auto"/>
          </w:divBdr>
          <w:divsChild>
            <w:div w:id="1599753117">
              <w:marLeft w:val="0"/>
              <w:marRight w:val="0"/>
              <w:marTop w:val="0"/>
              <w:marBottom w:val="0"/>
              <w:divBdr>
                <w:top w:val="none" w:sz="0" w:space="0" w:color="auto"/>
                <w:left w:val="none" w:sz="0" w:space="0" w:color="auto"/>
                <w:bottom w:val="none" w:sz="0" w:space="0" w:color="auto"/>
                <w:right w:val="none" w:sz="0" w:space="0" w:color="auto"/>
              </w:divBdr>
            </w:div>
          </w:divsChild>
        </w:div>
        <w:div w:id="1949508960">
          <w:marLeft w:val="0"/>
          <w:marRight w:val="0"/>
          <w:marTop w:val="0"/>
          <w:marBottom w:val="0"/>
          <w:divBdr>
            <w:top w:val="none" w:sz="0" w:space="0" w:color="auto"/>
            <w:left w:val="none" w:sz="0" w:space="0" w:color="auto"/>
            <w:bottom w:val="none" w:sz="0" w:space="0" w:color="auto"/>
            <w:right w:val="none" w:sz="0" w:space="0" w:color="auto"/>
          </w:divBdr>
          <w:divsChild>
            <w:div w:id="1949846927">
              <w:marLeft w:val="0"/>
              <w:marRight w:val="0"/>
              <w:marTop w:val="0"/>
              <w:marBottom w:val="0"/>
              <w:divBdr>
                <w:top w:val="none" w:sz="0" w:space="0" w:color="auto"/>
                <w:left w:val="none" w:sz="0" w:space="0" w:color="auto"/>
                <w:bottom w:val="none" w:sz="0" w:space="0" w:color="auto"/>
                <w:right w:val="none" w:sz="0" w:space="0" w:color="auto"/>
              </w:divBdr>
            </w:div>
          </w:divsChild>
        </w:div>
        <w:div w:id="2105757878">
          <w:marLeft w:val="0"/>
          <w:marRight w:val="0"/>
          <w:marTop w:val="0"/>
          <w:marBottom w:val="0"/>
          <w:divBdr>
            <w:top w:val="none" w:sz="0" w:space="0" w:color="auto"/>
            <w:left w:val="none" w:sz="0" w:space="0" w:color="auto"/>
            <w:bottom w:val="none" w:sz="0" w:space="0" w:color="auto"/>
            <w:right w:val="none" w:sz="0" w:space="0" w:color="auto"/>
          </w:divBdr>
          <w:divsChild>
            <w:div w:id="655649926">
              <w:marLeft w:val="0"/>
              <w:marRight w:val="0"/>
              <w:marTop w:val="0"/>
              <w:marBottom w:val="0"/>
              <w:divBdr>
                <w:top w:val="none" w:sz="0" w:space="0" w:color="auto"/>
                <w:left w:val="none" w:sz="0" w:space="0" w:color="auto"/>
                <w:bottom w:val="none" w:sz="0" w:space="0" w:color="auto"/>
                <w:right w:val="none" w:sz="0" w:space="0" w:color="auto"/>
              </w:divBdr>
            </w:div>
          </w:divsChild>
        </w:div>
        <w:div w:id="2113282987">
          <w:marLeft w:val="0"/>
          <w:marRight w:val="0"/>
          <w:marTop w:val="0"/>
          <w:marBottom w:val="0"/>
          <w:divBdr>
            <w:top w:val="none" w:sz="0" w:space="0" w:color="auto"/>
            <w:left w:val="none" w:sz="0" w:space="0" w:color="auto"/>
            <w:bottom w:val="none" w:sz="0" w:space="0" w:color="auto"/>
            <w:right w:val="none" w:sz="0" w:space="0" w:color="auto"/>
          </w:divBdr>
          <w:divsChild>
            <w:div w:id="15927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69275">
      <w:bodyDiv w:val="1"/>
      <w:marLeft w:val="0"/>
      <w:marRight w:val="0"/>
      <w:marTop w:val="0"/>
      <w:marBottom w:val="0"/>
      <w:divBdr>
        <w:top w:val="none" w:sz="0" w:space="0" w:color="auto"/>
        <w:left w:val="none" w:sz="0" w:space="0" w:color="auto"/>
        <w:bottom w:val="none" w:sz="0" w:space="0" w:color="auto"/>
        <w:right w:val="none" w:sz="0" w:space="0" w:color="auto"/>
      </w:divBdr>
      <w:divsChild>
        <w:div w:id="316034676">
          <w:marLeft w:val="1080"/>
          <w:marRight w:val="0"/>
          <w:marTop w:val="0"/>
          <w:marBottom w:val="200"/>
          <w:divBdr>
            <w:top w:val="none" w:sz="0" w:space="0" w:color="auto"/>
            <w:left w:val="none" w:sz="0" w:space="0" w:color="auto"/>
            <w:bottom w:val="none" w:sz="0" w:space="0" w:color="auto"/>
            <w:right w:val="none" w:sz="0" w:space="0" w:color="auto"/>
          </w:divBdr>
        </w:div>
      </w:divsChild>
    </w:div>
    <w:div w:id="1627278350">
      <w:bodyDiv w:val="1"/>
      <w:marLeft w:val="0"/>
      <w:marRight w:val="0"/>
      <w:marTop w:val="0"/>
      <w:marBottom w:val="0"/>
      <w:divBdr>
        <w:top w:val="none" w:sz="0" w:space="0" w:color="auto"/>
        <w:left w:val="none" w:sz="0" w:space="0" w:color="auto"/>
        <w:bottom w:val="none" w:sz="0" w:space="0" w:color="auto"/>
        <w:right w:val="none" w:sz="0" w:space="0" w:color="auto"/>
      </w:divBdr>
      <w:divsChild>
        <w:div w:id="58211376">
          <w:marLeft w:val="0"/>
          <w:marRight w:val="0"/>
          <w:marTop w:val="0"/>
          <w:marBottom w:val="0"/>
          <w:divBdr>
            <w:top w:val="none" w:sz="0" w:space="0" w:color="auto"/>
            <w:left w:val="none" w:sz="0" w:space="0" w:color="auto"/>
            <w:bottom w:val="none" w:sz="0" w:space="0" w:color="auto"/>
            <w:right w:val="none" w:sz="0" w:space="0" w:color="auto"/>
          </w:divBdr>
        </w:div>
        <w:div w:id="201795278">
          <w:marLeft w:val="0"/>
          <w:marRight w:val="0"/>
          <w:marTop w:val="0"/>
          <w:marBottom w:val="0"/>
          <w:divBdr>
            <w:top w:val="none" w:sz="0" w:space="0" w:color="auto"/>
            <w:left w:val="none" w:sz="0" w:space="0" w:color="auto"/>
            <w:bottom w:val="none" w:sz="0" w:space="0" w:color="auto"/>
            <w:right w:val="none" w:sz="0" w:space="0" w:color="auto"/>
          </w:divBdr>
        </w:div>
        <w:div w:id="215362123">
          <w:marLeft w:val="0"/>
          <w:marRight w:val="0"/>
          <w:marTop w:val="0"/>
          <w:marBottom w:val="0"/>
          <w:divBdr>
            <w:top w:val="none" w:sz="0" w:space="0" w:color="auto"/>
            <w:left w:val="none" w:sz="0" w:space="0" w:color="auto"/>
            <w:bottom w:val="none" w:sz="0" w:space="0" w:color="auto"/>
            <w:right w:val="none" w:sz="0" w:space="0" w:color="auto"/>
          </w:divBdr>
        </w:div>
        <w:div w:id="436103505">
          <w:marLeft w:val="0"/>
          <w:marRight w:val="0"/>
          <w:marTop w:val="0"/>
          <w:marBottom w:val="0"/>
          <w:divBdr>
            <w:top w:val="none" w:sz="0" w:space="0" w:color="auto"/>
            <w:left w:val="none" w:sz="0" w:space="0" w:color="auto"/>
            <w:bottom w:val="none" w:sz="0" w:space="0" w:color="auto"/>
            <w:right w:val="none" w:sz="0" w:space="0" w:color="auto"/>
          </w:divBdr>
        </w:div>
        <w:div w:id="457073137">
          <w:marLeft w:val="0"/>
          <w:marRight w:val="0"/>
          <w:marTop w:val="0"/>
          <w:marBottom w:val="0"/>
          <w:divBdr>
            <w:top w:val="none" w:sz="0" w:space="0" w:color="auto"/>
            <w:left w:val="none" w:sz="0" w:space="0" w:color="auto"/>
            <w:bottom w:val="none" w:sz="0" w:space="0" w:color="auto"/>
            <w:right w:val="none" w:sz="0" w:space="0" w:color="auto"/>
          </w:divBdr>
        </w:div>
        <w:div w:id="1108695680">
          <w:marLeft w:val="0"/>
          <w:marRight w:val="0"/>
          <w:marTop w:val="0"/>
          <w:marBottom w:val="0"/>
          <w:divBdr>
            <w:top w:val="none" w:sz="0" w:space="0" w:color="auto"/>
            <w:left w:val="none" w:sz="0" w:space="0" w:color="auto"/>
            <w:bottom w:val="none" w:sz="0" w:space="0" w:color="auto"/>
            <w:right w:val="none" w:sz="0" w:space="0" w:color="auto"/>
          </w:divBdr>
        </w:div>
        <w:div w:id="1500316685">
          <w:marLeft w:val="0"/>
          <w:marRight w:val="0"/>
          <w:marTop w:val="0"/>
          <w:marBottom w:val="0"/>
          <w:divBdr>
            <w:top w:val="none" w:sz="0" w:space="0" w:color="auto"/>
            <w:left w:val="none" w:sz="0" w:space="0" w:color="auto"/>
            <w:bottom w:val="none" w:sz="0" w:space="0" w:color="auto"/>
            <w:right w:val="none" w:sz="0" w:space="0" w:color="auto"/>
          </w:divBdr>
        </w:div>
      </w:divsChild>
    </w:div>
    <w:div w:id="1676109758">
      <w:bodyDiv w:val="1"/>
      <w:marLeft w:val="0"/>
      <w:marRight w:val="0"/>
      <w:marTop w:val="0"/>
      <w:marBottom w:val="0"/>
      <w:divBdr>
        <w:top w:val="none" w:sz="0" w:space="0" w:color="auto"/>
        <w:left w:val="none" w:sz="0" w:space="0" w:color="auto"/>
        <w:bottom w:val="none" w:sz="0" w:space="0" w:color="auto"/>
        <w:right w:val="none" w:sz="0" w:space="0" w:color="auto"/>
      </w:divBdr>
    </w:div>
    <w:div w:id="1714815342">
      <w:bodyDiv w:val="1"/>
      <w:marLeft w:val="0"/>
      <w:marRight w:val="0"/>
      <w:marTop w:val="0"/>
      <w:marBottom w:val="0"/>
      <w:divBdr>
        <w:top w:val="none" w:sz="0" w:space="0" w:color="auto"/>
        <w:left w:val="none" w:sz="0" w:space="0" w:color="auto"/>
        <w:bottom w:val="none" w:sz="0" w:space="0" w:color="auto"/>
        <w:right w:val="none" w:sz="0" w:space="0" w:color="auto"/>
      </w:divBdr>
      <w:divsChild>
        <w:div w:id="55252502">
          <w:marLeft w:val="0"/>
          <w:marRight w:val="0"/>
          <w:marTop w:val="0"/>
          <w:marBottom w:val="0"/>
          <w:divBdr>
            <w:top w:val="none" w:sz="0" w:space="0" w:color="auto"/>
            <w:left w:val="none" w:sz="0" w:space="0" w:color="auto"/>
            <w:bottom w:val="none" w:sz="0" w:space="0" w:color="auto"/>
            <w:right w:val="none" w:sz="0" w:space="0" w:color="auto"/>
          </w:divBdr>
        </w:div>
        <w:div w:id="111362097">
          <w:marLeft w:val="0"/>
          <w:marRight w:val="0"/>
          <w:marTop w:val="0"/>
          <w:marBottom w:val="0"/>
          <w:divBdr>
            <w:top w:val="none" w:sz="0" w:space="0" w:color="auto"/>
            <w:left w:val="none" w:sz="0" w:space="0" w:color="auto"/>
            <w:bottom w:val="none" w:sz="0" w:space="0" w:color="auto"/>
            <w:right w:val="none" w:sz="0" w:space="0" w:color="auto"/>
          </w:divBdr>
        </w:div>
        <w:div w:id="129055406">
          <w:marLeft w:val="0"/>
          <w:marRight w:val="0"/>
          <w:marTop w:val="0"/>
          <w:marBottom w:val="0"/>
          <w:divBdr>
            <w:top w:val="none" w:sz="0" w:space="0" w:color="auto"/>
            <w:left w:val="none" w:sz="0" w:space="0" w:color="auto"/>
            <w:bottom w:val="none" w:sz="0" w:space="0" w:color="auto"/>
            <w:right w:val="none" w:sz="0" w:space="0" w:color="auto"/>
          </w:divBdr>
        </w:div>
        <w:div w:id="213009556">
          <w:marLeft w:val="0"/>
          <w:marRight w:val="0"/>
          <w:marTop w:val="0"/>
          <w:marBottom w:val="0"/>
          <w:divBdr>
            <w:top w:val="none" w:sz="0" w:space="0" w:color="auto"/>
            <w:left w:val="none" w:sz="0" w:space="0" w:color="auto"/>
            <w:bottom w:val="none" w:sz="0" w:space="0" w:color="auto"/>
            <w:right w:val="none" w:sz="0" w:space="0" w:color="auto"/>
          </w:divBdr>
        </w:div>
        <w:div w:id="252663902">
          <w:marLeft w:val="-75"/>
          <w:marRight w:val="0"/>
          <w:marTop w:val="30"/>
          <w:marBottom w:val="30"/>
          <w:divBdr>
            <w:top w:val="none" w:sz="0" w:space="0" w:color="auto"/>
            <w:left w:val="none" w:sz="0" w:space="0" w:color="auto"/>
            <w:bottom w:val="none" w:sz="0" w:space="0" w:color="auto"/>
            <w:right w:val="none" w:sz="0" w:space="0" w:color="auto"/>
          </w:divBdr>
          <w:divsChild>
            <w:div w:id="92434203">
              <w:marLeft w:val="0"/>
              <w:marRight w:val="0"/>
              <w:marTop w:val="0"/>
              <w:marBottom w:val="0"/>
              <w:divBdr>
                <w:top w:val="none" w:sz="0" w:space="0" w:color="auto"/>
                <w:left w:val="none" w:sz="0" w:space="0" w:color="auto"/>
                <w:bottom w:val="none" w:sz="0" w:space="0" w:color="auto"/>
                <w:right w:val="none" w:sz="0" w:space="0" w:color="auto"/>
              </w:divBdr>
              <w:divsChild>
                <w:div w:id="699480085">
                  <w:marLeft w:val="0"/>
                  <w:marRight w:val="0"/>
                  <w:marTop w:val="0"/>
                  <w:marBottom w:val="0"/>
                  <w:divBdr>
                    <w:top w:val="none" w:sz="0" w:space="0" w:color="auto"/>
                    <w:left w:val="none" w:sz="0" w:space="0" w:color="auto"/>
                    <w:bottom w:val="none" w:sz="0" w:space="0" w:color="auto"/>
                    <w:right w:val="none" w:sz="0" w:space="0" w:color="auto"/>
                  </w:divBdr>
                </w:div>
              </w:divsChild>
            </w:div>
            <w:div w:id="100496452">
              <w:marLeft w:val="0"/>
              <w:marRight w:val="0"/>
              <w:marTop w:val="0"/>
              <w:marBottom w:val="0"/>
              <w:divBdr>
                <w:top w:val="none" w:sz="0" w:space="0" w:color="auto"/>
                <w:left w:val="none" w:sz="0" w:space="0" w:color="auto"/>
                <w:bottom w:val="none" w:sz="0" w:space="0" w:color="auto"/>
                <w:right w:val="none" w:sz="0" w:space="0" w:color="auto"/>
              </w:divBdr>
              <w:divsChild>
                <w:div w:id="471025699">
                  <w:marLeft w:val="0"/>
                  <w:marRight w:val="0"/>
                  <w:marTop w:val="0"/>
                  <w:marBottom w:val="0"/>
                  <w:divBdr>
                    <w:top w:val="none" w:sz="0" w:space="0" w:color="auto"/>
                    <w:left w:val="none" w:sz="0" w:space="0" w:color="auto"/>
                    <w:bottom w:val="none" w:sz="0" w:space="0" w:color="auto"/>
                    <w:right w:val="none" w:sz="0" w:space="0" w:color="auto"/>
                  </w:divBdr>
                </w:div>
                <w:div w:id="1028681808">
                  <w:marLeft w:val="0"/>
                  <w:marRight w:val="0"/>
                  <w:marTop w:val="0"/>
                  <w:marBottom w:val="0"/>
                  <w:divBdr>
                    <w:top w:val="none" w:sz="0" w:space="0" w:color="auto"/>
                    <w:left w:val="none" w:sz="0" w:space="0" w:color="auto"/>
                    <w:bottom w:val="none" w:sz="0" w:space="0" w:color="auto"/>
                    <w:right w:val="none" w:sz="0" w:space="0" w:color="auto"/>
                  </w:divBdr>
                </w:div>
                <w:div w:id="1370108057">
                  <w:marLeft w:val="0"/>
                  <w:marRight w:val="0"/>
                  <w:marTop w:val="0"/>
                  <w:marBottom w:val="0"/>
                  <w:divBdr>
                    <w:top w:val="none" w:sz="0" w:space="0" w:color="auto"/>
                    <w:left w:val="none" w:sz="0" w:space="0" w:color="auto"/>
                    <w:bottom w:val="none" w:sz="0" w:space="0" w:color="auto"/>
                    <w:right w:val="none" w:sz="0" w:space="0" w:color="auto"/>
                  </w:divBdr>
                </w:div>
                <w:div w:id="1386950510">
                  <w:marLeft w:val="0"/>
                  <w:marRight w:val="0"/>
                  <w:marTop w:val="0"/>
                  <w:marBottom w:val="0"/>
                  <w:divBdr>
                    <w:top w:val="none" w:sz="0" w:space="0" w:color="auto"/>
                    <w:left w:val="none" w:sz="0" w:space="0" w:color="auto"/>
                    <w:bottom w:val="none" w:sz="0" w:space="0" w:color="auto"/>
                    <w:right w:val="none" w:sz="0" w:space="0" w:color="auto"/>
                  </w:divBdr>
                </w:div>
                <w:div w:id="1702708337">
                  <w:marLeft w:val="0"/>
                  <w:marRight w:val="0"/>
                  <w:marTop w:val="0"/>
                  <w:marBottom w:val="0"/>
                  <w:divBdr>
                    <w:top w:val="none" w:sz="0" w:space="0" w:color="auto"/>
                    <w:left w:val="none" w:sz="0" w:space="0" w:color="auto"/>
                    <w:bottom w:val="none" w:sz="0" w:space="0" w:color="auto"/>
                    <w:right w:val="none" w:sz="0" w:space="0" w:color="auto"/>
                  </w:divBdr>
                </w:div>
                <w:div w:id="2116711100">
                  <w:marLeft w:val="0"/>
                  <w:marRight w:val="0"/>
                  <w:marTop w:val="0"/>
                  <w:marBottom w:val="0"/>
                  <w:divBdr>
                    <w:top w:val="none" w:sz="0" w:space="0" w:color="auto"/>
                    <w:left w:val="none" w:sz="0" w:space="0" w:color="auto"/>
                    <w:bottom w:val="none" w:sz="0" w:space="0" w:color="auto"/>
                    <w:right w:val="none" w:sz="0" w:space="0" w:color="auto"/>
                  </w:divBdr>
                </w:div>
              </w:divsChild>
            </w:div>
            <w:div w:id="224224659">
              <w:marLeft w:val="0"/>
              <w:marRight w:val="0"/>
              <w:marTop w:val="0"/>
              <w:marBottom w:val="0"/>
              <w:divBdr>
                <w:top w:val="none" w:sz="0" w:space="0" w:color="auto"/>
                <w:left w:val="none" w:sz="0" w:space="0" w:color="auto"/>
                <w:bottom w:val="none" w:sz="0" w:space="0" w:color="auto"/>
                <w:right w:val="none" w:sz="0" w:space="0" w:color="auto"/>
              </w:divBdr>
              <w:divsChild>
                <w:div w:id="2009474541">
                  <w:marLeft w:val="0"/>
                  <w:marRight w:val="0"/>
                  <w:marTop w:val="0"/>
                  <w:marBottom w:val="0"/>
                  <w:divBdr>
                    <w:top w:val="none" w:sz="0" w:space="0" w:color="auto"/>
                    <w:left w:val="none" w:sz="0" w:space="0" w:color="auto"/>
                    <w:bottom w:val="none" w:sz="0" w:space="0" w:color="auto"/>
                    <w:right w:val="none" w:sz="0" w:space="0" w:color="auto"/>
                  </w:divBdr>
                </w:div>
              </w:divsChild>
            </w:div>
            <w:div w:id="293946080">
              <w:marLeft w:val="0"/>
              <w:marRight w:val="0"/>
              <w:marTop w:val="0"/>
              <w:marBottom w:val="0"/>
              <w:divBdr>
                <w:top w:val="none" w:sz="0" w:space="0" w:color="auto"/>
                <w:left w:val="none" w:sz="0" w:space="0" w:color="auto"/>
                <w:bottom w:val="none" w:sz="0" w:space="0" w:color="auto"/>
                <w:right w:val="none" w:sz="0" w:space="0" w:color="auto"/>
              </w:divBdr>
              <w:divsChild>
                <w:div w:id="15808927">
                  <w:marLeft w:val="0"/>
                  <w:marRight w:val="0"/>
                  <w:marTop w:val="0"/>
                  <w:marBottom w:val="0"/>
                  <w:divBdr>
                    <w:top w:val="none" w:sz="0" w:space="0" w:color="auto"/>
                    <w:left w:val="none" w:sz="0" w:space="0" w:color="auto"/>
                    <w:bottom w:val="none" w:sz="0" w:space="0" w:color="auto"/>
                    <w:right w:val="none" w:sz="0" w:space="0" w:color="auto"/>
                  </w:divBdr>
                </w:div>
              </w:divsChild>
            </w:div>
            <w:div w:id="519244356">
              <w:marLeft w:val="0"/>
              <w:marRight w:val="0"/>
              <w:marTop w:val="0"/>
              <w:marBottom w:val="0"/>
              <w:divBdr>
                <w:top w:val="none" w:sz="0" w:space="0" w:color="auto"/>
                <w:left w:val="none" w:sz="0" w:space="0" w:color="auto"/>
                <w:bottom w:val="none" w:sz="0" w:space="0" w:color="auto"/>
                <w:right w:val="none" w:sz="0" w:space="0" w:color="auto"/>
              </w:divBdr>
              <w:divsChild>
                <w:div w:id="976759221">
                  <w:marLeft w:val="0"/>
                  <w:marRight w:val="0"/>
                  <w:marTop w:val="0"/>
                  <w:marBottom w:val="0"/>
                  <w:divBdr>
                    <w:top w:val="none" w:sz="0" w:space="0" w:color="auto"/>
                    <w:left w:val="none" w:sz="0" w:space="0" w:color="auto"/>
                    <w:bottom w:val="none" w:sz="0" w:space="0" w:color="auto"/>
                    <w:right w:val="none" w:sz="0" w:space="0" w:color="auto"/>
                  </w:divBdr>
                </w:div>
              </w:divsChild>
            </w:div>
            <w:div w:id="526063900">
              <w:marLeft w:val="0"/>
              <w:marRight w:val="0"/>
              <w:marTop w:val="0"/>
              <w:marBottom w:val="0"/>
              <w:divBdr>
                <w:top w:val="none" w:sz="0" w:space="0" w:color="auto"/>
                <w:left w:val="none" w:sz="0" w:space="0" w:color="auto"/>
                <w:bottom w:val="none" w:sz="0" w:space="0" w:color="auto"/>
                <w:right w:val="none" w:sz="0" w:space="0" w:color="auto"/>
              </w:divBdr>
              <w:divsChild>
                <w:div w:id="1576815522">
                  <w:marLeft w:val="0"/>
                  <w:marRight w:val="0"/>
                  <w:marTop w:val="0"/>
                  <w:marBottom w:val="0"/>
                  <w:divBdr>
                    <w:top w:val="none" w:sz="0" w:space="0" w:color="auto"/>
                    <w:left w:val="none" w:sz="0" w:space="0" w:color="auto"/>
                    <w:bottom w:val="none" w:sz="0" w:space="0" w:color="auto"/>
                    <w:right w:val="none" w:sz="0" w:space="0" w:color="auto"/>
                  </w:divBdr>
                </w:div>
              </w:divsChild>
            </w:div>
            <w:div w:id="651258024">
              <w:marLeft w:val="0"/>
              <w:marRight w:val="0"/>
              <w:marTop w:val="0"/>
              <w:marBottom w:val="0"/>
              <w:divBdr>
                <w:top w:val="none" w:sz="0" w:space="0" w:color="auto"/>
                <w:left w:val="none" w:sz="0" w:space="0" w:color="auto"/>
                <w:bottom w:val="none" w:sz="0" w:space="0" w:color="auto"/>
                <w:right w:val="none" w:sz="0" w:space="0" w:color="auto"/>
              </w:divBdr>
              <w:divsChild>
                <w:div w:id="605893233">
                  <w:marLeft w:val="0"/>
                  <w:marRight w:val="0"/>
                  <w:marTop w:val="0"/>
                  <w:marBottom w:val="0"/>
                  <w:divBdr>
                    <w:top w:val="none" w:sz="0" w:space="0" w:color="auto"/>
                    <w:left w:val="none" w:sz="0" w:space="0" w:color="auto"/>
                    <w:bottom w:val="none" w:sz="0" w:space="0" w:color="auto"/>
                    <w:right w:val="none" w:sz="0" w:space="0" w:color="auto"/>
                  </w:divBdr>
                </w:div>
              </w:divsChild>
            </w:div>
            <w:div w:id="656349964">
              <w:marLeft w:val="0"/>
              <w:marRight w:val="0"/>
              <w:marTop w:val="0"/>
              <w:marBottom w:val="0"/>
              <w:divBdr>
                <w:top w:val="none" w:sz="0" w:space="0" w:color="auto"/>
                <w:left w:val="none" w:sz="0" w:space="0" w:color="auto"/>
                <w:bottom w:val="none" w:sz="0" w:space="0" w:color="auto"/>
                <w:right w:val="none" w:sz="0" w:space="0" w:color="auto"/>
              </w:divBdr>
              <w:divsChild>
                <w:div w:id="1708262728">
                  <w:marLeft w:val="0"/>
                  <w:marRight w:val="0"/>
                  <w:marTop w:val="0"/>
                  <w:marBottom w:val="0"/>
                  <w:divBdr>
                    <w:top w:val="none" w:sz="0" w:space="0" w:color="auto"/>
                    <w:left w:val="none" w:sz="0" w:space="0" w:color="auto"/>
                    <w:bottom w:val="none" w:sz="0" w:space="0" w:color="auto"/>
                    <w:right w:val="none" w:sz="0" w:space="0" w:color="auto"/>
                  </w:divBdr>
                </w:div>
              </w:divsChild>
            </w:div>
            <w:div w:id="1262763169">
              <w:marLeft w:val="0"/>
              <w:marRight w:val="0"/>
              <w:marTop w:val="0"/>
              <w:marBottom w:val="0"/>
              <w:divBdr>
                <w:top w:val="none" w:sz="0" w:space="0" w:color="auto"/>
                <w:left w:val="none" w:sz="0" w:space="0" w:color="auto"/>
                <w:bottom w:val="none" w:sz="0" w:space="0" w:color="auto"/>
                <w:right w:val="none" w:sz="0" w:space="0" w:color="auto"/>
              </w:divBdr>
              <w:divsChild>
                <w:div w:id="14767489">
                  <w:marLeft w:val="0"/>
                  <w:marRight w:val="0"/>
                  <w:marTop w:val="0"/>
                  <w:marBottom w:val="0"/>
                  <w:divBdr>
                    <w:top w:val="none" w:sz="0" w:space="0" w:color="auto"/>
                    <w:left w:val="none" w:sz="0" w:space="0" w:color="auto"/>
                    <w:bottom w:val="none" w:sz="0" w:space="0" w:color="auto"/>
                    <w:right w:val="none" w:sz="0" w:space="0" w:color="auto"/>
                  </w:divBdr>
                </w:div>
              </w:divsChild>
            </w:div>
            <w:div w:id="1525023414">
              <w:marLeft w:val="0"/>
              <w:marRight w:val="0"/>
              <w:marTop w:val="0"/>
              <w:marBottom w:val="0"/>
              <w:divBdr>
                <w:top w:val="none" w:sz="0" w:space="0" w:color="auto"/>
                <w:left w:val="none" w:sz="0" w:space="0" w:color="auto"/>
                <w:bottom w:val="none" w:sz="0" w:space="0" w:color="auto"/>
                <w:right w:val="none" w:sz="0" w:space="0" w:color="auto"/>
              </w:divBdr>
              <w:divsChild>
                <w:div w:id="1584950585">
                  <w:marLeft w:val="0"/>
                  <w:marRight w:val="0"/>
                  <w:marTop w:val="0"/>
                  <w:marBottom w:val="0"/>
                  <w:divBdr>
                    <w:top w:val="none" w:sz="0" w:space="0" w:color="auto"/>
                    <w:left w:val="none" w:sz="0" w:space="0" w:color="auto"/>
                    <w:bottom w:val="none" w:sz="0" w:space="0" w:color="auto"/>
                    <w:right w:val="none" w:sz="0" w:space="0" w:color="auto"/>
                  </w:divBdr>
                </w:div>
              </w:divsChild>
            </w:div>
            <w:div w:id="1797987196">
              <w:marLeft w:val="0"/>
              <w:marRight w:val="0"/>
              <w:marTop w:val="0"/>
              <w:marBottom w:val="0"/>
              <w:divBdr>
                <w:top w:val="none" w:sz="0" w:space="0" w:color="auto"/>
                <w:left w:val="none" w:sz="0" w:space="0" w:color="auto"/>
                <w:bottom w:val="none" w:sz="0" w:space="0" w:color="auto"/>
                <w:right w:val="none" w:sz="0" w:space="0" w:color="auto"/>
              </w:divBdr>
              <w:divsChild>
                <w:div w:id="2039155689">
                  <w:marLeft w:val="0"/>
                  <w:marRight w:val="0"/>
                  <w:marTop w:val="0"/>
                  <w:marBottom w:val="0"/>
                  <w:divBdr>
                    <w:top w:val="none" w:sz="0" w:space="0" w:color="auto"/>
                    <w:left w:val="none" w:sz="0" w:space="0" w:color="auto"/>
                    <w:bottom w:val="none" w:sz="0" w:space="0" w:color="auto"/>
                    <w:right w:val="none" w:sz="0" w:space="0" w:color="auto"/>
                  </w:divBdr>
                </w:div>
              </w:divsChild>
            </w:div>
            <w:div w:id="2035883785">
              <w:marLeft w:val="0"/>
              <w:marRight w:val="0"/>
              <w:marTop w:val="0"/>
              <w:marBottom w:val="0"/>
              <w:divBdr>
                <w:top w:val="none" w:sz="0" w:space="0" w:color="auto"/>
                <w:left w:val="none" w:sz="0" w:space="0" w:color="auto"/>
                <w:bottom w:val="none" w:sz="0" w:space="0" w:color="auto"/>
                <w:right w:val="none" w:sz="0" w:space="0" w:color="auto"/>
              </w:divBdr>
              <w:divsChild>
                <w:div w:id="9187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40982">
          <w:marLeft w:val="0"/>
          <w:marRight w:val="0"/>
          <w:marTop w:val="0"/>
          <w:marBottom w:val="0"/>
          <w:divBdr>
            <w:top w:val="none" w:sz="0" w:space="0" w:color="auto"/>
            <w:left w:val="none" w:sz="0" w:space="0" w:color="auto"/>
            <w:bottom w:val="none" w:sz="0" w:space="0" w:color="auto"/>
            <w:right w:val="none" w:sz="0" w:space="0" w:color="auto"/>
          </w:divBdr>
        </w:div>
        <w:div w:id="298804695">
          <w:marLeft w:val="0"/>
          <w:marRight w:val="0"/>
          <w:marTop w:val="0"/>
          <w:marBottom w:val="0"/>
          <w:divBdr>
            <w:top w:val="none" w:sz="0" w:space="0" w:color="auto"/>
            <w:left w:val="none" w:sz="0" w:space="0" w:color="auto"/>
            <w:bottom w:val="none" w:sz="0" w:space="0" w:color="auto"/>
            <w:right w:val="none" w:sz="0" w:space="0" w:color="auto"/>
          </w:divBdr>
        </w:div>
        <w:div w:id="332609138">
          <w:marLeft w:val="0"/>
          <w:marRight w:val="0"/>
          <w:marTop w:val="0"/>
          <w:marBottom w:val="0"/>
          <w:divBdr>
            <w:top w:val="none" w:sz="0" w:space="0" w:color="auto"/>
            <w:left w:val="none" w:sz="0" w:space="0" w:color="auto"/>
            <w:bottom w:val="none" w:sz="0" w:space="0" w:color="auto"/>
            <w:right w:val="none" w:sz="0" w:space="0" w:color="auto"/>
          </w:divBdr>
        </w:div>
        <w:div w:id="365831573">
          <w:marLeft w:val="0"/>
          <w:marRight w:val="0"/>
          <w:marTop w:val="0"/>
          <w:marBottom w:val="0"/>
          <w:divBdr>
            <w:top w:val="none" w:sz="0" w:space="0" w:color="auto"/>
            <w:left w:val="none" w:sz="0" w:space="0" w:color="auto"/>
            <w:bottom w:val="none" w:sz="0" w:space="0" w:color="auto"/>
            <w:right w:val="none" w:sz="0" w:space="0" w:color="auto"/>
          </w:divBdr>
        </w:div>
        <w:div w:id="371883439">
          <w:marLeft w:val="0"/>
          <w:marRight w:val="0"/>
          <w:marTop w:val="0"/>
          <w:marBottom w:val="0"/>
          <w:divBdr>
            <w:top w:val="none" w:sz="0" w:space="0" w:color="auto"/>
            <w:left w:val="none" w:sz="0" w:space="0" w:color="auto"/>
            <w:bottom w:val="none" w:sz="0" w:space="0" w:color="auto"/>
            <w:right w:val="none" w:sz="0" w:space="0" w:color="auto"/>
          </w:divBdr>
        </w:div>
        <w:div w:id="383064035">
          <w:marLeft w:val="0"/>
          <w:marRight w:val="0"/>
          <w:marTop w:val="0"/>
          <w:marBottom w:val="0"/>
          <w:divBdr>
            <w:top w:val="none" w:sz="0" w:space="0" w:color="auto"/>
            <w:left w:val="none" w:sz="0" w:space="0" w:color="auto"/>
            <w:bottom w:val="none" w:sz="0" w:space="0" w:color="auto"/>
            <w:right w:val="none" w:sz="0" w:space="0" w:color="auto"/>
          </w:divBdr>
        </w:div>
        <w:div w:id="393747959">
          <w:marLeft w:val="0"/>
          <w:marRight w:val="0"/>
          <w:marTop w:val="0"/>
          <w:marBottom w:val="0"/>
          <w:divBdr>
            <w:top w:val="none" w:sz="0" w:space="0" w:color="auto"/>
            <w:left w:val="none" w:sz="0" w:space="0" w:color="auto"/>
            <w:bottom w:val="none" w:sz="0" w:space="0" w:color="auto"/>
            <w:right w:val="none" w:sz="0" w:space="0" w:color="auto"/>
          </w:divBdr>
        </w:div>
        <w:div w:id="411396320">
          <w:marLeft w:val="0"/>
          <w:marRight w:val="0"/>
          <w:marTop w:val="0"/>
          <w:marBottom w:val="0"/>
          <w:divBdr>
            <w:top w:val="none" w:sz="0" w:space="0" w:color="auto"/>
            <w:left w:val="none" w:sz="0" w:space="0" w:color="auto"/>
            <w:bottom w:val="none" w:sz="0" w:space="0" w:color="auto"/>
            <w:right w:val="none" w:sz="0" w:space="0" w:color="auto"/>
          </w:divBdr>
        </w:div>
        <w:div w:id="418870697">
          <w:marLeft w:val="0"/>
          <w:marRight w:val="0"/>
          <w:marTop w:val="0"/>
          <w:marBottom w:val="0"/>
          <w:divBdr>
            <w:top w:val="none" w:sz="0" w:space="0" w:color="auto"/>
            <w:left w:val="none" w:sz="0" w:space="0" w:color="auto"/>
            <w:bottom w:val="none" w:sz="0" w:space="0" w:color="auto"/>
            <w:right w:val="none" w:sz="0" w:space="0" w:color="auto"/>
          </w:divBdr>
        </w:div>
        <w:div w:id="421269114">
          <w:marLeft w:val="0"/>
          <w:marRight w:val="0"/>
          <w:marTop w:val="0"/>
          <w:marBottom w:val="0"/>
          <w:divBdr>
            <w:top w:val="none" w:sz="0" w:space="0" w:color="auto"/>
            <w:left w:val="none" w:sz="0" w:space="0" w:color="auto"/>
            <w:bottom w:val="none" w:sz="0" w:space="0" w:color="auto"/>
            <w:right w:val="none" w:sz="0" w:space="0" w:color="auto"/>
          </w:divBdr>
        </w:div>
        <w:div w:id="436023581">
          <w:marLeft w:val="0"/>
          <w:marRight w:val="0"/>
          <w:marTop w:val="0"/>
          <w:marBottom w:val="0"/>
          <w:divBdr>
            <w:top w:val="none" w:sz="0" w:space="0" w:color="auto"/>
            <w:left w:val="none" w:sz="0" w:space="0" w:color="auto"/>
            <w:bottom w:val="none" w:sz="0" w:space="0" w:color="auto"/>
            <w:right w:val="none" w:sz="0" w:space="0" w:color="auto"/>
          </w:divBdr>
        </w:div>
        <w:div w:id="469323727">
          <w:marLeft w:val="0"/>
          <w:marRight w:val="0"/>
          <w:marTop w:val="0"/>
          <w:marBottom w:val="0"/>
          <w:divBdr>
            <w:top w:val="none" w:sz="0" w:space="0" w:color="auto"/>
            <w:left w:val="none" w:sz="0" w:space="0" w:color="auto"/>
            <w:bottom w:val="none" w:sz="0" w:space="0" w:color="auto"/>
            <w:right w:val="none" w:sz="0" w:space="0" w:color="auto"/>
          </w:divBdr>
        </w:div>
        <w:div w:id="479200427">
          <w:marLeft w:val="0"/>
          <w:marRight w:val="0"/>
          <w:marTop w:val="0"/>
          <w:marBottom w:val="0"/>
          <w:divBdr>
            <w:top w:val="none" w:sz="0" w:space="0" w:color="auto"/>
            <w:left w:val="none" w:sz="0" w:space="0" w:color="auto"/>
            <w:bottom w:val="none" w:sz="0" w:space="0" w:color="auto"/>
            <w:right w:val="none" w:sz="0" w:space="0" w:color="auto"/>
          </w:divBdr>
        </w:div>
        <w:div w:id="479418340">
          <w:marLeft w:val="0"/>
          <w:marRight w:val="0"/>
          <w:marTop w:val="0"/>
          <w:marBottom w:val="0"/>
          <w:divBdr>
            <w:top w:val="none" w:sz="0" w:space="0" w:color="auto"/>
            <w:left w:val="none" w:sz="0" w:space="0" w:color="auto"/>
            <w:bottom w:val="none" w:sz="0" w:space="0" w:color="auto"/>
            <w:right w:val="none" w:sz="0" w:space="0" w:color="auto"/>
          </w:divBdr>
        </w:div>
        <w:div w:id="483468233">
          <w:marLeft w:val="0"/>
          <w:marRight w:val="0"/>
          <w:marTop w:val="0"/>
          <w:marBottom w:val="0"/>
          <w:divBdr>
            <w:top w:val="none" w:sz="0" w:space="0" w:color="auto"/>
            <w:left w:val="none" w:sz="0" w:space="0" w:color="auto"/>
            <w:bottom w:val="none" w:sz="0" w:space="0" w:color="auto"/>
            <w:right w:val="none" w:sz="0" w:space="0" w:color="auto"/>
          </w:divBdr>
        </w:div>
        <w:div w:id="484667972">
          <w:marLeft w:val="0"/>
          <w:marRight w:val="0"/>
          <w:marTop w:val="0"/>
          <w:marBottom w:val="0"/>
          <w:divBdr>
            <w:top w:val="none" w:sz="0" w:space="0" w:color="auto"/>
            <w:left w:val="none" w:sz="0" w:space="0" w:color="auto"/>
            <w:bottom w:val="none" w:sz="0" w:space="0" w:color="auto"/>
            <w:right w:val="none" w:sz="0" w:space="0" w:color="auto"/>
          </w:divBdr>
        </w:div>
        <w:div w:id="502016656">
          <w:marLeft w:val="0"/>
          <w:marRight w:val="0"/>
          <w:marTop w:val="0"/>
          <w:marBottom w:val="0"/>
          <w:divBdr>
            <w:top w:val="none" w:sz="0" w:space="0" w:color="auto"/>
            <w:left w:val="none" w:sz="0" w:space="0" w:color="auto"/>
            <w:bottom w:val="none" w:sz="0" w:space="0" w:color="auto"/>
            <w:right w:val="none" w:sz="0" w:space="0" w:color="auto"/>
          </w:divBdr>
        </w:div>
        <w:div w:id="517232210">
          <w:marLeft w:val="0"/>
          <w:marRight w:val="0"/>
          <w:marTop w:val="0"/>
          <w:marBottom w:val="0"/>
          <w:divBdr>
            <w:top w:val="none" w:sz="0" w:space="0" w:color="auto"/>
            <w:left w:val="none" w:sz="0" w:space="0" w:color="auto"/>
            <w:bottom w:val="none" w:sz="0" w:space="0" w:color="auto"/>
            <w:right w:val="none" w:sz="0" w:space="0" w:color="auto"/>
          </w:divBdr>
        </w:div>
        <w:div w:id="527566164">
          <w:marLeft w:val="0"/>
          <w:marRight w:val="0"/>
          <w:marTop w:val="0"/>
          <w:marBottom w:val="0"/>
          <w:divBdr>
            <w:top w:val="none" w:sz="0" w:space="0" w:color="auto"/>
            <w:left w:val="none" w:sz="0" w:space="0" w:color="auto"/>
            <w:bottom w:val="none" w:sz="0" w:space="0" w:color="auto"/>
            <w:right w:val="none" w:sz="0" w:space="0" w:color="auto"/>
          </w:divBdr>
        </w:div>
        <w:div w:id="545994585">
          <w:marLeft w:val="0"/>
          <w:marRight w:val="0"/>
          <w:marTop w:val="0"/>
          <w:marBottom w:val="0"/>
          <w:divBdr>
            <w:top w:val="none" w:sz="0" w:space="0" w:color="auto"/>
            <w:left w:val="none" w:sz="0" w:space="0" w:color="auto"/>
            <w:bottom w:val="none" w:sz="0" w:space="0" w:color="auto"/>
            <w:right w:val="none" w:sz="0" w:space="0" w:color="auto"/>
          </w:divBdr>
        </w:div>
        <w:div w:id="587809260">
          <w:marLeft w:val="0"/>
          <w:marRight w:val="0"/>
          <w:marTop w:val="0"/>
          <w:marBottom w:val="0"/>
          <w:divBdr>
            <w:top w:val="none" w:sz="0" w:space="0" w:color="auto"/>
            <w:left w:val="none" w:sz="0" w:space="0" w:color="auto"/>
            <w:bottom w:val="none" w:sz="0" w:space="0" w:color="auto"/>
            <w:right w:val="none" w:sz="0" w:space="0" w:color="auto"/>
          </w:divBdr>
        </w:div>
        <w:div w:id="630482930">
          <w:marLeft w:val="0"/>
          <w:marRight w:val="0"/>
          <w:marTop w:val="0"/>
          <w:marBottom w:val="0"/>
          <w:divBdr>
            <w:top w:val="none" w:sz="0" w:space="0" w:color="auto"/>
            <w:left w:val="none" w:sz="0" w:space="0" w:color="auto"/>
            <w:bottom w:val="none" w:sz="0" w:space="0" w:color="auto"/>
            <w:right w:val="none" w:sz="0" w:space="0" w:color="auto"/>
          </w:divBdr>
        </w:div>
        <w:div w:id="638724942">
          <w:marLeft w:val="0"/>
          <w:marRight w:val="0"/>
          <w:marTop w:val="0"/>
          <w:marBottom w:val="0"/>
          <w:divBdr>
            <w:top w:val="none" w:sz="0" w:space="0" w:color="auto"/>
            <w:left w:val="none" w:sz="0" w:space="0" w:color="auto"/>
            <w:bottom w:val="none" w:sz="0" w:space="0" w:color="auto"/>
            <w:right w:val="none" w:sz="0" w:space="0" w:color="auto"/>
          </w:divBdr>
        </w:div>
        <w:div w:id="682047444">
          <w:marLeft w:val="0"/>
          <w:marRight w:val="0"/>
          <w:marTop w:val="0"/>
          <w:marBottom w:val="0"/>
          <w:divBdr>
            <w:top w:val="none" w:sz="0" w:space="0" w:color="auto"/>
            <w:left w:val="none" w:sz="0" w:space="0" w:color="auto"/>
            <w:bottom w:val="none" w:sz="0" w:space="0" w:color="auto"/>
            <w:right w:val="none" w:sz="0" w:space="0" w:color="auto"/>
          </w:divBdr>
        </w:div>
        <w:div w:id="715157623">
          <w:marLeft w:val="0"/>
          <w:marRight w:val="0"/>
          <w:marTop w:val="0"/>
          <w:marBottom w:val="0"/>
          <w:divBdr>
            <w:top w:val="none" w:sz="0" w:space="0" w:color="auto"/>
            <w:left w:val="none" w:sz="0" w:space="0" w:color="auto"/>
            <w:bottom w:val="none" w:sz="0" w:space="0" w:color="auto"/>
            <w:right w:val="none" w:sz="0" w:space="0" w:color="auto"/>
          </w:divBdr>
        </w:div>
        <w:div w:id="729881875">
          <w:marLeft w:val="0"/>
          <w:marRight w:val="0"/>
          <w:marTop w:val="0"/>
          <w:marBottom w:val="0"/>
          <w:divBdr>
            <w:top w:val="none" w:sz="0" w:space="0" w:color="auto"/>
            <w:left w:val="none" w:sz="0" w:space="0" w:color="auto"/>
            <w:bottom w:val="none" w:sz="0" w:space="0" w:color="auto"/>
            <w:right w:val="none" w:sz="0" w:space="0" w:color="auto"/>
          </w:divBdr>
        </w:div>
        <w:div w:id="848519364">
          <w:marLeft w:val="0"/>
          <w:marRight w:val="0"/>
          <w:marTop w:val="0"/>
          <w:marBottom w:val="0"/>
          <w:divBdr>
            <w:top w:val="none" w:sz="0" w:space="0" w:color="auto"/>
            <w:left w:val="none" w:sz="0" w:space="0" w:color="auto"/>
            <w:bottom w:val="none" w:sz="0" w:space="0" w:color="auto"/>
            <w:right w:val="none" w:sz="0" w:space="0" w:color="auto"/>
          </w:divBdr>
        </w:div>
        <w:div w:id="930964112">
          <w:marLeft w:val="0"/>
          <w:marRight w:val="0"/>
          <w:marTop w:val="0"/>
          <w:marBottom w:val="0"/>
          <w:divBdr>
            <w:top w:val="none" w:sz="0" w:space="0" w:color="auto"/>
            <w:left w:val="none" w:sz="0" w:space="0" w:color="auto"/>
            <w:bottom w:val="none" w:sz="0" w:space="0" w:color="auto"/>
            <w:right w:val="none" w:sz="0" w:space="0" w:color="auto"/>
          </w:divBdr>
        </w:div>
        <w:div w:id="967587621">
          <w:marLeft w:val="0"/>
          <w:marRight w:val="0"/>
          <w:marTop w:val="0"/>
          <w:marBottom w:val="0"/>
          <w:divBdr>
            <w:top w:val="none" w:sz="0" w:space="0" w:color="auto"/>
            <w:left w:val="none" w:sz="0" w:space="0" w:color="auto"/>
            <w:bottom w:val="none" w:sz="0" w:space="0" w:color="auto"/>
            <w:right w:val="none" w:sz="0" w:space="0" w:color="auto"/>
          </w:divBdr>
        </w:div>
        <w:div w:id="1048920576">
          <w:marLeft w:val="0"/>
          <w:marRight w:val="0"/>
          <w:marTop w:val="0"/>
          <w:marBottom w:val="0"/>
          <w:divBdr>
            <w:top w:val="none" w:sz="0" w:space="0" w:color="auto"/>
            <w:left w:val="none" w:sz="0" w:space="0" w:color="auto"/>
            <w:bottom w:val="none" w:sz="0" w:space="0" w:color="auto"/>
            <w:right w:val="none" w:sz="0" w:space="0" w:color="auto"/>
          </w:divBdr>
        </w:div>
        <w:div w:id="1112824076">
          <w:marLeft w:val="0"/>
          <w:marRight w:val="0"/>
          <w:marTop w:val="0"/>
          <w:marBottom w:val="0"/>
          <w:divBdr>
            <w:top w:val="none" w:sz="0" w:space="0" w:color="auto"/>
            <w:left w:val="none" w:sz="0" w:space="0" w:color="auto"/>
            <w:bottom w:val="none" w:sz="0" w:space="0" w:color="auto"/>
            <w:right w:val="none" w:sz="0" w:space="0" w:color="auto"/>
          </w:divBdr>
        </w:div>
        <w:div w:id="1157769813">
          <w:marLeft w:val="0"/>
          <w:marRight w:val="0"/>
          <w:marTop w:val="0"/>
          <w:marBottom w:val="0"/>
          <w:divBdr>
            <w:top w:val="none" w:sz="0" w:space="0" w:color="auto"/>
            <w:left w:val="none" w:sz="0" w:space="0" w:color="auto"/>
            <w:bottom w:val="none" w:sz="0" w:space="0" w:color="auto"/>
            <w:right w:val="none" w:sz="0" w:space="0" w:color="auto"/>
          </w:divBdr>
        </w:div>
        <w:div w:id="1172767149">
          <w:marLeft w:val="-75"/>
          <w:marRight w:val="0"/>
          <w:marTop w:val="30"/>
          <w:marBottom w:val="30"/>
          <w:divBdr>
            <w:top w:val="none" w:sz="0" w:space="0" w:color="auto"/>
            <w:left w:val="none" w:sz="0" w:space="0" w:color="auto"/>
            <w:bottom w:val="none" w:sz="0" w:space="0" w:color="auto"/>
            <w:right w:val="none" w:sz="0" w:space="0" w:color="auto"/>
          </w:divBdr>
          <w:divsChild>
            <w:div w:id="55737871">
              <w:marLeft w:val="0"/>
              <w:marRight w:val="0"/>
              <w:marTop w:val="0"/>
              <w:marBottom w:val="0"/>
              <w:divBdr>
                <w:top w:val="none" w:sz="0" w:space="0" w:color="auto"/>
                <w:left w:val="none" w:sz="0" w:space="0" w:color="auto"/>
                <w:bottom w:val="none" w:sz="0" w:space="0" w:color="auto"/>
                <w:right w:val="none" w:sz="0" w:space="0" w:color="auto"/>
              </w:divBdr>
              <w:divsChild>
                <w:div w:id="1559047431">
                  <w:marLeft w:val="0"/>
                  <w:marRight w:val="0"/>
                  <w:marTop w:val="0"/>
                  <w:marBottom w:val="0"/>
                  <w:divBdr>
                    <w:top w:val="none" w:sz="0" w:space="0" w:color="auto"/>
                    <w:left w:val="none" w:sz="0" w:space="0" w:color="auto"/>
                    <w:bottom w:val="none" w:sz="0" w:space="0" w:color="auto"/>
                    <w:right w:val="none" w:sz="0" w:space="0" w:color="auto"/>
                  </w:divBdr>
                </w:div>
              </w:divsChild>
            </w:div>
            <w:div w:id="127205598">
              <w:marLeft w:val="0"/>
              <w:marRight w:val="0"/>
              <w:marTop w:val="0"/>
              <w:marBottom w:val="0"/>
              <w:divBdr>
                <w:top w:val="none" w:sz="0" w:space="0" w:color="auto"/>
                <w:left w:val="none" w:sz="0" w:space="0" w:color="auto"/>
                <w:bottom w:val="none" w:sz="0" w:space="0" w:color="auto"/>
                <w:right w:val="none" w:sz="0" w:space="0" w:color="auto"/>
              </w:divBdr>
              <w:divsChild>
                <w:div w:id="423843002">
                  <w:marLeft w:val="0"/>
                  <w:marRight w:val="0"/>
                  <w:marTop w:val="0"/>
                  <w:marBottom w:val="0"/>
                  <w:divBdr>
                    <w:top w:val="none" w:sz="0" w:space="0" w:color="auto"/>
                    <w:left w:val="none" w:sz="0" w:space="0" w:color="auto"/>
                    <w:bottom w:val="none" w:sz="0" w:space="0" w:color="auto"/>
                    <w:right w:val="none" w:sz="0" w:space="0" w:color="auto"/>
                  </w:divBdr>
                </w:div>
              </w:divsChild>
            </w:div>
            <w:div w:id="137771111">
              <w:marLeft w:val="0"/>
              <w:marRight w:val="0"/>
              <w:marTop w:val="0"/>
              <w:marBottom w:val="0"/>
              <w:divBdr>
                <w:top w:val="none" w:sz="0" w:space="0" w:color="auto"/>
                <w:left w:val="none" w:sz="0" w:space="0" w:color="auto"/>
                <w:bottom w:val="none" w:sz="0" w:space="0" w:color="auto"/>
                <w:right w:val="none" w:sz="0" w:space="0" w:color="auto"/>
              </w:divBdr>
              <w:divsChild>
                <w:div w:id="871651174">
                  <w:marLeft w:val="0"/>
                  <w:marRight w:val="0"/>
                  <w:marTop w:val="0"/>
                  <w:marBottom w:val="0"/>
                  <w:divBdr>
                    <w:top w:val="none" w:sz="0" w:space="0" w:color="auto"/>
                    <w:left w:val="none" w:sz="0" w:space="0" w:color="auto"/>
                    <w:bottom w:val="none" w:sz="0" w:space="0" w:color="auto"/>
                    <w:right w:val="none" w:sz="0" w:space="0" w:color="auto"/>
                  </w:divBdr>
                </w:div>
              </w:divsChild>
            </w:div>
            <w:div w:id="143356025">
              <w:marLeft w:val="0"/>
              <w:marRight w:val="0"/>
              <w:marTop w:val="0"/>
              <w:marBottom w:val="0"/>
              <w:divBdr>
                <w:top w:val="none" w:sz="0" w:space="0" w:color="auto"/>
                <w:left w:val="none" w:sz="0" w:space="0" w:color="auto"/>
                <w:bottom w:val="none" w:sz="0" w:space="0" w:color="auto"/>
                <w:right w:val="none" w:sz="0" w:space="0" w:color="auto"/>
              </w:divBdr>
              <w:divsChild>
                <w:div w:id="904879761">
                  <w:marLeft w:val="0"/>
                  <w:marRight w:val="0"/>
                  <w:marTop w:val="0"/>
                  <w:marBottom w:val="0"/>
                  <w:divBdr>
                    <w:top w:val="none" w:sz="0" w:space="0" w:color="auto"/>
                    <w:left w:val="none" w:sz="0" w:space="0" w:color="auto"/>
                    <w:bottom w:val="none" w:sz="0" w:space="0" w:color="auto"/>
                    <w:right w:val="none" w:sz="0" w:space="0" w:color="auto"/>
                  </w:divBdr>
                </w:div>
              </w:divsChild>
            </w:div>
            <w:div w:id="163590904">
              <w:marLeft w:val="0"/>
              <w:marRight w:val="0"/>
              <w:marTop w:val="0"/>
              <w:marBottom w:val="0"/>
              <w:divBdr>
                <w:top w:val="none" w:sz="0" w:space="0" w:color="auto"/>
                <w:left w:val="none" w:sz="0" w:space="0" w:color="auto"/>
                <w:bottom w:val="none" w:sz="0" w:space="0" w:color="auto"/>
                <w:right w:val="none" w:sz="0" w:space="0" w:color="auto"/>
              </w:divBdr>
              <w:divsChild>
                <w:div w:id="1505587772">
                  <w:marLeft w:val="0"/>
                  <w:marRight w:val="0"/>
                  <w:marTop w:val="0"/>
                  <w:marBottom w:val="0"/>
                  <w:divBdr>
                    <w:top w:val="none" w:sz="0" w:space="0" w:color="auto"/>
                    <w:left w:val="none" w:sz="0" w:space="0" w:color="auto"/>
                    <w:bottom w:val="none" w:sz="0" w:space="0" w:color="auto"/>
                    <w:right w:val="none" w:sz="0" w:space="0" w:color="auto"/>
                  </w:divBdr>
                </w:div>
              </w:divsChild>
            </w:div>
            <w:div w:id="190800749">
              <w:marLeft w:val="0"/>
              <w:marRight w:val="0"/>
              <w:marTop w:val="0"/>
              <w:marBottom w:val="0"/>
              <w:divBdr>
                <w:top w:val="none" w:sz="0" w:space="0" w:color="auto"/>
                <w:left w:val="none" w:sz="0" w:space="0" w:color="auto"/>
                <w:bottom w:val="none" w:sz="0" w:space="0" w:color="auto"/>
                <w:right w:val="none" w:sz="0" w:space="0" w:color="auto"/>
              </w:divBdr>
              <w:divsChild>
                <w:div w:id="1073815411">
                  <w:marLeft w:val="0"/>
                  <w:marRight w:val="0"/>
                  <w:marTop w:val="0"/>
                  <w:marBottom w:val="0"/>
                  <w:divBdr>
                    <w:top w:val="none" w:sz="0" w:space="0" w:color="auto"/>
                    <w:left w:val="none" w:sz="0" w:space="0" w:color="auto"/>
                    <w:bottom w:val="none" w:sz="0" w:space="0" w:color="auto"/>
                    <w:right w:val="none" w:sz="0" w:space="0" w:color="auto"/>
                  </w:divBdr>
                </w:div>
              </w:divsChild>
            </w:div>
            <w:div w:id="195973005">
              <w:marLeft w:val="0"/>
              <w:marRight w:val="0"/>
              <w:marTop w:val="0"/>
              <w:marBottom w:val="0"/>
              <w:divBdr>
                <w:top w:val="none" w:sz="0" w:space="0" w:color="auto"/>
                <w:left w:val="none" w:sz="0" w:space="0" w:color="auto"/>
                <w:bottom w:val="none" w:sz="0" w:space="0" w:color="auto"/>
                <w:right w:val="none" w:sz="0" w:space="0" w:color="auto"/>
              </w:divBdr>
              <w:divsChild>
                <w:div w:id="1841239735">
                  <w:marLeft w:val="0"/>
                  <w:marRight w:val="0"/>
                  <w:marTop w:val="0"/>
                  <w:marBottom w:val="0"/>
                  <w:divBdr>
                    <w:top w:val="none" w:sz="0" w:space="0" w:color="auto"/>
                    <w:left w:val="none" w:sz="0" w:space="0" w:color="auto"/>
                    <w:bottom w:val="none" w:sz="0" w:space="0" w:color="auto"/>
                    <w:right w:val="none" w:sz="0" w:space="0" w:color="auto"/>
                  </w:divBdr>
                </w:div>
              </w:divsChild>
            </w:div>
            <w:div w:id="229080127">
              <w:marLeft w:val="0"/>
              <w:marRight w:val="0"/>
              <w:marTop w:val="0"/>
              <w:marBottom w:val="0"/>
              <w:divBdr>
                <w:top w:val="none" w:sz="0" w:space="0" w:color="auto"/>
                <w:left w:val="none" w:sz="0" w:space="0" w:color="auto"/>
                <w:bottom w:val="none" w:sz="0" w:space="0" w:color="auto"/>
                <w:right w:val="none" w:sz="0" w:space="0" w:color="auto"/>
              </w:divBdr>
              <w:divsChild>
                <w:div w:id="1366633562">
                  <w:marLeft w:val="0"/>
                  <w:marRight w:val="0"/>
                  <w:marTop w:val="0"/>
                  <w:marBottom w:val="0"/>
                  <w:divBdr>
                    <w:top w:val="none" w:sz="0" w:space="0" w:color="auto"/>
                    <w:left w:val="none" w:sz="0" w:space="0" w:color="auto"/>
                    <w:bottom w:val="none" w:sz="0" w:space="0" w:color="auto"/>
                    <w:right w:val="none" w:sz="0" w:space="0" w:color="auto"/>
                  </w:divBdr>
                </w:div>
              </w:divsChild>
            </w:div>
            <w:div w:id="317803152">
              <w:marLeft w:val="0"/>
              <w:marRight w:val="0"/>
              <w:marTop w:val="0"/>
              <w:marBottom w:val="0"/>
              <w:divBdr>
                <w:top w:val="none" w:sz="0" w:space="0" w:color="auto"/>
                <w:left w:val="none" w:sz="0" w:space="0" w:color="auto"/>
                <w:bottom w:val="none" w:sz="0" w:space="0" w:color="auto"/>
                <w:right w:val="none" w:sz="0" w:space="0" w:color="auto"/>
              </w:divBdr>
              <w:divsChild>
                <w:div w:id="1880432546">
                  <w:marLeft w:val="0"/>
                  <w:marRight w:val="0"/>
                  <w:marTop w:val="0"/>
                  <w:marBottom w:val="0"/>
                  <w:divBdr>
                    <w:top w:val="none" w:sz="0" w:space="0" w:color="auto"/>
                    <w:left w:val="none" w:sz="0" w:space="0" w:color="auto"/>
                    <w:bottom w:val="none" w:sz="0" w:space="0" w:color="auto"/>
                    <w:right w:val="none" w:sz="0" w:space="0" w:color="auto"/>
                  </w:divBdr>
                </w:div>
              </w:divsChild>
            </w:div>
            <w:div w:id="535121186">
              <w:marLeft w:val="0"/>
              <w:marRight w:val="0"/>
              <w:marTop w:val="0"/>
              <w:marBottom w:val="0"/>
              <w:divBdr>
                <w:top w:val="none" w:sz="0" w:space="0" w:color="auto"/>
                <w:left w:val="none" w:sz="0" w:space="0" w:color="auto"/>
                <w:bottom w:val="none" w:sz="0" w:space="0" w:color="auto"/>
                <w:right w:val="none" w:sz="0" w:space="0" w:color="auto"/>
              </w:divBdr>
              <w:divsChild>
                <w:div w:id="557016686">
                  <w:marLeft w:val="0"/>
                  <w:marRight w:val="0"/>
                  <w:marTop w:val="0"/>
                  <w:marBottom w:val="0"/>
                  <w:divBdr>
                    <w:top w:val="none" w:sz="0" w:space="0" w:color="auto"/>
                    <w:left w:val="none" w:sz="0" w:space="0" w:color="auto"/>
                    <w:bottom w:val="none" w:sz="0" w:space="0" w:color="auto"/>
                    <w:right w:val="none" w:sz="0" w:space="0" w:color="auto"/>
                  </w:divBdr>
                </w:div>
              </w:divsChild>
            </w:div>
            <w:div w:id="551307433">
              <w:marLeft w:val="0"/>
              <w:marRight w:val="0"/>
              <w:marTop w:val="0"/>
              <w:marBottom w:val="0"/>
              <w:divBdr>
                <w:top w:val="none" w:sz="0" w:space="0" w:color="auto"/>
                <w:left w:val="none" w:sz="0" w:space="0" w:color="auto"/>
                <w:bottom w:val="none" w:sz="0" w:space="0" w:color="auto"/>
                <w:right w:val="none" w:sz="0" w:space="0" w:color="auto"/>
              </w:divBdr>
              <w:divsChild>
                <w:div w:id="1172333135">
                  <w:marLeft w:val="0"/>
                  <w:marRight w:val="0"/>
                  <w:marTop w:val="0"/>
                  <w:marBottom w:val="0"/>
                  <w:divBdr>
                    <w:top w:val="none" w:sz="0" w:space="0" w:color="auto"/>
                    <w:left w:val="none" w:sz="0" w:space="0" w:color="auto"/>
                    <w:bottom w:val="none" w:sz="0" w:space="0" w:color="auto"/>
                    <w:right w:val="none" w:sz="0" w:space="0" w:color="auto"/>
                  </w:divBdr>
                </w:div>
              </w:divsChild>
            </w:div>
            <w:div w:id="589506967">
              <w:marLeft w:val="0"/>
              <w:marRight w:val="0"/>
              <w:marTop w:val="0"/>
              <w:marBottom w:val="0"/>
              <w:divBdr>
                <w:top w:val="none" w:sz="0" w:space="0" w:color="auto"/>
                <w:left w:val="none" w:sz="0" w:space="0" w:color="auto"/>
                <w:bottom w:val="none" w:sz="0" w:space="0" w:color="auto"/>
                <w:right w:val="none" w:sz="0" w:space="0" w:color="auto"/>
              </w:divBdr>
              <w:divsChild>
                <w:div w:id="1772582117">
                  <w:marLeft w:val="0"/>
                  <w:marRight w:val="0"/>
                  <w:marTop w:val="0"/>
                  <w:marBottom w:val="0"/>
                  <w:divBdr>
                    <w:top w:val="none" w:sz="0" w:space="0" w:color="auto"/>
                    <w:left w:val="none" w:sz="0" w:space="0" w:color="auto"/>
                    <w:bottom w:val="none" w:sz="0" w:space="0" w:color="auto"/>
                    <w:right w:val="none" w:sz="0" w:space="0" w:color="auto"/>
                  </w:divBdr>
                </w:div>
              </w:divsChild>
            </w:div>
            <w:div w:id="629824470">
              <w:marLeft w:val="0"/>
              <w:marRight w:val="0"/>
              <w:marTop w:val="0"/>
              <w:marBottom w:val="0"/>
              <w:divBdr>
                <w:top w:val="none" w:sz="0" w:space="0" w:color="auto"/>
                <w:left w:val="none" w:sz="0" w:space="0" w:color="auto"/>
                <w:bottom w:val="none" w:sz="0" w:space="0" w:color="auto"/>
                <w:right w:val="none" w:sz="0" w:space="0" w:color="auto"/>
              </w:divBdr>
              <w:divsChild>
                <w:div w:id="205028321">
                  <w:marLeft w:val="0"/>
                  <w:marRight w:val="0"/>
                  <w:marTop w:val="0"/>
                  <w:marBottom w:val="0"/>
                  <w:divBdr>
                    <w:top w:val="none" w:sz="0" w:space="0" w:color="auto"/>
                    <w:left w:val="none" w:sz="0" w:space="0" w:color="auto"/>
                    <w:bottom w:val="none" w:sz="0" w:space="0" w:color="auto"/>
                    <w:right w:val="none" w:sz="0" w:space="0" w:color="auto"/>
                  </w:divBdr>
                </w:div>
              </w:divsChild>
            </w:div>
            <w:div w:id="835728067">
              <w:marLeft w:val="0"/>
              <w:marRight w:val="0"/>
              <w:marTop w:val="0"/>
              <w:marBottom w:val="0"/>
              <w:divBdr>
                <w:top w:val="none" w:sz="0" w:space="0" w:color="auto"/>
                <w:left w:val="none" w:sz="0" w:space="0" w:color="auto"/>
                <w:bottom w:val="none" w:sz="0" w:space="0" w:color="auto"/>
                <w:right w:val="none" w:sz="0" w:space="0" w:color="auto"/>
              </w:divBdr>
              <w:divsChild>
                <w:div w:id="6947868">
                  <w:marLeft w:val="0"/>
                  <w:marRight w:val="0"/>
                  <w:marTop w:val="0"/>
                  <w:marBottom w:val="0"/>
                  <w:divBdr>
                    <w:top w:val="none" w:sz="0" w:space="0" w:color="auto"/>
                    <w:left w:val="none" w:sz="0" w:space="0" w:color="auto"/>
                    <w:bottom w:val="none" w:sz="0" w:space="0" w:color="auto"/>
                    <w:right w:val="none" w:sz="0" w:space="0" w:color="auto"/>
                  </w:divBdr>
                </w:div>
              </w:divsChild>
            </w:div>
            <w:div w:id="1002775770">
              <w:marLeft w:val="0"/>
              <w:marRight w:val="0"/>
              <w:marTop w:val="0"/>
              <w:marBottom w:val="0"/>
              <w:divBdr>
                <w:top w:val="none" w:sz="0" w:space="0" w:color="auto"/>
                <w:left w:val="none" w:sz="0" w:space="0" w:color="auto"/>
                <w:bottom w:val="none" w:sz="0" w:space="0" w:color="auto"/>
                <w:right w:val="none" w:sz="0" w:space="0" w:color="auto"/>
              </w:divBdr>
              <w:divsChild>
                <w:div w:id="1430852494">
                  <w:marLeft w:val="0"/>
                  <w:marRight w:val="0"/>
                  <w:marTop w:val="0"/>
                  <w:marBottom w:val="0"/>
                  <w:divBdr>
                    <w:top w:val="none" w:sz="0" w:space="0" w:color="auto"/>
                    <w:left w:val="none" w:sz="0" w:space="0" w:color="auto"/>
                    <w:bottom w:val="none" w:sz="0" w:space="0" w:color="auto"/>
                    <w:right w:val="none" w:sz="0" w:space="0" w:color="auto"/>
                  </w:divBdr>
                </w:div>
              </w:divsChild>
            </w:div>
            <w:div w:id="1054428811">
              <w:marLeft w:val="0"/>
              <w:marRight w:val="0"/>
              <w:marTop w:val="0"/>
              <w:marBottom w:val="0"/>
              <w:divBdr>
                <w:top w:val="none" w:sz="0" w:space="0" w:color="auto"/>
                <w:left w:val="none" w:sz="0" w:space="0" w:color="auto"/>
                <w:bottom w:val="none" w:sz="0" w:space="0" w:color="auto"/>
                <w:right w:val="none" w:sz="0" w:space="0" w:color="auto"/>
              </w:divBdr>
              <w:divsChild>
                <w:div w:id="2068840860">
                  <w:marLeft w:val="0"/>
                  <w:marRight w:val="0"/>
                  <w:marTop w:val="0"/>
                  <w:marBottom w:val="0"/>
                  <w:divBdr>
                    <w:top w:val="none" w:sz="0" w:space="0" w:color="auto"/>
                    <w:left w:val="none" w:sz="0" w:space="0" w:color="auto"/>
                    <w:bottom w:val="none" w:sz="0" w:space="0" w:color="auto"/>
                    <w:right w:val="none" w:sz="0" w:space="0" w:color="auto"/>
                  </w:divBdr>
                </w:div>
              </w:divsChild>
            </w:div>
            <w:div w:id="1260917317">
              <w:marLeft w:val="0"/>
              <w:marRight w:val="0"/>
              <w:marTop w:val="0"/>
              <w:marBottom w:val="0"/>
              <w:divBdr>
                <w:top w:val="none" w:sz="0" w:space="0" w:color="auto"/>
                <w:left w:val="none" w:sz="0" w:space="0" w:color="auto"/>
                <w:bottom w:val="none" w:sz="0" w:space="0" w:color="auto"/>
                <w:right w:val="none" w:sz="0" w:space="0" w:color="auto"/>
              </w:divBdr>
              <w:divsChild>
                <w:div w:id="889458637">
                  <w:marLeft w:val="0"/>
                  <w:marRight w:val="0"/>
                  <w:marTop w:val="0"/>
                  <w:marBottom w:val="0"/>
                  <w:divBdr>
                    <w:top w:val="none" w:sz="0" w:space="0" w:color="auto"/>
                    <w:left w:val="none" w:sz="0" w:space="0" w:color="auto"/>
                    <w:bottom w:val="none" w:sz="0" w:space="0" w:color="auto"/>
                    <w:right w:val="none" w:sz="0" w:space="0" w:color="auto"/>
                  </w:divBdr>
                </w:div>
                <w:div w:id="1621645072">
                  <w:marLeft w:val="0"/>
                  <w:marRight w:val="0"/>
                  <w:marTop w:val="0"/>
                  <w:marBottom w:val="0"/>
                  <w:divBdr>
                    <w:top w:val="none" w:sz="0" w:space="0" w:color="auto"/>
                    <w:left w:val="none" w:sz="0" w:space="0" w:color="auto"/>
                    <w:bottom w:val="none" w:sz="0" w:space="0" w:color="auto"/>
                    <w:right w:val="none" w:sz="0" w:space="0" w:color="auto"/>
                  </w:divBdr>
                </w:div>
              </w:divsChild>
            </w:div>
            <w:div w:id="1502697708">
              <w:marLeft w:val="0"/>
              <w:marRight w:val="0"/>
              <w:marTop w:val="0"/>
              <w:marBottom w:val="0"/>
              <w:divBdr>
                <w:top w:val="none" w:sz="0" w:space="0" w:color="auto"/>
                <w:left w:val="none" w:sz="0" w:space="0" w:color="auto"/>
                <w:bottom w:val="none" w:sz="0" w:space="0" w:color="auto"/>
                <w:right w:val="none" w:sz="0" w:space="0" w:color="auto"/>
              </w:divBdr>
              <w:divsChild>
                <w:div w:id="1909729609">
                  <w:marLeft w:val="0"/>
                  <w:marRight w:val="0"/>
                  <w:marTop w:val="0"/>
                  <w:marBottom w:val="0"/>
                  <w:divBdr>
                    <w:top w:val="none" w:sz="0" w:space="0" w:color="auto"/>
                    <w:left w:val="none" w:sz="0" w:space="0" w:color="auto"/>
                    <w:bottom w:val="none" w:sz="0" w:space="0" w:color="auto"/>
                    <w:right w:val="none" w:sz="0" w:space="0" w:color="auto"/>
                  </w:divBdr>
                </w:div>
              </w:divsChild>
            </w:div>
            <w:div w:id="1934315248">
              <w:marLeft w:val="0"/>
              <w:marRight w:val="0"/>
              <w:marTop w:val="0"/>
              <w:marBottom w:val="0"/>
              <w:divBdr>
                <w:top w:val="none" w:sz="0" w:space="0" w:color="auto"/>
                <w:left w:val="none" w:sz="0" w:space="0" w:color="auto"/>
                <w:bottom w:val="none" w:sz="0" w:space="0" w:color="auto"/>
                <w:right w:val="none" w:sz="0" w:space="0" w:color="auto"/>
              </w:divBdr>
              <w:divsChild>
                <w:div w:id="460000313">
                  <w:marLeft w:val="0"/>
                  <w:marRight w:val="0"/>
                  <w:marTop w:val="0"/>
                  <w:marBottom w:val="0"/>
                  <w:divBdr>
                    <w:top w:val="none" w:sz="0" w:space="0" w:color="auto"/>
                    <w:left w:val="none" w:sz="0" w:space="0" w:color="auto"/>
                    <w:bottom w:val="none" w:sz="0" w:space="0" w:color="auto"/>
                    <w:right w:val="none" w:sz="0" w:space="0" w:color="auto"/>
                  </w:divBdr>
                </w:div>
              </w:divsChild>
            </w:div>
            <w:div w:id="2055736305">
              <w:marLeft w:val="0"/>
              <w:marRight w:val="0"/>
              <w:marTop w:val="0"/>
              <w:marBottom w:val="0"/>
              <w:divBdr>
                <w:top w:val="none" w:sz="0" w:space="0" w:color="auto"/>
                <w:left w:val="none" w:sz="0" w:space="0" w:color="auto"/>
                <w:bottom w:val="none" w:sz="0" w:space="0" w:color="auto"/>
                <w:right w:val="none" w:sz="0" w:space="0" w:color="auto"/>
              </w:divBdr>
              <w:divsChild>
                <w:div w:id="20655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17935">
          <w:marLeft w:val="0"/>
          <w:marRight w:val="0"/>
          <w:marTop w:val="0"/>
          <w:marBottom w:val="0"/>
          <w:divBdr>
            <w:top w:val="none" w:sz="0" w:space="0" w:color="auto"/>
            <w:left w:val="none" w:sz="0" w:space="0" w:color="auto"/>
            <w:bottom w:val="none" w:sz="0" w:space="0" w:color="auto"/>
            <w:right w:val="none" w:sz="0" w:space="0" w:color="auto"/>
          </w:divBdr>
        </w:div>
        <w:div w:id="1262950162">
          <w:marLeft w:val="0"/>
          <w:marRight w:val="0"/>
          <w:marTop w:val="0"/>
          <w:marBottom w:val="0"/>
          <w:divBdr>
            <w:top w:val="none" w:sz="0" w:space="0" w:color="auto"/>
            <w:left w:val="none" w:sz="0" w:space="0" w:color="auto"/>
            <w:bottom w:val="none" w:sz="0" w:space="0" w:color="auto"/>
            <w:right w:val="none" w:sz="0" w:space="0" w:color="auto"/>
          </w:divBdr>
        </w:div>
        <w:div w:id="1273703770">
          <w:marLeft w:val="0"/>
          <w:marRight w:val="0"/>
          <w:marTop w:val="0"/>
          <w:marBottom w:val="0"/>
          <w:divBdr>
            <w:top w:val="none" w:sz="0" w:space="0" w:color="auto"/>
            <w:left w:val="none" w:sz="0" w:space="0" w:color="auto"/>
            <w:bottom w:val="none" w:sz="0" w:space="0" w:color="auto"/>
            <w:right w:val="none" w:sz="0" w:space="0" w:color="auto"/>
          </w:divBdr>
        </w:div>
        <w:div w:id="1290748090">
          <w:marLeft w:val="0"/>
          <w:marRight w:val="0"/>
          <w:marTop w:val="0"/>
          <w:marBottom w:val="0"/>
          <w:divBdr>
            <w:top w:val="none" w:sz="0" w:space="0" w:color="auto"/>
            <w:left w:val="none" w:sz="0" w:space="0" w:color="auto"/>
            <w:bottom w:val="none" w:sz="0" w:space="0" w:color="auto"/>
            <w:right w:val="none" w:sz="0" w:space="0" w:color="auto"/>
          </w:divBdr>
        </w:div>
        <w:div w:id="1293559315">
          <w:marLeft w:val="0"/>
          <w:marRight w:val="0"/>
          <w:marTop w:val="0"/>
          <w:marBottom w:val="0"/>
          <w:divBdr>
            <w:top w:val="none" w:sz="0" w:space="0" w:color="auto"/>
            <w:left w:val="none" w:sz="0" w:space="0" w:color="auto"/>
            <w:bottom w:val="none" w:sz="0" w:space="0" w:color="auto"/>
            <w:right w:val="none" w:sz="0" w:space="0" w:color="auto"/>
          </w:divBdr>
        </w:div>
        <w:div w:id="1333332699">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392536297">
          <w:marLeft w:val="0"/>
          <w:marRight w:val="0"/>
          <w:marTop w:val="0"/>
          <w:marBottom w:val="0"/>
          <w:divBdr>
            <w:top w:val="none" w:sz="0" w:space="0" w:color="auto"/>
            <w:left w:val="none" w:sz="0" w:space="0" w:color="auto"/>
            <w:bottom w:val="none" w:sz="0" w:space="0" w:color="auto"/>
            <w:right w:val="none" w:sz="0" w:space="0" w:color="auto"/>
          </w:divBdr>
        </w:div>
        <w:div w:id="1423836135">
          <w:marLeft w:val="0"/>
          <w:marRight w:val="0"/>
          <w:marTop w:val="0"/>
          <w:marBottom w:val="0"/>
          <w:divBdr>
            <w:top w:val="none" w:sz="0" w:space="0" w:color="auto"/>
            <w:left w:val="none" w:sz="0" w:space="0" w:color="auto"/>
            <w:bottom w:val="none" w:sz="0" w:space="0" w:color="auto"/>
            <w:right w:val="none" w:sz="0" w:space="0" w:color="auto"/>
          </w:divBdr>
        </w:div>
        <w:div w:id="1424103810">
          <w:marLeft w:val="0"/>
          <w:marRight w:val="0"/>
          <w:marTop w:val="0"/>
          <w:marBottom w:val="0"/>
          <w:divBdr>
            <w:top w:val="none" w:sz="0" w:space="0" w:color="auto"/>
            <w:left w:val="none" w:sz="0" w:space="0" w:color="auto"/>
            <w:bottom w:val="none" w:sz="0" w:space="0" w:color="auto"/>
            <w:right w:val="none" w:sz="0" w:space="0" w:color="auto"/>
          </w:divBdr>
        </w:div>
        <w:div w:id="1447694707">
          <w:marLeft w:val="0"/>
          <w:marRight w:val="0"/>
          <w:marTop w:val="0"/>
          <w:marBottom w:val="0"/>
          <w:divBdr>
            <w:top w:val="none" w:sz="0" w:space="0" w:color="auto"/>
            <w:left w:val="none" w:sz="0" w:space="0" w:color="auto"/>
            <w:bottom w:val="none" w:sz="0" w:space="0" w:color="auto"/>
            <w:right w:val="none" w:sz="0" w:space="0" w:color="auto"/>
          </w:divBdr>
        </w:div>
        <w:div w:id="1476602568">
          <w:marLeft w:val="0"/>
          <w:marRight w:val="0"/>
          <w:marTop w:val="0"/>
          <w:marBottom w:val="0"/>
          <w:divBdr>
            <w:top w:val="none" w:sz="0" w:space="0" w:color="auto"/>
            <w:left w:val="none" w:sz="0" w:space="0" w:color="auto"/>
            <w:bottom w:val="none" w:sz="0" w:space="0" w:color="auto"/>
            <w:right w:val="none" w:sz="0" w:space="0" w:color="auto"/>
          </w:divBdr>
        </w:div>
        <w:div w:id="1538083587">
          <w:marLeft w:val="0"/>
          <w:marRight w:val="0"/>
          <w:marTop w:val="0"/>
          <w:marBottom w:val="0"/>
          <w:divBdr>
            <w:top w:val="none" w:sz="0" w:space="0" w:color="auto"/>
            <w:left w:val="none" w:sz="0" w:space="0" w:color="auto"/>
            <w:bottom w:val="none" w:sz="0" w:space="0" w:color="auto"/>
            <w:right w:val="none" w:sz="0" w:space="0" w:color="auto"/>
          </w:divBdr>
        </w:div>
        <w:div w:id="1548030227">
          <w:marLeft w:val="0"/>
          <w:marRight w:val="0"/>
          <w:marTop w:val="0"/>
          <w:marBottom w:val="0"/>
          <w:divBdr>
            <w:top w:val="none" w:sz="0" w:space="0" w:color="auto"/>
            <w:left w:val="none" w:sz="0" w:space="0" w:color="auto"/>
            <w:bottom w:val="none" w:sz="0" w:space="0" w:color="auto"/>
            <w:right w:val="none" w:sz="0" w:space="0" w:color="auto"/>
          </w:divBdr>
        </w:div>
        <w:div w:id="1554928976">
          <w:marLeft w:val="0"/>
          <w:marRight w:val="0"/>
          <w:marTop w:val="0"/>
          <w:marBottom w:val="0"/>
          <w:divBdr>
            <w:top w:val="none" w:sz="0" w:space="0" w:color="auto"/>
            <w:left w:val="none" w:sz="0" w:space="0" w:color="auto"/>
            <w:bottom w:val="none" w:sz="0" w:space="0" w:color="auto"/>
            <w:right w:val="none" w:sz="0" w:space="0" w:color="auto"/>
          </w:divBdr>
        </w:div>
        <w:div w:id="1564877525">
          <w:marLeft w:val="0"/>
          <w:marRight w:val="0"/>
          <w:marTop w:val="0"/>
          <w:marBottom w:val="0"/>
          <w:divBdr>
            <w:top w:val="none" w:sz="0" w:space="0" w:color="auto"/>
            <w:left w:val="none" w:sz="0" w:space="0" w:color="auto"/>
            <w:bottom w:val="none" w:sz="0" w:space="0" w:color="auto"/>
            <w:right w:val="none" w:sz="0" w:space="0" w:color="auto"/>
          </w:divBdr>
        </w:div>
        <w:div w:id="1598827320">
          <w:marLeft w:val="0"/>
          <w:marRight w:val="0"/>
          <w:marTop w:val="0"/>
          <w:marBottom w:val="0"/>
          <w:divBdr>
            <w:top w:val="none" w:sz="0" w:space="0" w:color="auto"/>
            <w:left w:val="none" w:sz="0" w:space="0" w:color="auto"/>
            <w:bottom w:val="none" w:sz="0" w:space="0" w:color="auto"/>
            <w:right w:val="none" w:sz="0" w:space="0" w:color="auto"/>
          </w:divBdr>
        </w:div>
        <w:div w:id="1603339787">
          <w:marLeft w:val="0"/>
          <w:marRight w:val="0"/>
          <w:marTop w:val="0"/>
          <w:marBottom w:val="0"/>
          <w:divBdr>
            <w:top w:val="none" w:sz="0" w:space="0" w:color="auto"/>
            <w:left w:val="none" w:sz="0" w:space="0" w:color="auto"/>
            <w:bottom w:val="none" w:sz="0" w:space="0" w:color="auto"/>
            <w:right w:val="none" w:sz="0" w:space="0" w:color="auto"/>
          </w:divBdr>
        </w:div>
        <w:div w:id="1609049066">
          <w:marLeft w:val="0"/>
          <w:marRight w:val="0"/>
          <w:marTop w:val="0"/>
          <w:marBottom w:val="0"/>
          <w:divBdr>
            <w:top w:val="none" w:sz="0" w:space="0" w:color="auto"/>
            <w:left w:val="none" w:sz="0" w:space="0" w:color="auto"/>
            <w:bottom w:val="none" w:sz="0" w:space="0" w:color="auto"/>
            <w:right w:val="none" w:sz="0" w:space="0" w:color="auto"/>
          </w:divBdr>
        </w:div>
        <w:div w:id="1668284995">
          <w:marLeft w:val="0"/>
          <w:marRight w:val="0"/>
          <w:marTop w:val="0"/>
          <w:marBottom w:val="0"/>
          <w:divBdr>
            <w:top w:val="none" w:sz="0" w:space="0" w:color="auto"/>
            <w:left w:val="none" w:sz="0" w:space="0" w:color="auto"/>
            <w:bottom w:val="none" w:sz="0" w:space="0" w:color="auto"/>
            <w:right w:val="none" w:sz="0" w:space="0" w:color="auto"/>
          </w:divBdr>
        </w:div>
        <w:div w:id="1678457487">
          <w:marLeft w:val="0"/>
          <w:marRight w:val="0"/>
          <w:marTop w:val="0"/>
          <w:marBottom w:val="0"/>
          <w:divBdr>
            <w:top w:val="none" w:sz="0" w:space="0" w:color="auto"/>
            <w:left w:val="none" w:sz="0" w:space="0" w:color="auto"/>
            <w:bottom w:val="none" w:sz="0" w:space="0" w:color="auto"/>
            <w:right w:val="none" w:sz="0" w:space="0" w:color="auto"/>
          </w:divBdr>
        </w:div>
        <w:div w:id="1684699679">
          <w:marLeft w:val="0"/>
          <w:marRight w:val="0"/>
          <w:marTop w:val="0"/>
          <w:marBottom w:val="0"/>
          <w:divBdr>
            <w:top w:val="none" w:sz="0" w:space="0" w:color="auto"/>
            <w:left w:val="none" w:sz="0" w:space="0" w:color="auto"/>
            <w:bottom w:val="none" w:sz="0" w:space="0" w:color="auto"/>
            <w:right w:val="none" w:sz="0" w:space="0" w:color="auto"/>
          </w:divBdr>
        </w:div>
        <w:div w:id="1738550669">
          <w:marLeft w:val="0"/>
          <w:marRight w:val="0"/>
          <w:marTop w:val="0"/>
          <w:marBottom w:val="0"/>
          <w:divBdr>
            <w:top w:val="none" w:sz="0" w:space="0" w:color="auto"/>
            <w:left w:val="none" w:sz="0" w:space="0" w:color="auto"/>
            <w:bottom w:val="none" w:sz="0" w:space="0" w:color="auto"/>
            <w:right w:val="none" w:sz="0" w:space="0" w:color="auto"/>
          </w:divBdr>
        </w:div>
        <w:div w:id="1746950492">
          <w:marLeft w:val="0"/>
          <w:marRight w:val="0"/>
          <w:marTop w:val="0"/>
          <w:marBottom w:val="0"/>
          <w:divBdr>
            <w:top w:val="none" w:sz="0" w:space="0" w:color="auto"/>
            <w:left w:val="none" w:sz="0" w:space="0" w:color="auto"/>
            <w:bottom w:val="none" w:sz="0" w:space="0" w:color="auto"/>
            <w:right w:val="none" w:sz="0" w:space="0" w:color="auto"/>
          </w:divBdr>
        </w:div>
        <w:div w:id="1773474981">
          <w:marLeft w:val="0"/>
          <w:marRight w:val="0"/>
          <w:marTop w:val="0"/>
          <w:marBottom w:val="0"/>
          <w:divBdr>
            <w:top w:val="none" w:sz="0" w:space="0" w:color="auto"/>
            <w:left w:val="none" w:sz="0" w:space="0" w:color="auto"/>
            <w:bottom w:val="none" w:sz="0" w:space="0" w:color="auto"/>
            <w:right w:val="none" w:sz="0" w:space="0" w:color="auto"/>
          </w:divBdr>
        </w:div>
        <w:div w:id="1808619302">
          <w:marLeft w:val="0"/>
          <w:marRight w:val="0"/>
          <w:marTop w:val="0"/>
          <w:marBottom w:val="0"/>
          <w:divBdr>
            <w:top w:val="none" w:sz="0" w:space="0" w:color="auto"/>
            <w:left w:val="none" w:sz="0" w:space="0" w:color="auto"/>
            <w:bottom w:val="none" w:sz="0" w:space="0" w:color="auto"/>
            <w:right w:val="none" w:sz="0" w:space="0" w:color="auto"/>
          </w:divBdr>
        </w:div>
        <w:div w:id="1843231840">
          <w:marLeft w:val="0"/>
          <w:marRight w:val="0"/>
          <w:marTop w:val="0"/>
          <w:marBottom w:val="0"/>
          <w:divBdr>
            <w:top w:val="none" w:sz="0" w:space="0" w:color="auto"/>
            <w:left w:val="none" w:sz="0" w:space="0" w:color="auto"/>
            <w:bottom w:val="none" w:sz="0" w:space="0" w:color="auto"/>
            <w:right w:val="none" w:sz="0" w:space="0" w:color="auto"/>
          </w:divBdr>
        </w:div>
        <w:div w:id="1904295850">
          <w:marLeft w:val="0"/>
          <w:marRight w:val="0"/>
          <w:marTop w:val="0"/>
          <w:marBottom w:val="0"/>
          <w:divBdr>
            <w:top w:val="none" w:sz="0" w:space="0" w:color="auto"/>
            <w:left w:val="none" w:sz="0" w:space="0" w:color="auto"/>
            <w:bottom w:val="none" w:sz="0" w:space="0" w:color="auto"/>
            <w:right w:val="none" w:sz="0" w:space="0" w:color="auto"/>
          </w:divBdr>
        </w:div>
        <w:div w:id="1942911452">
          <w:marLeft w:val="0"/>
          <w:marRight w:val="0"/>
          <w:marTop w:val="0"/>
          <w:marBottom w:val="0"/>
          <w:divBdr>
            <w:top w:val="none" w:sz="0" w:space="0" w:color="auto"/>
            <w:left w:val="none" w:sz="0" w:space="0" w:color="auto"/>
            <w:bottom w:val="none" w:sz="0" w:space="0" w:color="auto"/>
            <w:right w:val="none" w:sz="0" w:space="0" w:color="auto"/>
          </w:divBdr>
        </w:div>
        <w:div w:id="1952322712">
          <w:marLeft w:val="0"/>
          <w:marRight w:val="0"/>
          <w:marTop w:val="0"/>
          <w:marBottom w:val="0"/>
          <w:divBdr>
            <w:top w:val="none" w:sz="0" w:space="0" w:color="auto"/>
            <w:left w:val="none" w:sz="0" w:space="0" w:color="auto"/>
            <w:bottom w:val="none" w:sz="0" w:space="0" w:color="auto"/>
            <w:right w:val="none" w:sz="0" w:space="0" w:color="auto"/>
          </w:divBdr>
        </w:div>
        <w:div w:id="1956210275">
          <w:marLeft w:val="0"/>
          <w:marRight w:val="0"/>
          <w:marTop w:val="0"/>
          <w:marBottom w:val="0"/>
          <w:divBdr>
            <w:top w:val="none" w:sz="0" w:space="0" w:color="auto"/>
            <w:left w:val="none" w:sz="0" w:space="0" w:color="auto"/>
            <w:bottom w:val="none" w:sz="0" w:space="0" w:color="auto"/>
            <w:right w:val="none" w:sz="0" w:space="0" w:color="auto"/>
          </w:divBdr>
        </w:div>
        <w:div w:id="2005353349">
          <w:marLeft w:val="0"/>
          <w:marRight w:val="0"/>
          <w:marTop w:val="0"/>
          <w:marBottom w:val="0"/>
          <w:divBdr>
            <w:top w:val="none" w:sz="0" w:space="0" w:color="auto"/>
            <w:left w:val="none" w:sz="0" w:space="0" w:color="auto"/>
            <w:bottom w:val="none" w:sz="0" w:space="0" w:color="auto"/>
            <w:right w:val="none" w:sz="0" w:space="0" w:color="auto"/>
          </w:divBdr>
        </w:div>
        <w:div w:id="2016958452">
          <w:marLeft w:val="0"/>
          <w:marRight w:val="0"/>
          <w:marTop w:val="0"/>
          <w:marBottom w:val="0"/>
          <w:divBdr>
            <w:top w:val="none" w:sz="0" w:space="0" w:color="auto"/>
            <w:left w:val="none" w:sz="0" w:space="0" w:color="auto"/>
            <w:bottom w:val="none" w:sz="0" w:space="0" w:color="auto"/>
            <w:right w:val="none" w:sz="0" w:space="0" w:color="auto"/>
          </w:divBdr>
        </w:div>
        <w:div w:id="2036038218">
          <w:marLeft w:val="0"/>
          <w:marRight w:val="0"/>
          <w:marTop w:val="0"/>
          <w:marBottom w:val="0"/>
          <w:divBdr>
            <w:top w:val="none" w:sz="0" w:space="0" w:color="auto"/>
            <w:left w:val="none" w:sz="0" w:space="0" w:color="auto"/>
            <w:bottom w:val="none" w:sz="0" w:space="0" w:color="auto"/>
            <w:right w:val="none" w:sz="0" w:space="0" w:color="auto"/>
          </w:divBdr>
        </w:div>
        <w:div w:id="2115901442">
          <w:marLeft w:val="0"/>
          <w:marRight w:val="0"/>
          <w:marTop w:val="0"/>
          <w:marBottom w:val="0"/>
          <w:divBdr>
            <w:top w:val="none" w:sz="0" w:space="0" w:color="auto"/>
            <w:left w:val="none" w:sz="0" w:space="0" w:color="auto"/>
            <w:bottom w:val="none" w:sz="0" w:space="0" w:color="auto"/>
            <w:right w:val="none" w:sz="0" w:space="0" w:color="auto"/>
          </w:divBdr>
        </w:div>
        <w:div w:id="2123574823">
          <w:marLeft w:val="0"/>
          <w:marRight w:val="0"/>
          <w:marTop w:val="0"/>
          <w:marBottom w:val="0"/>
          <w:divBdr>
            <w:top w:val="none" w:sz="0" w:space="0" w:color="auto"/>
            <w:left w:val="none" w:sz="0" w:space="0" w:color="auto"/>
            <w:bottom w:val="none" w:sz="0" w:space="0" w:color="auto"/>
            <w:right w:val="none" w:sz="0" w:space="0" w:color="auto"/>
          </w:divBdr>
        </w:div>
      </w:divsChild>
    </w:div>
    <w:div w:id="1796289103">
      <w:bodyDiv w:val="1"/>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49423778">
              <w:marLeft w:val="0"/>
              <w:marRight w:val="0"/>
              <w:marTop w:val="0"/>
              <w:marBottom w:val="0"/>
              <w:divBdr>
                <w:top w:val="none" w:sz="0" w:space="0" w:color="auto"/>
                <w:left w:val="none" w:sz="0" w:space="0" w:color="auto"/>
                <w:bottom w:val="none" w:sz="0" w:space="0" w:color="auto"/>
                <w:right w:val="none" w:sz="0" w:space="0" w:color="auto"/>
              </w:divBdr>
            </w:div>
            <w:div w:id="993295438">
              <w:marLeft w:val="0"/>
              <w:marRight w:val="0"/>
              <w:marTop w:val="0"/>
              <w:marBottom w:val="0"/>
              <w:divBdr>
                <w:top w:val="none" w:sz="0" w:space="0" w:color="auto"/>
                <w:left w:val="none" w:sz="0" w:space="0" w:color="auto"/>
                <w:bottom w:val="none" w:sz="0" w:space="0" w:color="auto"/>
                <w:right w:val="none" w:sz="0" w:space="0" w:color="auto"/>
              </w:divBdr>
            </w:div>
            <w:div w:id="1504051895">
              <w:marLeft w:val="0"/>
              <w:marRight w:val="0"/>
              <w:marTop w:val="0"/>
              <w:marBottom w:val="0"/>
              <w:divBdr>
                <w:top w:val="none" w:sz="0" w:space="0" w:color="auto"/>
                <w:left w:val="none" w:sz="0" w:space="0" w:color="auto"/>
                <w:bottom w:val="none" w:sz="0" w:space="0" w:color="auto"/>
                <w:right w:val="none" w:sz="0" w:space="0" w:color="auto"/>
              </w:divBdr>
            </w:div>
            <w:div w:id="2053075369">
              <w:marLeft w:val="0"/>
              <w:marRight w:val="0"/>
              <w:marTop w:val="0"/>
              <w:marBottom w:val="0"/>
              <w:divBdr>
                <w:top w:val="none" w:sz="0" w:space="0" w:color="auto"/>
                <w:left w:val="none" w:sz="0" w:space="0" w:color="auto"/>
                <w:bottom w:val="none" w:sz="0" w:space="0" w:color="auto"/>
                <w:right w:val="none" w:sz="0" w:space="0" w:color="auto"/>
              </w:divBdr>
            </w:div>
            <w:div w:id="2058311756">
              <w:marLeft w:val="0"/>
              <w:marRight w:val="0"/>
              <w:marTop w:val="0"/>
              <w:marBottom w:val="0"/>
              <w:divBdr>
                <w:top w:val="none" w:sz="0" w:space="0" w:color="auto"/>
                <w:left w:val="none" w:sz="0" w:space="0" w:color="auto"/>
                <w:bottom w:val="none" w:sz="0" w:space="0" w:color="auto"/>
                <w:right w:val="none" w:sz="0" w:space="0" w:color="auto"/>
              </w:divBdr>
            </w:div>
          </w:divsChild>
        </w:div>
        <w:div w:id="234634988">
          <w:marLeft w:val="0"/>
          <w:marRight w:val="0"/>
          <w:marTop w:val="0"/>
          <w:marBottom w:val="0"/>
          <w:divBdr>
            <w:top w:val="none" w:sz="0" w:space="0" w:color="auto"/>
            <w:left w:val="none" w:sz="0" w:space="0" w:color="auto"/>
            <w:bottom w:val="none" w:sz="0" w:space="0" w:color="auto"/>
            <w:right w:val="none" w:sz="0" w:space="0" w:color="auto"/>
          </w:divBdr>
        </w:div>
        <w:div w:id="278993385">
          <w:marLeft w:val="0"/>
          <w:marRight w:val="0"/>
          <w:marTop w:val="0"/>
          <w:marBottom w:val="0"/>
          <w:divBdr>
            <w:top w:val="none" w:sz="0" w:space="0" w:color="auto"/>
            <w:left w:val="none" w:sz="0" w:space="0" w:color="auto"/>
            <w:bottom w:val="none" w:sz="0" w:space="0" w:color="auto"/>
            <w:right w:val="none" w:sz="0" w:space="0" w:color="auto"/>
          </w:divBdr>
        </w:div>
        <w:div w:id="877820702">
          <w:marLeft w:val="0"/>
          <w:marRight w:val="0"/>
          <w:marTop w:val="0"/>
          <w:marBottom w:val="0"/>
          <w:divBdr>
            <w:top w:val="none" w:sz="0" w:space="0" w:color="auto"/>
            <w:left w:val="none" w:sz="0" w:space="0" w:color="auto"/>
            <w:bottom w:val="none" w:sz="0" w:space="0" w:color="auto"/>
            <w:right w:val="none" w:sz="0" w:space="0" w:color="auto"/>
          </w:divBdr>
        </w:div>
        <w:div w:id="1001664082">
          <w:marLeft w:val="0"/>
          <w:marRight w:val="0"/>
          <w:marTop w:val="0"/>
          <w:marBottom w:val="0"/>
          <w:divBdr>
            <w:top w:val="none" w:sz="0" w:space="0" w:color="auto"/>
            <w:left w:val="none" w:sz="0" w:space="0" w:color="auto"/>
            <w:bottom w:val="none" w:sz="0" w:space="0" w:color="auto"/>
            <w:right w:val="none" w:sz="0" w:space="0" w:color="auto"/>
          </w:divBdr>
          <w:divsChild>
            <w:div w:id="415634805">
              <w:marLeft w:val="0"/>
              <w:marRight w:val="0"/>
              <w:marTop w:val="0"/>
              <w:marBottom w:val="0"/>
              <w:divBdr>
                <w:top w:val="none" w:sz="0" w:space="0" w:color="auto"/>
                <w:left w:val="none" w:sz="0" w:space="0" w:color="auto"/>
                <w:bottom w:val="none" w:sz="0" w:space="0" w:color="auto"/>
                <w:right w:val="none" w:sz="0" w:space="0" w:color="auto"/>
              </w:divBdr>
            </w:div>
            <w:div w:id="779761646">
              <w:marLeft w:val="0"/>
              <w:marRight w:val="0"/>
              <w:marTop w:val="0"/>
              <w:marBottom w:val="0"/>
              <w:divBdr>
                <w:top w:val="none" w:sz="0" w:space="0" w:color="auto"/>
                <w:left w:val="none" w:sz="0" w:space="0" w:color="auto"/>
                <w:bottom w:val="none" w:sz="0" w:space="0" w:color="auto"/>
                <w:right w:val="none" w:sz="0" w:space="0" w:color="auto"/>
              </w:divBdr>
            </w:div>
            <w:div w:id="1126587003">
              <w:marLeft w:val="0"/>
              <w:marRight w:val="0"/>
              <w:marTop w:val="0"/>
              <w:marBottom w:val="0"/>
              <w:divBdr>
                <w:top w:val="none" w:sz="0" w:space="0" w:color="auto"/>
                <w:left w:val="none" w:sz="0" w:space="0" w:color="auto"/>
                <w:bottom w:val="none" w:sz="0" w:space="0" w:color="auto"/>
                <w:right w:val="none" w:sz="0" w:space="0" w:color="auto"/>
              </w:divBdr>
            </w:div>
          </w:divsChild>
        </w:div>
        <w:div w:id="1237858028">
          <w:marLeft w:val="0"/>
          <w:marRight w:val="0"/>
          <w:marTop w:val="0"/>
          <w:marBottom w:val="0"/>
          <w:divBdr>
            <w:top w:val="none" w:sz="0" w:space="0" w:color="auto"/>
            <w:left w:val="none" w:sz="0" w:space="0" w:color="auto"/>
            <w:bottom w:val="none" w:sz="0" w:space="0" w:color="auto"/>
            <w:right w:val="none" w:sz="0" w:space="0" w:color="auto"/>
          </w:divBdr>
        </w:div>
        <w:div w:id="1336148164">
          <w:marLeft w:val="0"/>
          <w:marRight w:val="0"/>
          <w:marTop w:val="0"/>
          <w:marBottom w:val="0"/>
          <w:divBdr>
            <w:top w:val="none" w:sz="0" w:space="0" w:color="auto"/>
            <w:left w:val="none" w:sz="0" w:space="0" w:color="auto"/>
            <w:bottom w:val="none" w:sz="0" w:space="0" w:color="auto"/>
            <w:right w:val="none" w:sz="0" w:space="0" w:color="auto"/>
          </w:divBdr>
        </w:div>
        <w:div w:id="1358123296">
          <w:marLeft w:val="0"/>
          <w:marRight w:val="0"/>
          <w:marTop w:val="0"/>
          <w:marBottom w:val="0"/>
          <w:divBdr>
            <w:top w:val="none" w:sz="0" w:space="0" w:color="auto"/>
            <w:left w:val="none" w:sz="0" w:space="0" w:color="auto"/>
            <w:bottom w:val="none" w:sz="0" w:space="0" w:color="auto"/>
            <w:right w:val="none" w:sz="0" w:space="0" w:color="auto"/>
          </w:divBdr>
        </w:div>
        <w:div w:id="1462069833">
          <w:marLeft w:val="0"/>
          <w:marRight w:val="0"/>
          <w:marTop w:val="0"/>
          <w:marBottom w:val="0"/>
          <w:divBdr>
            <w:top w:val="none" w:sz="0" w:space="0" w:color="auto"/>
            <w:left w:val="none" w:sz="0" w:space="0" w:color="auto"/>
            <w:bottom w:val="none" w:sz="0" w:space="0" w:color="auto"/>
            <w:right w:val="none" w:sz="0" w:space="0" w:color="auto"/>
          </w:divBdr>
        </w:div>
        <w:div w:id="1499080849">
          <w:marLeft w:val="0"/>
          <w:marRight w:val="0"/>
          <w:marTop w:val="0"/>
          <w:marBottom w:val="0"/>
          <w:divBdr>
            <w:top w:val="none" w:sz="0" w:space="0" w:color="auto"/>
            <w:left w:val="none" w:sz="0" w:space="0" w:color="auto"/>
            <w:bottom w:val="none" w:sz="0" w:space="0" w:color="auto"/>
            <w:right w:val="none" w:sz="0" w:space="0" w:color="auto"/>
          </w:divBdr>
        </w:div>
        <w:div w:id="1629899887">
          <w:marLeft w:val="0"/>
          <w:marRight w:val="0"/>
          <w:marTop w:val="0"/>
          <w:marBottom w:val="0"/>
          <w:divBdr>
            <w:top w:val="none" w:sz="0" w:space="0" w:color="auto"/>
            <w:left w:val="none" w:sz="0" w:space="0" w:color="auto"/>
            <w:bottom w:val="none" w:sz="0" w:space="0" w:color="auto"/>
            <w:right w:val="none" w:sz="0" w:space="0" w:color="auto"/>
          </w:divBdr>
        </w:div>
        <w:div w:id="1779324497">
          <w:marLeft w:val="0"/>
          <w:marRight w:val="0"/>
          <w:marTop w:val="0"/>
          <w:marBottom w:val="0"/>
          <w:divBdr>
            <w:top w:val="none" w:sz="0" w:space="0" w:color="auto"/>
            <w:left w:val="none" w:sz="0" w:space="0" w:color="auto"/>
            <w:bottom w:val="none" w:sz="0" w:space="0" w:color="auto"/>
            <w:right w:val="none" w:sz="0" w:space="0" w:color="auto"/>
          </w:divBdr>
          <w:divsChild>
            <w:div w:id="295180786">
              <w:marLeft w:val="0"/>
              <w:marRight w:val="0"/>
              <w:marTop w:val="0"/>
              <w:marBottom w:val="0"/>
              <w:divBdr>
                <w:top w:val="none" w:sz="0" w:space="0" w:color="auto"/>
                <w:left w:val="none" w:sz="0" w:space="0" w:color="auto"/>
                <w:bottom w:val="none" w:sz="0" w:space="0" w:color="auto"/>
                <w:right w:val="none" w:sz="0" w:space="0" w:color="auto"/>
              </w:divBdr>
            </w:div>
            <w:div w:id="305475318">
              <w:marLeft w:val="0"/>
              <w:marRight w:val="0"/>
              <w:marTop w:val="0"/>
              <w:marBottom w:val="0"/>
              <w:divBdr>
                <w:top w:val="none" w:sz="0" w:space="0" w:color="auto"/>
                <w:left w:val="none" w:sz="0" w:space="0" w:color="auto"/>
                <w:bottom w:val="none" w:sz="0" w:space="0" w:color="auto"/>
                <w:right w:val="none" w:sz="0" w:space="0" w:color="auto"/>
              </w:divBdr>
            </w:div>
            <w:div w:id="1192956019">
              <w:marLeft w:val="0"/>
              <w:marRight w:val="0"/>
              <w:marTop w:val="0"/>
              <w:marBottom w:val="0"/>
              <w:divBdr>
                <w:top w:val="none" w:sz="0" w:space="0" w:color="auto"/>
                <w:left w:val="none" w:sz="0" w:space="0" w:color="auto"/>
                <w:bottom w:val="none" w:sz="0" w:space="0" w:color="auto"/>
                <w:right w:val="none" w:sz="0" w:space="0" w:color="auto"/>
              </w:divBdr>
            </w:div>
            <w:div w:id="1745028684">
              <w:marLeft w:val="0"/>
              <w:marRight w:val="0"/>
              <w:marTop w:val="0"/>
              <w:marBottom w:val="0"/>
              <w:divBdr>
                <w:top w:val="none" w:sz="0" w:space="0" w:color="auto"/>
                <w:left w:val="none" w:sz="0" w:space="0" w:color="auto"/>
                <w:bottom w:val="none" w:sz="0" w:space="0" w:color="auto"/>
                <w:right w:val="none" w:sz="0" w:space="0" w:color="auto"/>
              </w:divBdr>
            </w:div>
            <w:div w:id="1780640932">
              <w:marLeft w:val="0"/>
              <w:marRight w:val="0"/>
              <w:marTop w:val="0"/>
              <w:marBottom w:val="0"/>
              <w:divBdr>
                <w:top w:val="none" w:sz="0" w:space="0" w:color="auto"/>
                <w:left w:val="none" w:sz="0" w:space="0" w:color="auto"/>
                <w:bottom w:val="none" w:sz="0" w:space="0" w:color="auto"/>
                <w:right w:val="none" w:sz="0" w:space="0" w:color="auto"/>
              </w:divBdr>
            </w:div>
          </w:divsChild>
        </w:div>
        <w:div w:id="1813717134">
          <w:marLeft w:val="0"/>
          <w:marRight w:val="0"/>
          <w:marTop w:val="0"/>
          <w:marBottom w:val="0"/>
          <w:divBdr>
            <w:top w:val="none" w:sz="0" w:space="0" w:color="auto"/>
            <w:left w:val="none" w:sz="0" w:space="0" w:color="auto"/>
            <w:bottom w:val="none" w:sz="0" w:space="0" w:color="auto"/>
            <w:right w:val="none" w:sz="0" w:space="0" w:color="auto"/>
          </w:divBdr>
        </w:div>
        <w:div w:id="2027906307">
          <w:marLeft w:val="0"/>
          <w:marRight w:val="0"/>
          <w:marTop w:val="0"/>
          <w:marBottom w:val="0"/>
          <w:divBdr>
            <w:top w:val="none" w:sz="0" w:space="0" w:color="auto"/>
            <w:left w:val="none" w:sz="0" w:space="0" w:color="auto"/>
            <w:bottom w:val="none" w:sz="0" w:space="0" w:color="auto"/>
            <w:right w:val="none" w:sz="0" w:space="0" w:color="auto"/>
          </w:divBdr>
          <w:divsChild>
            <w:div w:id="261498679">
              <w:marLeft w:val="-75"/>
              <w:marRight w:val="0"/>
              <w:marTop w:val="30"/>
              <w:marBottom w:val="30"/>
              <w:divBdr>
                <w:top w:val="none" w:sz="0" w:space="0" w:color="auto"/>
                <w:left w:val="none" w:sz="0" w:space="0" w:color="auto"/>
                <w:bottom w:val="none" w:sz="0" w:space="0" w:color="auto"/>
                <w:right w:val="none" w:sz="0" w:space="0" w:color="auto"/>
              </w:divBdr>
              <w:divsChild>
                <w:div w:id="105080309">
                  <w:marLeft w:val="0"/>
                  <w:marRight w:val="0"/>
                  <w:marTop w:val="0"/>
                  <w:marBottom w:val="0"/>
                  <w:divBdr>
                    <w:top w:val="none" w:sz="0" w:space="0" w:color="auto"/>
                    <w:left w:val="none" w:sz="0" w:space="0" w:color="auto"/>
                    <w:bottom w:val="none" w:sz="0" w:space="0" w:color="auto"/>
                    <w:right w:val="none" w:sz="0" w:space="0" w:color="auto"/>
                  </w:divBdr>
                  <w:divsChild>
                    <w:div w:id="1644657529">
                      <w:marLeft w:val="0"/>
                      <w:marRight w:val="0"/>
                      <w:marTop w:val="0"/>
                      <w:marBottom w:val="0"/>
                      <w:divBdr>
                        <w:top w:val="none" w:sz="0" w:space="0" w:color="auto"/>
                        <w:left w:val="none" w:sz="0" w:space="0" w:color="auto"/>
                        <w:bottom w:val="none" w:sz="0" w:space="0" w:color="auto"/>
                        <w:right w:val="none" w:sz="0" w:space="0" w:color="auto"/>
                      </w:divBdr>
                    </w:div>
                  </w:divsChild>
                </w:div>
                <w:div w:id="203448280">
                  <w:marLeft w:val="0"/>
                  <w:marRight w:val="0"/>
                  <w:marTop w:val="0"/>
                  <w:marBottom w:val="0"/>
                  <w:divBdr>
                    <w:top w:val="none" w:sz="0" w:space="0" w:color="auto"/>
                    <w:left w:val="none" w:sz="0" w:space="0" w:color="auto"/>
                    <w:bottom w:val="none" w:sz="0" w:space="0" w:color="auto"/>
                    <w:right w:val="none" w:sz="0" w:space="0" w:color="auto"/>
                  </w:divBdr>
                  <w:divsChild>
                    <w:div w:id="1555239140">
                      <w:marLeft w:val="0"/>
                      <w:marRight w:val="0"/>
                      <w:marTop w:val="0"/>
                      <w:marBottom w:val="0"/>
                      <w:divBdr>
                        <w:top w:val="none" w:sz="0" w:space="0" w:color="auto"/>
                        <w:left w:val="none" w:sz="0" w:space="0" w:color="auto"/>
                        <w:bottom w:val="none" w:sz="0" w:space="0" w:color="auto"/>
                        <w:right w:val="none" w:sz="0" w:space="0" w:color="auto"/>
                      </w:divBdr>
                    </w:div>
                  </w:divsChild>
                </w:div>
                <w:div w:id="305747759">
                  <w:marLeft w:val="0"/>
                  <w:marRight w:val="0"/>
                  <w:marTop w:val="0"/>
                  <w:marBottom w:val="0"/>
                  <w:divBdr>
                    <w:top w:val="none" w:sz="0" w:space="0" w:color="auto"/>
                    <w:left w:val="none" w:sz="0" w:space="0" w:color="auto"/>
                    <w:bottom w:val="none" w:sz="0" w:space="0" w:color="auto"/>
                    <w:right w:val="none" w:sz="0" w:space="0" w:color="auto"/>
                  </w:divBdr>
                  <w:divsChild>
                    <w:div w:id="575634394">
                      <w:marLeft w:val="0"/>
                      <w:marRight w:val="0"/>
                      <w:marTop w:val="0"/>
                      <w:marBottom w:val="0"/>
                      <w:divBdr>
                        <w:top w:val="none" w:sz="0" w:space="0" w:color="auto"/>
                        <w:left w:val="none" w:sz="0" w:space="0" w:color="auto"/>
                        <w:bottom w:val="none" w:sz="0" w:space="0" w:color="auto"/>
                        <w:right w:val="none" w:sz="0" w:space="0" w:color="auto"/>
                      </w:divBdr>
                    </w:div>
                  </w:divsChild>
                </w:div>
                <w:div w:id="309941069">
                  <w:marLeft w:val="0"/>
                  <w:marRight w:val="0"/>
                  <w:marTop w:val="0"/>
                  <w:marBottom w:val="0"/>
                  <w:divBdr>
                    <w:top w:val="none" w:sz="0" w:space="0" w:color="auto"/>
                    <w:left w:val="none" w:sz="0" w:space="0" w:color="auto"/>
                    <w:bottom w:val="none" w:sz="0" w:space="0" w:color="auto"/>
                    <w:right w:val="none" w:sz="0" w:space="0" w:color="auto"/>
                  </w:divBdr>
                  <w:divsChild>
                    <w:div w:id="16934126">
                      <w:marLeft w:val="0"/>
                      <w:marRight w:val="0"/>
                      <w:marTop w:val="0"/>
                      <w:marBottom w:val="0"/>
                      <w:divBdr>
                        <w:top w:val="none" w:sz="0" w:space="0" w:color="auto"/>
                        <w:left w:val="none" w:sz="0" w:space="0" w:color="auto"/>
                        <w:bottom w:val="none" w:sz="0" w:space="0" w:color="auto"/>
                        <w:right w:val="none" w:sz="0" w:space="0" w:color="auto"/>
                      </w:divBdr>
                    </w:div>
                    <w:div w:id="34738046">
                      <w:marLeft w:val="0"/>
                      <w:marRight w:val="0"/>
                      <w:marTop w:val="0"/>
                      <w:marBottom w:val="0"/>
                      <w:divBdr>
                        <w:top w:val="none" w:sz="0" w:space="0" w:color="auto"/>
                        <w:left w:val="none" w:sz="0" w:space="0" w:color="auto"/>
                        <w:bottom w:val="none" w:sz="0" w:space="0" w:color="auto"/>
                        <w:right w:val="none" w:sz="0" w:space="0" w:color="auto"/>
                      </w:divBdr>
                    </w:div>
                    <w:div w:id="65424428">
                      <w:marLeft w:val="0"/>
                      <w:marRight w:val="0"/>
                      <w:marTop w:val="0"/>
                      <w:marBottom w:val="0"/>
                      <w:divBdr>
                        <w:top w:val="none" w:sz="0" w:space="0" w:color="auto"/>
                        <w:left w:val="none" w:sz="0" w:space="0" w:color="auto"/>
                        <w:bottom w:val="none" w:sz="0" w:space="0" w:color="auto"/>
                        <w:right w:val="none" w:sz="0" w:space="0" w:color="auto"/>
                      </w:divBdr>
                    </w:div>
                    <w:div w:id="357435542">
                      <w:marLeft w:val="0"/>
                      <w:marRight w:val="0"/>
                      <w:marTop w:val="0"/>
                      <w:marBottom w:val="0"/>
                      <w:divBdr>
                        <w:top w:val="none" w:sz="0" w:space="0" w:color="auto"/>
                        <w:left w:val="none" w:sz="0" w:space="0" w:color="auto"/>
                        <w:bottom w:val="none" w:sz="0" w:space="0" w:color="auto"/>
                        <w:right w:val="none" w:sz="0" w:space="0" w:color="auto"/>
                      </w:divBdr>
                    </w:div>
                    <w:div w:id="376780055">
                      <w:marLeft w:val="0"/>
                      <w:marRight w:val="0"/>
                      <w:marTop w:val="0"/>
                      <w:marBottom w:val="0"/>
                      <w:divBdr>
                        <w:top w:val="none" w:sz="0" w:space="0" w:color="auto"/>
                        <w:left w:val="none" w:sz="0" w:space="0" w:color="auto"/>
                        <w:bottom w:val="none" w:sz="0" w:space="0" w:color="auto"/>
                        <w:right w:val="none" w:sz="0" w:space="0" w:color="auto"/>
                      </w:divBdr>
                    </w:div>
                    <w:div w:id="524946756">
                      <w:marLeft w:val="0"/>
                      <w:marRight w:val="0"/>
                      <w:marTop w:val="0"/>
                      <w:marBottom w:val="0"/>
                      <w:divBdr>
                        <w:top w:val="none" w:sz="0" w:space="0" w:color="auto"/>
                        <w:left w:val="none" w:sz="0" w:space="0" w:color="auto"/>
                        <w:bottom w:val="none" w:sz="0" w:space="0" w:color="auto"/>
                        <w:right w:val="none" w:sz="0" w:space="0" w:color="auto"/>
                      </w:divBdr>
                    </w:div>
                    <w:div w:id="620191699">
                      <w:marLeft w:val="0"/>
                      <w:marRight w:val="0"/>
                      <w:marTop w:val="0"/>
                      <w:marBottom w:val="0"/>
                      <w:divBdr>
                        <w:top w:val="none" w:sz="0" w:space="0" w:color="auto"/>
                        <w:left w:val="none" w:sz="0" w:space="0" w:color="auto"/>
                        <w:bottom w:val="none" w:sz="0" w:space="0" w:color="auto"/>
                        <w:right w:val="none" w:sz="0" w:space="0" w:color="auto"/>
                      </w:divBdr>
                    </w:div>
                    <w:div w:id="829640209">
                      <w:marLeft w:val="0"/>
                      <w:marRight w:val="0"/>
                      <w:marTop w:val="0"/>
                      <w:marBottom w:val="0"/>
                      <w:divBdr>
                        <w:top w:val="none" w:sz="0" w:space="0" w:color="auto"/>
                        <w:left w:val="none" w:sz="0" w:space="0" w:color="auto"/>
                        <w:bottom w:val="none" w:sz="0" w:space="0" w:color="auto"/>
                        <w:right w:val="none" w:sz="0" w:space="0" w:color="auto"/>
                      </w:divBdr>
                    </w:div>
                    <w:div w:id="850022308">
                      <w:marLeft w:val="0"/>
                      <w:marRight w:val="0"/>
                      <w:marTop w:val="0"/>
                      <w:marBottom w:val="0"/>
                      <w:divBdr>
                        <w:top w:val="none" w:sz="0" w:space="0" w:color="auto"/>
                        <w:left w:val="none" w:sz="0" w:space="0" w:color="auto"/>
                        <w:bottom w:val="none" w:sz="0" w:space="0" w:color="auto"/>
                        <w:right w:val="none" w:sz="0" w:space="0" w:color="auto"/>
                      </w:divBdr>
                    </w:div>
                    <w:div w:id="914558223">
                      <w:marLeft w:val="0"/>
                      <w:marRight w:val="0"/>
                      <w:marTop w:val="0"/>
                      <w:marBottom w:val="0"/>
                      <w:divBdr>
                        <w:top w:val="none" w:sz="0" w:space="0" w:color="auto"/>
                        <w:left w:val="none" w:sz="0" w:space="0" w:color="auto"/>
                        <w:bottom w:val="none" w:sz="0" w:space="0" w:color="auto"/>
                        <w:right w:val="none" w:sz="0" w:space="0" w:color="auto"/>
                      </w:divBdr>
                    </w:div>
                    <w:div w:id="1040129910">
                      <w:marLeft w:val="0"/>
                      <w:marRight w:val="0"/>
                      <w:marTop w:val="0"/>
                      <w:marBottom w:val="0"/>
                      <w:divBdr>
                        <w:top w:val="none" w:sz="0" w:space="0" w:color="auto"/>
                        <w:left w:val="none" w:sz="0" w:space="0" w:color="auto"/>
                        <w:bottom w:val="none" w:sz="0" w:space="0" w:color="auto"/>
                        <w:right w:val="none" w:sz="0" w:space="0" w:color="auto"/>
                      </w:divBdr>
                    </w:div>
                    <w:div w:id="1322196522">
                      <w:marLeft w:val="0"/>
                      <w:marRight w:val="0"/>
                      <w:marTop w:val="0"/>
                      <w:marBottom w:val="0"/>
                      <w:divBdr>
                        <w:top w:val="none" w:sz="0" w:space="0" w:color="auto"/>
                        <w:left w:val="none" w:sz="0" w:space="0" w:color="auto"/>
                        <w:bottom w:val="none" w:sz="0" w:space="0" w:color="auto"/>
                        <w:right w:val="none" w:sz="0" w:space="0" w:color="auto"/>
                      </w:divBdr>
                    </w:div>
                    <w:div w:id="1395540310">
                      <w:marLeft w:val="0"/>
                      <w:marRight w:val="0"/>
                      <w:marTop w:val="0"/>
                      <w:marBottom w:val="0"/>
                      <w:divBdr>
                        <w:top w:val="none" w:sz="0" w:space="0" w:color="auto"/>
                        <w:left w:val="none" w:sz="0" w:space="0" w:color="auto"/>
                        <w:bottom w:val="none" w:sz="0" w:space="0" w:color="auto"/>
                        <w:right w:val="none" w:sz="0" w:space="0" w:color="auto"/>
                      </w:divBdr>
                    </w:div>
                    <w:div w:id="1486698950">
                      <w:marLeft w:val="0"/>
                      <w:marRight w:val="0"/>
                      <w:marTop w:val="0"/>
                      <w:marBottom w:val="0"/>
                      <w:divBdr>
                        <w:top w:val="none" w:sz="0" w:space="0" w:color="auto"/>
                        <w:left w:val="none" w:sz="0" w:space="0" w:color="auto"/>
                        <w:bottom w:val="none" w:sz="0" w:space="0" w:color="auto"/>
                        <w:right w:val="none" w:sz="0" w:space="0" w:color="auto"/>
                      </w:divBdr>
                    </w:div>
                    <w:div w:id="1616331340">
                      <w:marLeft w:val="0"/>
                      <w:marRight w:val="0"/>
                      <w:marTop w:val="0"/>
                      <w:marBottom w:val="0"/>
                      <w:divBdr>
                        <w:top w:val="none" w:sz="0" w:space="0" w:color="auto"/>
                        <w:left w:val="none" w:sz="0" w:space="0" w:color="auto"/>
                        <w:bottom w:val="none" w:sz="0" w:space="0" w:color="auto"/>
                        <w:right w:val="none" w:sz="0" w:space="0" w:color="auto"/>
                      </w:divBdr>
                    </w:div>
                    <w:div w:id="1652826270">
                      <w:marLeft w:val="0"/>
                      <w:marRight w:val="0"/>
                      <w:marTop w:val="0"/>
                      <w:marBottom w:val="0"/>
                      <w:divBdr>
                        <w:top w:val="none" w:sz="0" w:space="0" w:color="auto"/>
                        <w:left w:val="none" w:sz="0" w:space="0" w:color="auto"/>
                        <w:bottom w:val="none" w:sz="0" w:space="0" w:color="auto"/>
                        <w:right w:val="none" w:sz="0" w:space="0" w:color="auto"/>
                      </w:divBdr>
                    </w:div>
                    <w:div w:id="1742367338">
                      <w:marLeft w:val="0"/>
                      <w:marRight w:val="0"/>
                      <w:marTop w:val="0"/>
                      <w:marBottom w:val="0"/>
                      <w:divBdr>
                        <w:top w:val="none" w:sz="0" w:space="0" w:color="auto"/>
                        <w:left w:val="none" w:sz="0" w:space="0" w:color="auto"/>
                        <w:bottom w:val="none" w:sz="0" w:space="0" w:color="auto"/>
                        <w:right w:val="none" w:sz="0" w:space="0" w:color="auto"/>
                      </w:divBdr>
                    </w:div>
                    <w:div w:id="1862158728">
                      <w:marLeft w:val="0"/>
                      <w:marRight w:val="0"/>
                      <w:marTop w:val="0"/>
                      <w:marBottom w:val="0"/>
                      <w:divBdr>
                        <w:top w:val="none" w:sz="0" w:space="0" w:color="auto"/>
                        <w:left w:val="none" w:sz="0" w:space="0" w:color="auto"/>
                        <w:bottom w:val="none" w:sz="0" w:space="0" w:color="auto"/>
                        <w:right w:val="none" w:sz="0" w:space="0" w:color="auto"/>
                      </w:divBdr>
                    </w:div>
                    <w:div w:id="1903059029">
                      <w:marLeft w:val="0"/>
                      <w:marRight w:val="0"/>
                      <w:marTop w:val="0"/>
                      <w:marBottom w:val="0"/>
                      <w:divBdr>
                        <w:top w:val="none" w:sz="0" w:space="0" w:color="auto"/>
                        <w:left w:val="none" w:sz="0" w:space="0" w:color="auto"/>
                        <w:bottom w:val="none" w:sz="0" w:space="0" w:color="auto"/>
                        <w:right w:val="none" w:sz="0" w:space="0" w:color="auto"/>
                      </w:divBdr>
                    </w:div>
                    <w:div w:id="1938052473">
                      <w:marLeft w:val="0"/>
                      <w:marRight w:val="0"/>
                      <w:marTop w:val="0"/>
                      <w:marBottom w:val="0"/>
                      <w:divBdr>
                        <w:top w:val="none" w:sz="0" w:space="0" w:color="auto"/>
                        <w:left w:val="none" w:sz="0" w:space="0" w:color="auto"/>
                        <w:bottom w:val="none" w:sz="0" w:space="0" w:color="auto"/>
                        <w:right w:val="none" w:sz="0" w:space="0" w:color="auto"/>
                      </w:divBdr>
                    </w:div>
                    <w:div w:id="1960212783">
                      <w:marLeft w:val="0"/>
                      <w:marRight w:val="0"/>
                      <w:marTop w:val="0"/>
                      <w:marBottom w:val="0"/>
                      <w:divBdr>
                        <w:top w:val="none" w:sz="0" w:space="0" w:color="auto"/>
                        <w:left w:val="none" w:sz="0" w:space="0" w:color="auto"/>
                        <w:bottom w:val="none" w:sz="0" w:space="0" w:color="auto"/>
                        <w:right w:val="none" w:sz="0" w:space="0" w:color="auto"/>
                      </w:divBdr>
                    </w:div>
                  </w:divsChild>
                </w:div>
                <w:div w:id="484324079">
                  <w:marLeft w:val="0"/>
                  <w:marRight w:val="0"/>
                  <w:marTop w:val="0"/>
                  <w:marBottom w:val="0"/>
                  <w:divBdr>
                    <w:top w:val="none" w:sz="0" w:space="0" w:color="auto"/>
                    <w:left w:val="none" w:sz="0" w:space="0" w:color="auto"/>
                    <w:bottom w:val="none" w:sz="0" w:space="0" w:color="auto"/>
                    <w:right w:val="none" w:sz="0" w:space="0" w:color="auto"/>
                  </w:divBdr>
                  <w:divsChild>
                    <w:div w:id="1204832879">
                      <w:marLeft w:val="0"/>
                      <w:marRight w:val="0"/>
                      <w:marTop w:val="0"/>
                      <w:marBottom w:val="0"/>
                      <w:divBdr>
                        <w:top w:val="none" w:sz="0" w:space="0" w:color="auto"/>
                        <w:left w:val="none" w:sz="0" w:space="0" w:color="auto"/>
                        <w:bottom w:val="none" w:sz="0" w:space="0" w:color="auto"/>
                        <w:right w:val="none" w:sz="0" w:space="0" w:color="auto"/>
                      </w:divBdr>
                    </w:div>
                  </w:divsChild>
                </w:div>
                <w:div w:id="522985403">
                  <w:marLeft w:val="0"/>
                  <w:marRight w:val="0"/>
                  <w:marTop w:val="0"/>
                  <w:marBottom w:val="0"/>
                  <w:divBdr>
                    <w:top w:val="none" w:sz="0" w:space="0" w:color="auto"/>
                    <w:left w:val="none" w:sz="0" w:space="0" w:color="auto"/>
                    <w:bottom w:val="none" w:sz="0" w:space="0" w:color="auto"/>
                    <w:right w:val="none" w:sz="0" w:space="0" w:color="auto"/>
                  </w:divBdr>
                  <w:divsChild>
                    <w:div w:id="1770008650">
                      <w:marLeft w:val="0"/>
                      <w:marRight w:val="0"/>
                      <w:marTop w:val="0"/>
                      <w:marBottom w:val="0"/>
                      <w:divBdr>
                        <w:top w:val="none" w:sz="0" w:space="0" w:color="auto"/>
                        <w:left w:val="none" w:sz="0" w:space="0" w:color="auto"/>
                        <w:bottom w:val="none" w:sz="0" w:space="0" w:color="auto"/>
                        <w:right w:val="none" w:sz="0" w:space="0" w:color="auto"/>
                      </w:divBdr>
                    </w:div>
                  </w:divsChild>
                </w:div>
                <w:div w:id="595358533">
                  <w:marLeft w:val="0"/>
                  <w:marRight w:val="0"/>
                  <w:marTop w:val="0"/>
                  <w:marBottom w:val="0"/>
                  <w:divBdr>
                    <w:top w:val="none" w:sz="0" w:space="0" w:color="auto"/>
                    <w:left w:val="none" w:sz="0" w:space="0" w:color="auto"/>
                    <w:bottom w:val="none" w:sz="0" w:space="0" w:color="auto"/>
                    <w:right w:val="none" w:sz="0" w:space="0" w:color="auto"/>
                  </w:divBdr>
                  <w:divsChild>
                    <w:div w:id="1495607593">
                      <w:marLeft w:val="0"/>
                      <w:marRight w:val="0"/>
                      <w:marTop w:val="0"/>
                      <w:marBottom w:val="0"/>
                      <w:divBdr>
                        <w:top w:val="none" w:sz="0" w:space="0" w:color="auto"/>
                        <w:left w:val="none" w:sz="0" w:space="0" w:color="auto"/>
                        <w:bottom w:val="none" w:sz="0" w:space="0" w:color="auto"/>
                        <w:right w:val="none" w:sz="0" w:space="0" w:color="auto"/>
                      </w:divBdr>
                    </w:div>
                  </w:divsChild>
                </w:div>
                <w:div w:id="607272356">
                  <w:marLeft w:val="0"/>
                  <w:marRight w:val="0"/>
                  <w:marTop w:val="0"/>
                  <w:marBottom w:val="0"/>
                  <w:divBdr>
                    <w:top w:val="none" w:sz="0" w:space="0" w:color="auto"/>
                    <w:left w:val="none" w:sz="0" w:space="0" w:color="auto"/>
                    <w:bottom w:val="none" w:sz="0" w:space="0" w:color="auto"/>
                    <w:right w:val="none" w:sz="0" w:space="0" w:color="auto"/>
                  </w:divBdr>
                  <w:divsChild>
                    <w:div w:id="1314598042">
                      <w:marLeft w:val="0"/>
                      <w:marRight w:val="0"/>
                      <w:marTop w:val="0"/>
                      <w:marBottom w:val="0"/>
                      <w:divBdr>
                        <w:top w:val="none" w:sz="0" w:space="0" w:color="auto"/>
                        <w:left w:val="none" w:sz="0" w:space="0" w:color="auto"/>
                        <w:bottom w:val="none" w:sz="0" w:space="0" w:color="auto"/>
                        <w:right w:val="none" w:sz="0" w:space="0" w:color="auto"/>
                      </w:divBdr>
                    </w:div>
                  </w:divsChild>
                </w:div>
                <w:div w:id="708724620">
                  <w:marLeft w:val="0"/>
                  <w:marRight w:val="0"/>
                  <w:marTop w:val="0"/>
                  <w:marBottom w:val="0"/>
                  <w:divBdr>
                    <w:top w:val="none" w:sz="0" w:space="0" w:color="auto"/>
                    <w:left w:val="none" w:sz="0" w:space="0" w:color="auto"/>
                    <w:bottom w:val="none" w:sz="0" w:space="0" w:color="auto"/>
                    <w:right w:val="none" w:sz="0" w:space="0" w:color="auto"/>
                  </w:divBdr>
                  <w:divsChild>
                    <w:div w:id="587930156">
                      <w:marLeft w:val="0"/>
                      <w:marRight w:val="0"/>
                      <w:marTop w:val="0"/>
                      <w:marBottom w:val="0"/>
                      <w:divBdr>
                        <w:top w:val="none" w:sz="0" w:space="0" w:color="auto"/>
                        <w:left w:val="none" w:sz="0" w:space="0" w:color="auto"/>
                        <w:bottom w:val="none" w:sz="0" w:space="0" w:color="auto"/>
                        <w:right w:val="none" w:sz="0" w:space="0" w:color="auto"/>
                      </w:divBdr>
                    </w:div>
                  </w:divsChild>
                </w:div>
                <w:div w:id="772628236">
                  <w:marLeft w:val="0"/>
                  <w:marRight w:val="0"/>
                  <w:marTop w:val="0"/>
                  <w:marBottom w:val="0"/>
                  <w:divBdr>
                    <w:top w:val="none" w:sz="0" w:space="0" w:color="auto"/>
                    <w:left w:val="none" w:sz="0" w:space="0" w:color="auto"/>
                    <w:bottom w:val="none" w:sz="0" w:space="0" w:color="auto"/>
                    <w:right w:val="none" w:sz="0" w:space="0" w:color="auto"/>
                  </w:divBdr>
                  <w:divsChild>
                    <w:div w:id="1991014726">
                      <w:marLeft w:val="0"/>
                      <w:marRight w:val="0"/>
                      <w:marTop w:val="0"/>
                      <w:marBottom w:val="0"/>
                      <w:divBdr>
                        <w:top w:val="none" w:sz="0" w:space="0" w:color="auto"/>
                        <w:left w:val="none" w:sz="0" w:space="0" w:color="auto"/>
                        <w:bottom w:val="none" w:sz="0" w:space="0" w:color="auto"/>
                        <w:right w:val="none" w:sz="0" w:space="0" w:color="auto"/>
                      </w:divBdr>
                    </w:div>
                  </w:divsChild>
                </w:div>
                <w:div w:id="795298934">
                  <w:marLeft w:val="0"/>
                  <w:marRight w:val="0"/>
                  <w:marTop w:val="0"/>
                  <w:marBottom w:val="0"/>
                  <w:divBdr>
                    <w:top w:val="none" w:sz="0" w:space="0" w:color="auto"/>
                    <w:left w:val="none" w:sz="0" w:space="0" w:color="auto"/>
                    <w:bottom w:val="none" w:sz="0" w:space="0" w:color="auto"/>
                    <w:right w:val="none" w:sz="0" w:space="0" w:color="auto"/>
                  </w:divBdr>
                  <w:divsChild>
                    <w:div w:id="994647043">
                      <w:marLeft w:val="0"/>
                      <w:marRight w:val="0"/>
                      <w:marTop w:val="0"/>
                      <w:marBottom w:val="0"/>
                      <w:divBdr>
                        <w:top w:val="none" w:sz="0" w:space="0" w:color="auto"/>
                        <w:left w:val="none" w:sz="0" w:space="0" w:color="auto"/>
                        <w:bottom w:val="none" w:sz="0" w:space="0" w:color="auto"/>
                        <w:right w:val="none" w:sz="0" w:space="0" w:color="auto"/>
                      </w:divBdr>
                    </w:div>
                  </w:divsChild>
                </w:div>
                <w:div w:id="833836246">
                  <w:marLeft w:val="0"/>
                  <w:marRight w:val="0"/>
                  <w:marTop w:val="0"/>
                  <w:marBottom w:val="0"/>
                  <w:divBdr>
                    <w:top w:val="none" w:sz="0" w:space="0" w:color="auto"/>
                    <w:left w:val="none" w:sz="0" w:space="0" w:color="auto"/>
                    <w:bottom w:val="none" w:sz="0" w:space="0" w:color="auto"/>
                    <w:right w:val="none" w:sz="0" w:space="0" w:color="auto"/>
                  </w:divBdr>
                  <w:divsChild>
                    <w:div w:id="836775350">
                      <w:marLeft w:val="0"/>
                      <w:marRight w:val="0"/>
                      <w:marTop w:val="0"/>
                      <w:marBottom w:val="0"/>
                      <w:divBdr>
                        <w:top w:val="none" w:sz="0" w:space="0" w:color="auto"/>
                        <w:left w:val="none" w:sz="0" w:space="0" w:color="auto"/>
                        <w:bottom w:val="none" w:sz="0" w:space="0" w:color="auto"/>
                        <w:right w:val="none" w:sz="0" w:space="0" w:color="auto"/>
                      </w:divBdr>
                    </w:div>
                  </w:divsChild>
                </w:div>
                <w:div w:id="860165599">
                  <w:marLeft w:val="0"/>
                  <w:marRight w:val="0"/>
                  <w:marTop w:val="0"/>
                  <w:marBottom w:val="0"/>
                  <w:divBdr>
                    <w:top w:val="none" w:sz="0" w:space="0" w:color="auto"/>
                    <w:left w:val="none" w:sz="0" w:space="0" w:color="auto"/>
                    <w:bottom w:val="none" w:sz="0" w:space="0" w:color="auto"/>
                    <w:right w:val="none" w:sz="0" w:space="0" w:color="auto"/>
                  </w:divBdr>
                  <w:divsChild>
                    <w:div w:id="1244489433">
                      <w:marLeft w:val="0"/>
                      <w:marRight w:val="0"/>
                      <w:marTop w:val="0"/>
                      <w:marBottom w:val="0"/>
                      <w:divBdr>
                        <w:top w:val="none" w:sz="0" w:space="0" w:color="auto"/>
                        <w:left w:val="none" w:sz="0" w:space="0" w:color="auto"/>
                        <w:bottom w:val="none" w:sz="0" w:space="0" w:color="auto"/>
                        <w:right w:val="none" w:sz="0" w:space="0" w:color="auto"/>
                      </w:divBdr>
                    </w:div>
                  </w:divsChild>
                </w:div>
                <w:div w:id="906233120">
                  <w:marLeft w:val="0"/>
                  <w:marRight w:val="0"/>
                  <w:marTop w:val="0"/>
                  <w:marBottom w:val="0"/>
                  <w:divBdr>
                    <w:top w:val="none" w:sz="0" w:space="0" w:color="auto"/>
                    <w:left w:val="none" w:sz="0" w:space="0" w:color="auto"/>
                    <w:bottom w:val="none" w:sz="0" w:space="0" w:color="auto"/>
                    <w:right w:val="none" w:sz="0" w:space="0" w:color="auto"/>
                  </w:divBdr>
                  <w:divsChild>
                    <w:div w:id="1204486479">
                      <w:marLeft w:val="0"/>
                      <w:marRight w:val="0"/>
                      <w:marTop w:val="0"/>
                      <w:marBottom w:val="0"/>
                      <w:divBdr>
                        <w:top w:val="none" w:sz="0" w:space="0" w:color="auto"/>
                        <w:left w:val="none" w:sz="0" w:space="0" w:color="auto"/>
                        <w:bottom w:val="none" w:sz="0" w:space="0" w:color="auto"/>
                        <w:right w:val="none" w:sz="0" w:space="0" w:color="auto"/>
                      </w:divBdr>
                    </w:div>
                  </w:divsChild>
                </w:div>
                <w:div w:id="910772871">
                  <w:marLeft w:val="0"/>
                  <w:marRight w:val="0"/>
                  <w:marTop w:val="0"/>
                  <w:marBottom w:val="0"/>
                  <w:divBdr>
                    <w:top w:val="none" w:sz="0" w:space="0" w:color="auto"/>
                    <w:left w:val="none" w:sz="0" w:space="0" w:color="auto"/>
                    <w:bottom w:val="none" w:sz="0" w:space="0" w:color="auto"/>
                    <w:right w:val="none" w:sz="0" w:space="0" w:color="auto"/>
                  </w:divBdr>
                  <w:divsChild>
                    <w:div w:id="2089039280">
                      <w:marLeft w:val="0"/>
                      <w:marRight w:val="0"/>
                      <w:marTop w:val="0"/>
                      <w:marBottom w:val="0"/>
                      <w:divBdr>
                        <w:top w:val="none" w:sz="0" w:space="0" w:color="auto"/>
                        <w:left w:val="none" w:sz="0" w:space="0" w:color="auto"/>
                        <w:bottom w:val="none" w:sz="0" w:space="0" w:color="auto"/>
                        <w:right w:val="none" w:sz="0" w:space="0" w:color="auto"/>
                      </w:divBdr>
                    </w:div>
                  </w:divsChild>
                </w:div>
                <w:div w:id="948585665">
                  <w:marLeft w:val="0"/>
                  <w:marRight w:val="0"/>
                  <w:marTop w:val="0"/>
                  <w:marBottom w:val="0"/>
                  <w:divBdr>
                    <w:top w:val="none" w:sz="0" w:space="0" w:color="auto"/>
                    <w:left w:val="none" w:sz="0" w:space="0" w:color="auto"/>
                    <w:bottom w:val="none" w:sz="0" w:space="0" w:color="auto"/>
                    <w:right w:val="none" w:sz="0" w:space="0" w:color="auto"/>
                  </w:divBdr>
                  <w:divsChild>
                    <w:div w:id="445928372">
                      <w:marLeft w:val="0"/>
                      <w:marRight w:val="0"/>
                      <w:marTop w:val="0"/>
                      <w:marBottom w:val="0"/>
                      <w:divBdr>
                        <w:top w:val="none" w:sz="0" w:space="0" w:color="auto"/>
                        <w:left w:val="none" w:sz="0" w:space="0" w:color="auto"/>
                        <w:bottom w:val="none" w:sz="0" w:space="0" w:color="auto"/>
                        <w:right w:val="none" w:sz="0" w:space="0" w:color="auto"/>
                      </w:divBdr>
                    </w:div>
                  </w:divsChild>
                </w:div>
                <w:div w:id="1002782386">
                  <w:marLeft w:val="0"/>
                  <w:marRight w:val="0"/>
                  <w:marTop w:val="0"/>
                  <w:marBottom w:val="0"/>
                  <w:divBdr>
                    <w:top w:val="none" w:sz="0" w:space="0" w:color="auto"/>
                    <w:left w:val="none" w:sz="0" w:space="0" w:color="auto"/>
                    <w:bottom w:val="none" w:sz="0" w:space="0" w:color="auto"/>
                    <w:right w:val="none" w:sz="0" w:space="0" w:color="auto"/>
                  </w:divBdr>
                  <w:divsChild>
                    <w:div w:id="1193034571">
                      <w:marLeft w:val="0"/>
                      <w:marRight w:val="0"/>
                      <w:marTop w:val="0"/>
                      <w:marBottom w:val="0"/>
                      <w:divBdr>
                        <w:top w:val="none" w:sz="0" w:space="0" w:color="auto"/>
                        <w:left w:val="none" w:sz="0" w:space="0" w:color="auto"/>
                        <w:bottom w:val="none" w:sz="0" w:space="0" w:color="auto"/>
                        <w:right w:val="none" w:sz="0" w:space="0" w:color="auto"/>
                      </w:divBdr>
                    </w:div>
                  </w:divsChild>
                </w:div>
                <w:div w:id="1066033989">
                  <w:marLeft w:val="0"/>
                  <w:marRight w:val="0"/>
                  <w:marTop w:val="0"/>
                  <w:marBottom w:val="0"/>
                  <w:divBdr>
                    <w:top w:val="none" w:sz="0" w:space="0" w:color="auto"/>
                    <w:left w:val="none" w:sz="0" w:space="0" w:color="auto"/>
                    <w:bottom w:val="none" w:sz="0" w:space="0" w:color="auto"/>
                    <w:right w:val="none" w:sz="0" w:space="0" w:color="auto"/>
                  </w:divBdr>
                  <w:divsChild>
                    <w:div w:id="1442261767">
                      <w:marLeft w:val="0"/>
                      <w:marRight w:val="0"/>
                      <w:marTop w:val="0"/>
                      <w:marBottom w:val="0"/>
                      <w:divBdr>
                        <w:top w:val="none" w:sz="0" w:space="0" w:color="auto"/>
                        <w:left w:val="none" w:sz="0" w:space="0" w:color="auto"/>
                        <w:bottom w:val="none" w:sz="0" w:space="0" w:color="auto"/>
                        <w:right w:val="none" w:sz="0" w:space="0" w:color="auto"/>
                      </w:divBdr>
                    </w:div>
                  </w:divsChild>
                </w:div>
                <w:div w:id="1159614020">
                  <w:marLeft w:val="0"/>
                  <w:marRight w:val="0"/>
                  <w:marTop w:val="0"/>
                  <w:marBottom w:val="0"/>
                  <w:divBdr>
                    <w:top w:val="none" w:sz="0" w:space="0" w:color="auto"/>
                    <w:left w:val="none" w:sz="0" w:space="0" w:color="auto"/>
                    <w:bottom w:val="none" w:sz="0" w:space="0" w:color="auto"/>
                    <w:right w:val="none" w:sz="0" w:space="0" w:color="auto"/>
                  </w:divBdr>
                  <w:divsChild>
                    <w:div w:id="1858883658">
                      <w:marLeft w:val="0"/>
                      <w:marRight w:val="0"/>
                      <w:marTop w:val="0"/>
                      <w:marBottom w:val="0"/>
                      <w:divBdr>
                        <w:top w:val="none" w:sz="0" w:space="0" w:color="auto"/>
                        <w:left w:val="none" w:sz="0" w:space="0" w:color="auto"/>
                        <w:bottom w:val="none" w:sz="0" w:space="0" w:color="auto"/>
                        <w:right w:val="none" w:sz="0" w:space="0" w:color="auto"/>
                      </w:divBdr>
                    </w:div>
                  </w:divsChild>
                </w:div>
                <w:div w:id="1258758810">
                  <w:marLeft w:val="0"/>
                  <w:marRight w:val="0"/>
                  <w:marTop w:val="0"/>
                  <w:marBottom w:val="0"/>
                  <w:divBdr>
                    <w:top w:val="none" w:sz="0" w:space="0" w:color="auto"/>
                    <w:left w:val="none" w:sz="0" w:space="0" w:color="auto"/>
                    <w:bottom w:val="none" w:sz="0" w:space="0" w:color="auto"/>
                    <w:right w:val="none" w:sz="0" w:space="0" w:color="auto"/>
                  </w:divBdr>
                  <w:divsChild>
                    <w:div w:id="1283656994">
                      <w:marLeft w:val="0"/>
                      <w:marRight w:val="0"/>
                      <w:marTop w:val="0"/>
                      <w:marBottom w:val="0"/>
                      <w:divBdr>
                        <w:top w:val="none" w:sz="0" w:space="0" w:color="auto"/>
                        <w:left w:val="none" w:sz="0" w:space="0" w:color="auto"/>
                        <w:bottom w:val="none" w:sz="0" w:space="0" w:color="auto"/>
                        <w:right w:val="none" w:sz="0" w:space="0" w:color="auto"/>
                      </w:divBdr>
                    </w:div>
                  </w:divsChild>
                </w:div>
                <w:div w:id="1307399068">
                  <w:marLeft w:val="0"/>
                  <w:marRight w:val="0"/>
                  <w:marTop w:val="0"/>
                  <w:marBottom w:val="0"/>
                  <w:divBdr>
                    <w:top w:val="none" w:sz="0" w:space="0" w:color="auto"/>
                    <w:left w:val="none" w:sz="0" w:space="0" w:color="auto"/>
                    <w:bottom w:val="none" w:sz="0" w:space="0" w:color="auto"/>
                    <w:right w:val="none" w:sz="0" w:space="0" w:color="auto"/>
                  </w:divBdr>
                  <w:divsChild>
                    <w:div w:id="12994687">
                      <w:marLeft w:val="0"/>
                      <w:marRight w:val="0"/>
                      <w:marTop w:val="0"/>
                      <w:marBottom w:val="0"/>
                      <w:divBdr>
                        <w:top w:val="none" w:sz="0" w:space="0" w:color="auto"/>
                        <w:left w:val="none" w:sz="0" w:space="0" w:color="auto"/>
                        <w:bottom w:val="none" w:sz="0" w:space="0" w:color="auto"/>
                        <w:right w:val="none" w:sz="0" w:space="0" w:color="auto"/>
                      </w:divBdr>
                    </w:div>
                    <w:div w:id="269239530">
                      <w:marLeft w:val="0"/>
                      <w:marRight w:val="0"/>
                      <w:marTop w:val="0"/>
                      <w:marBottom w:val="0"/>
                      <w:divBdr>
                        <w:top w:val="none" w:sz="0" w:space="0" w:color="auto"/>
                        <w:left w:val="none" w:sz="0" w:space="0" w:color="auto"/>
                        <w:bottom w:val="none" w:sz="0" w:space="0" w:color="auto"/>
                        <w:right w:val="none" w:sz="0" w:space="0" w:color="auto"/>
                      </w:divBdr>
                    </w:div>
                    <w:div w:id="1059206855">
                      <w:marLeft w:val="0"/>
                      <w:marRight w:val="0"/>
                      <w:marTop w:val="0"/>
                      <w:marBottom w:val="0"/>
                      <w:divBdr>
                        <w:top w:val="none" w:sz="0" w:space="0" w:color="auto"/>
                        <w:left w:val="none" w:sz="0" w:space="0" w:color="auto"/>
                        <w:bottom w:val="none" w:sz="0" w:space="0" w:color="auto"/>
                        <w:right w:val="none" w:sz="0" w:space="0" w:color="auto"/>
                      </w:divBdr>
                    </w:div>
                    <w:div w:id="1953826808">
                      <w:marLeft w:val="0"/>
                      <w:marRight w:val="0"/>
                      <w:marTop w:val="0"/>
                      <w:marBottom w:val="0"/>
                      <w:divBdr>
                        <w:top w:val="none" w:sz="0" w:space="0" w:color="auto"/>
                        <w:left w:val="none" w:sz="0" w:space="0" w:color="auto"/>
                        <w:bottom w:val="none" w:sz="0" w:space="0" w:color="auto"/>
                        <w:right w:val="none" w:sz="0" w:space="0" w:color="auto"/>
                      </w:divBdr>
                    </w:div>
                  </w:divsChild>
                </w:div>
                <w:div w:id="1309825572">
                  <w:marLeft w:val="0"/>
                  <w:marRight w:val="0"/>
                  <w:marTop w:val="0"/>
                  <w:marBottom w:val="0"/>
                  <w:divBdr>
                    <w:top w:val="none" w:sz="0" w:space="0" w:color="auto"/>
                    <w:left w:val="none" w:sz="0" w:space="0" w:color="auto"/>
                    <w:bottom w:val="none" w:sz="0" w:space="0" w:color="auto"/>
                    <w:right w:val="none" w:sz="0" w:space="0" w:color="auto"/>
                  </w:divBdr>
                  <w:divsChild>
                    <w:div w:id="783619209">
                      <w:marLeft w:val="0"/>
                      <w:marRight w:val="0"/>
                      <w:marTop w:val="0"/>
                      <w:marBottom w:val="0"/>
                      <w:divBdr>
                        <w:top w:val="none" w:sz="0" w:space="0" w:color="auto"/>
                        <w:left w:val="none" w:sz="0" w:space="0" w:color="auto"/>
                        <w:bottom w:val="none" w:sz="0" w:space="0" w:color="auto"/>
                        <w:right w:val="none" w:sz="0" w:space="0" w:color="auto"/>
                      </w:divBdr>
                    </w:div>
                  </w:divsChild>
                </w:div>
                <w:div w:id="1375302770">
                  <w:marLeft w:val="0"/>
                  <w:marRight w:val="0"/>
                  <w:marTop w:val="0"/>
                  <w:marBottom w:val="0"/>
                  <w:divBdr>
                    <w:top w:val="none" w:sz="0" w:space="0" w:color="auto"/>
                    <w:left w:val="none" w:sz="0" w:space="0" w:color="auto"/>
                    <w:bottom w:val="none" w:sz="0" w:space="0" w:color="auto"/>
                    <w:right w:val="none" w:sz="0" w:space="0" w:color="auto"/>
                  </w:divBdr>
                  <w:divsChild>
                    <w:div w:id="1221019461">
                      <w:marLeft w:val="0"/>
                      <w:marRight w:val="0"/>
                      <w:marTop w:val="0"/>
                      <w:marBottom w:val="0"/>
                      <w:divBdr>
                        <w:top w:val="none" w:sz="0" w:space="0" w:color="auto"/>
                        <w:left w:val="none" w:sz="0" w:space="0" w:color="auto"/>
                        <w:bottom w:val="none" w:sz="0" w:space="0" w:color="auto"/>
                        <w:right w:val="none" w:sz="0" w:space="0" w:color="auto"/>
                      </w:divBdr>
                    </w:div>
                  </w:divsChild>
                </w:div>
                <w:div w:id="1421221988">
                  <w:marLeft w:val="0"/>
                  <w:marRight w:val="0"/>
                  <w:marTop w:val="0"/>
                  <w:marBottom w:val="0"/>
                  <w:divBdr>
                    <w:top w:val="none" w:sz="0" w:space="0" w:color="auto"/>
                    <w:left w:val="none" w:sz="0" w:space="0" w:color="auto"/>
                    <w:bottom w:val="none" w:sz="0" w:space="0" w:color="auto"/>
                    <w:right w:val="none" w:sz="0" w:space="0" w:color="auto"/>
                  </w:divBdr>
                  <w:divsChild>
                    <w:div w:id="165366231">
                      <w:marLeft w:val="0"/>
                      <w:marRight w:val="0"/>
                      <w:marTop w:val="0"/>
                      <w:marBottom w:val="0"/>
                      <w:divBdr>
                        <w:top w:val="none" w:sz="0" w:space="0" w:color="auto"/>
                        <w:left w:val="none" w:sz="0" w:space="0" w:color="auto"/>
                        <w:bottom w:val="none" w:sz="0" w:space="0" w:color="auto"/>
                        <w:right w:val="none" w:sz="0" w:space="0" w:color="auto"/>
                      </w:divBdr>
                    </w:div>
                  </w:divsChild>
                </w:div>
                <w:div w:id="1794784888">
                  <w:marLeft w:val="0"/>
                  <w:marRight w:val="0"/>
                  <w:marTop w:val="0"/>
                  <w:marBottom w:val="0"/>
                  <w:divBdr>
                    <w:top w:val="none" w:sz="0" w:space="0" w:color="auto"/>
                    <w:left w:val="none" w:sz="0" w:space="0" w:color="auto"/>
                    <w:bottom w:val="none" w:sz="0" w:space="0" w:color="auto"/>
                    <w:right w:val="none" w:sz="0" w:space="0" w:color="auto"/>
                  </w:divBdr>
                  <w:divsChild>
                    <w:div w:id="1562328701">
                      <w:marLeft w:val="0"/>
                      <w:marRight w:val="0"/>
                      <w:marTop w:val="0"/>
                      <w:marBottom w:val="0"/>
                      <w:divBdr>
                        <w:top w:val="none" w:sz="0" w:space="0" w:color="auto"/>
                        <w:left w:val="none" w:sz="0" w:space="0" w:color="auto"/>
                        <w:bottom w:val="none" w:sz="0" w:space="0" w:color="auto"/>
                        <w:right w:val="none" w:sz="0" w:space="0" w:color="auto"/>
                      </w:divBdr>
                    </w:div>
                  </w:divsChild>
                </w:div>
                <w:div w:id="1839692563">
                  <w:marLeft w:val="0"/>
                  <w:marRight w:val="0"/>
                  <w:marTop w:val="0"/>
                  <w:marBottom w:val="0"/>
                  <w:divBdr>
                    <w:top w:val="none" w:sz="0" w:space="0" w:color="auto"/>
                    <w:left w:val="none" w:sz="0" w:space="0" w:color="auto"/>
                    <w:bottom w:val="none" w:sz="0" w:space="0" w:color="auto"/>
                    <w:right w:val="none" w:sz="0" w:space="0" w:color="auto"/>
                  </w:divBdr>
                  <w:divsChild>
                    <w:div w:id="624234526">
                      <w:marLeft w:val="0"/>
                      <w:marRight w:val="0"/>
                      <w:marTop w:val="0"/>
                      <w:marBottom w:val="0"/>
                      <w:divBdr>
                        <w:top w:val="none" w:sz="0" w:space="0" w:color="auto"/>
                        <w:left w:val="none" w:sz="0" w:space="0" w:color="auto"/>
                        <w:bottom w:val="none" w:sz="0" w:space="0" w:color="auto"/>
                        <w:right w:val="none" w:sz="0" w:space="0" w:color="auto"/>
                      </w:divBdr>
                    </w:div>
                  </w:divsChild>
                </w:div>
                <w:div w:id="1872180347">
                  <w:marLeft w:val="0"/>
                  <w:marRight w:val="0"/>
                  <w:marTop w:val="0"/>
                  <w:marBottom w:val="0"/>
                  <w:divBdr>
                    <w:top w:val="none" w:sz="0" w:space="0" w:color="auto"/>
                    <w:left w:val="none" w:sz="0" w:space="0" w:color="auto"/>
                    <w:bottom w:val="none" w:sz="0" w:space="0" w:color="auto"/>
                    <w:right w:val="none" w:sz="0" w:space="0" w:color="auto"/>
                  </w:divBdr>
                  <w:divsChild>
                    <w:div w:id="1809125767">
                      <w:marLeft w:val="0"/>
                      <w:marRight w:val="0"/>
                      <w:marTop w:val="0"/>
                      <w:marBottom w:val="0"/>
                      <w:divBdr>
                        <w:top w:val="none" w:sz="0" w:space="0" w:color="auto"/>
                        <w:left w:val="none" w:sz="0" w:space="0" w:color="auto"/>
                        <w:bottom w:val="none" w:sz="0" w:space="0" w:color="auto"/>
                        <w:right w:val="none" w:sz="0" w:space="0" w:color="auto"/>
                      </w:divBdr>
                    </w:div>
                  </w:divsChild>
                </w:div>
                <w:div w:id="1909998946">
                  <w:marLeft w:val="0"/>
                  <w:marRight w:val="0"/>
                  <w:marTop w:val="0"/>
                  <w:marBottom w:val="0"/>
                  <w:divBdr>
                    <w:top w:val="none" w:sz="0" w:space="0" w:color="auto"/>
                    <w:left w:val="none" w:sz="0" w:space="0" w:color="auto"/>
                    <w:bottom w:val="none" w:sz="0" w:space="0" w:color="auto"/>
                    <w:right w:val="none" w:sz="0" w:space="0" w:color="auto"/>
                  </w:divBdr>
                  <w:divsChild>
                    <w:div w:id="2081444119">
                      <w:marLeft w:val="0"/>
                      <w:marRight w:val="0"/>
                      <w:marTop w:val="0"/>
                      <w:marBottom w:val="0"/>
                      <w:divBdr>
                        <w:top w:val="none" w:sz="0" w:space="0" w:color="auto"/>
                        <w:left w:val="none" w:sz="0" w:space="0" w:color="auto"/>
                        <w:bottom w:val="none" w:sz="0" w:space="0" w:color="auto"/>
                        <w:right w:val="none" w:sz="0" w:space="0" w:color="auto"/>
                      </w:divBdr>
                    </w:div>
                  </w:divsChild>
                </w:div>
                <w:div w:id="1937052543">
                  <w:marLeft w:val="0"/>
                  <w:marRight w:val="0"/>
                  <w:marTop w:val="0"/>
                  <w:marBottom w:val="0"/>
                  <w:divBdr>
                    <w:top w:val="none" w:sz="0" w:space="0" w:color="auto"/>
                    <w:left w:val="none" w:sz="0" w:space="0" w:color="auto"/>
                    <w:bottom w:val="none" w:sz="0" w:space="0" w:color="auto"/>
                    <w:right w:val="none" w:sz="0" w:space="0" w:color="auto"/>
                  </w:divBdr>
                  <w:divsChild>
                    <w:div w:id="582106780">
                      <w:marLeft w:val="0"/>
                      <w:marRight w:val="0"/>
                      <w:marTop w:val="0"/>
                      <w:marBottom w:val="0"/>
                      <w:divBdr>
                        <w:top w:val="none" w:sz="0" w:space="0" w:color="auto"/>
                        <w:left w:val="none" w:sz="0" w:space="0" w:color="auto"/>
                        <w:bottom w:val="none" w:sz="0" w:space="0" w:color="auto"/>
                        <w:right w:val="none" w:sz="0" w:space="0" w:color="auto"/>
                      </w:divBdr>
                    </w:div>
                  </w:divsChild>
                </w:div>
                <w:div w:id="1952934456">
                  <w:marLeft w:val="0"/>
                  <w:marRight w:val="0"/>
                  <w:marTop w:val="0"/>
                  <w:marBottom w:val="0"/>
                  <w:divBdr>
                    <w:top w:val="none" w:sz="0" w:space="0" w:color="auto"/>
                    <w:left w:val="none" w:sz="0" w:space="0" w:color="auto"/>
                    <w:bottom w:val="none" w:sz="0" w:space="0" w:color="auto"/>
                    <w:right w:val="none" w:sz="0" w:space="0" w:color="auto"/>
                  </w:divBdr>
                  <w:divsChild>
                    <w:div w:id="730466297">
                      <w:marLeft w:val="0"/>
                      <w:marRight w:val="0"/>
                      <w:marTop w:val="0"/>
                      <w:marBottom w:val="0"/>
                      <w:divBdr>
                        <w:top w:val="none" w:sz="0" w:space="0" w:color="auto"/>
                        <w:left w:val="none" w:sz="0" w:space="0" w:color="auto"/>
                        <w:bottom w:val="none" w:sz="0" w:space="0" w:color="auto"/>
                        <w:right w:val="none" w:sz="0" w:space="0" w:color="auto"/>
                      </w:divBdr>
                    </w:div>
                  </w:divsChild>
                </w:div>
                <w:div w:id="1994481582">
                  <w:marLeft w:val="0"/>
                  <w:marRight w:val="0"/>
                  <w:marTop w:val="0"/>
                  <w:marBottom w:val="0"/>
                  <w:divBdr>
                    <w:top w:val="none" w:sz="0" w:space="0" w:color="auto"/>
                    <w:left w:val="none" w:sz="0" w:space="0" w:color="auto"/>
                    <w:bottom w:val="none" w:sz="0" w:space="0" w:color="auto"/>
                    <w:right w:val="none" w:sz="0" w:space="0" w:color="auto"/>
                  </w:divBdr>
                  <w:divsChild>
                    <w:div w:id="2145079221">
                      <w:marLeft w:val="0"/>
                      <w:marRight w:val="0"/>
                      <w:marTop w:val="0"/>
                      <w:marBottom w:val="0"/>
                      <w:divBdr>
                        <w:top w:val="none" w:sz="0" w:space="0" w:color="auto"/>
                        <w:left w:val="none" w:sz="0" w:space="0" w:color="auto"/>
                        <w:bottom w:val="none" w:sz="0" w:space="0" w:color="auto"/>
                        <w:right w:val="none" w:sz="0" w:space="0" w:color="auto"/>
                      </w:divBdr>
                    </w:div>
                  </w:divsChild>
                </w:div>
                <w:div w:id="2020885485">
                  <w:marLeft w:val="0"/>
                  <w:marRight w:val="0"/>
                  <w:marTop w:val="0"/>
                  <w:marBottom w:val="0"/>
                  <w:divBdr>
                    <w:top w:val="none" w:sz="0" w:space="0" w:color="auto"/>
                    <w:left w:val="none" w:sz="0" w:space="0" w:color="auto"/>
                    <w:bottom w:val="none" w:sz="0" w:space="0" w:color="auto"/>
                    <w:right w:val="none" w:sz="0" w:space="0" w:color="auto"/>
                  </w:divBdr>
                  <w:divsChild>
                    <w:div w:id="1703674339">
                      <w:marLeft w:val="0"/>
                      <w:marRight w:val="0"/>
                      <w:marTop w:val="0"/>
                      <w:marBottom w:val="0"/>
                      <w:divBdr>
                        <w:top w:val="none" w:sz="0" w:space="0" w:color="auto"/>
                        <w:left w:val="none" w:sz="0" w:space="0" w:color="auto"/>
                        <w:bottom w:val="none" w:sz="0" w:space="0" w:color="auto"/>
                        <w:right w:val="none" w:sz="0" w:space="0" w:color="auto"/>
                      </w:divBdr>
                    </w:div>
                  </w:divsChild>
                </w:div>
                <w:div w:id="2020890138">
                  <w:marLeft w:val="0"/>
                  <w:marRight w:val="0"/>
                  <w:marTop w:val="0"/>
                  <w:marBottom w:val="0"/>
                  <w:divBdr>
                    <w:top w:val="none" w:sz="0" w:space="0" w:color="auto"/>
                    <w:left w:val="none" w:sz="0" w:space="0" w:color="auto"/>
                    <w:bottom w:val="none" w:sz="0" w:space="0" w:color="auto"/>
                    <w:right w:val="none" w:sz="0" w:space="0" w:color="auto"/>
                  </w:divBdr>
                  <w:divsChild>
                    <w:div w:id="1255892515">
                      <w:marLeft w:val="0"/>
                      <w:marRight w:val="0"/>
                      <w:marTop w:val="0"/>
                      <w:marBottom w:val="0"/>
                      <w:divBdr>
                        <w:top w:val="none" w:sz="0" w:space="0" w:color="auto"/>
                        <w:left w:val="none" w:sz="0" w:space="0" w:color="auto"/>
                        <w:bottom w:val="none" w:sz="0" w:space="0" w:color="auto"/>
                        <w:right w:val="none" w:sz="0" w:space="0" w:color="auto"/>
                      </w:divBdr>
                    </w:div>
                  </w:divsChild>
                </w:div>
                <w:div w:id="2102292992">
                  <w:marLeft w:val="0"/>
                  <w:marRight w:val="0"/>
                  <w:marTop w:val="0"/>
                  <w:marBottom w:val="0"/>
                  <w:divBdr>
                    <w:top w:val="none" w:sz="0" w:space="0" w:color="auto"/>
                    <w:left w:val="none" w:sz="0" w:space="0" w:color="auto"/>
                    <w:bottom w:val="none" w:sz="0" w:space="0" w:color="auto"/>
                    <w:right w:val="none" w:sz="0" w:space="0" w:color="auto"/>
                  </w:divBdr>
                  <w:divsChild>
                    <w:div w:id="604926270">
                      <w:marLeft w:val="0"/>
                      <w:marRight w:val="0"/>
                      <w:marTop w:val="0"/>
                      <w:marBottom w:val="0"/>
                      <w:divBdr>
                        <w:top w:val="none" w:sz="0" w:space="0" w:color="auto"/>
                        <w:left w:val="none" w:sz="0" w:space="0" w:color="auto"/>
                        <w:bottom w:val="none" w:sz="0" w:space="0" w:color="auto"/>
                        <w:right w:val="none" w:sz="0" w:space="0" w:color="auto"/>
                      </w:divBdr>
                    </w:div>
                  </w:divsChild>
                </w:div>
                <w:div w:id="2141260287">
                  <w:marLeft w:val="0"/>
                  <w:marRight w:val="0"/>
                  <w:marTop w:val="0"/>
                  <w:marBottom w:val="0"/>
                  <w:divBdr>
                    <w:top w:val="none" w:sz="0" w:space="0" w:color="auto"/>
                    <w:left w:val="none" w:sz="0" w:space="0" w:color="auto"/>
                    <w:bottom w:val="none" w:sz="0" w:space="0" w:color="auto"/>
                    <w:right w:val="none" w:sz="0" w:space="0" w:color="auto"/>
                  </w:divBdr>
                  <w:divsChild>
                    <w:div w:id="704329972">
                      <w:marLeft w:val="0"/>
                      <w:marRight w:val="0"/>
                      <w:marTop w:val="0"/>
                      <w:marBottom w:val="0"/>
                      <w:divBdr>
                        <w:top w:val="none" w:sz="0" w:space="0" w:color="auto"/>
                        <w:left w:val="none" w:sz="0" w:space="0" w:color="auto"/>
                        <w:bottom w:val="none" w:sz="0" w:space="0" w:color="auto"/>
                        <w:right w:val="none" w:sz="0" w:space="0" w:color="auto"/>
                      </w:divBdr>
                    </w:div>
                  </w:divsChild>
                </w:div>
                <w:div w:id="2141873217">
                  <w:marLeft w:val="0"/>
                  <w:marRight w:val="0"/>
                  <w:marTop w:val="0"/>
                  <w:marBottom w:val="0"/>
                  <w:divBdr>
                    <w:top w:val="none" w:sz="0" w:space="0" w:color="auto"/>
                    <w:left w:val="none" w:sz="0" w:space="0" w:color="auto"/>
                    <w:bottom w:val="none" w:sz="0" w:space="0" w:color="auto"/>
                    <w:right w:val="none" w:sz="0" w:space="0" w:color="auto"/>
                  </w:divBdr>
                  <w:divsChild>
                    <w:div w:id="5079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731751">
          <w:marLeft w:val="0"/>
          <w:marRight w:val="0"/>
          <w:marTop w:val="0"/>
          <w:marBottom w:val="0"/>
          <w:divBdr>
            <w:top w:val="none" w:sz="0" w:space="0" w:color="auto"/>
            <w:left w:val="none" w:sz="0" w:space="0" w:color="auto"/>
            <w:bottom w:val="none" w:sz="0" w:space="0" w:color="auto"/>
            <w:right w:val="none" w:sz="0" w:space="0" w:color="auto"/>
          </w:divBdr>
          <w:divsChild>
            <w:div w:id="1427725051">
              <w:marLeft w:val="-75"/>
              <w:marRight w:val="0"/>
              <w:marTop w:val="30"/>
              <w:marBottom w:val="30"/>
              <w:divBdr>
                <w:top w:val="none" w:sz="0" w:space="0" w:color="auto"/>
                <w:left w:val="none" w:sz="0" w:space="0" w:color="auto"/>
                <w:bottom w:val="none" w:sz="0" w:space="0" w:color="auto"/>
                <w:right w:val="none" w:sz="0" w:space="0" w:color="auto"/>
              </w:divBdr>
              <w:divsChild>
                <w:div w:id="34040387">
                  <w:marLeft w:val="0"/>
                  <w:marRight w:val="0"/>
                  <w:marTop w:val="0"/>
                  <w:marBottom w:val="0"/>
                  <w:divBdr>
                    <w:top w:val="none" w:sz="0" w:space="0" w:color="auto"/>
                    <w:left w:val="none" w:sz="0" w:space="0" w:color="auto"/>
                    <w:bottom w:val="none" w:sz="0" w:space="0" w:color="auto"/>
                    <w:right w:val="none" w:sz="0" w:space="0" w:color="auto"/>
                  </w:divBdr>
                  <w:divsChild>
                    <w:div w:id="1458833195">
                      <w:marLeft w:val="0"/>
                      <w:marRight w:val="0"/>
                      <w:marTop w:val="0"/>
                      <w:marBottom w:val="0"/>
                      <w:divBdr>
                        <w:top w:val="none" w:sz="0" w:space="0" w:color="auto"/>
                        <w:left w:val="none" w:sz="0" w:space="0" w:color="auto"/>
                        <w:bottom w:val="none" w:sz="0" w:space="0" w:color="auto"/>
                        <w:right w:val="none" w:sz="0" w:space="0" w:color="auto"/>
                      </w:divBdr>
                    </w:div>
                  </w:divsChild>
                </w:div>
                <w:div w:id="37054835">
                  <w:marLeft w:val="0"/>
                  <w:marRight w:val="0"/>
                  <w:marTop w:val="0"/>
                  <w:marBottom w:val="0"/>
                  <w:divBdr>
                    <w:top w:val="none" w:sz="0" w:space="0" w:color="auto"/>
                    <w:left w:val="none" w:sz="0" w:space="0" w:color="auto"/>
                    <w:bottom w:val="none" w:sz="0" w:space="0" w:color="auto"/>
                    <w:right w:val="none" w:sz="0" w:space="0" w:color="auto"/>
                  </w:divBdr>
                  <w:divsChild>
                    <w:div w:id="1725057566">
                      <w:marLeft w:val="0"/>
                      <w:marRight w:val="0"/>
                      <w:marTop w:val="0"/>
                      <w:marBottom w:val="0"/>
                      <w:divBdr>
                        <w:top w:val="none" w:sz="0" w:space="0" w:color="auto"/>
                        <w:left w:val="none" w:sz="0" w:space="0" w:color="auto"/>
                        <w:bottom w:val="none" w:sz="0" w:space="0" w:color="auto"/>
                        <w:right w:val="none" w:sz="0" w:space="0" w:color="auto"/>
                      </w:divBdr>
                    </w:div>
                  </w:divsChild>
                </w:div>
                <w:div w:id="244068613">
                  <w:marLeft w:val="0"/>
                  <w:marRight w:val="0"/>
                  <w:marTop w:val="0"/>
                  <w:marBottom w:val="0"/>
                  <w:divBdr>
                    <w:top w:val="none" w:sz="0" w:space="0" w:color="auto"/>
                    <w:left w:val="none" w:sz="0" w:space="0" w:color="auto"/>
                    <w:bottom w:val="none" w:sz="0" w:space="0" w:color="auto"/>
                    <w:right w:val="none" w:sz="0" w:space="0" w:color="auto"/>
                  </w:divBdr>
                  <w:divsChild>
                    <w:div w:id="1292787208">
                      <w:marLeft w:val="0"/>
                      <w:marRight w:val="0"/>
                      <w:marTop w:val="0"/>
                      <w:marBottom w:val="0"/>
                      <w:divBdr>
                        <w:top w:val="none" w:sz="0" w:space="0" w:color="auto"/>
                        <w:left w:val="none" w:sz="0" w:space="0" w:color="auto"/>
                        <w:bottom w:val="none" w:sz="0" w:space="0" w:color="auto"/>
                        <w:right w:val="none" w:sz="0" w:space="0" w:color="auto"/>
                      </w:divBdr>
                    </w:div>
                  </w:divsChild>
                </w:div>
                <w:div w:id="281352380">
                  <w:marLeft w:val="0"/>
                  <w:marRight w:val="0"/>
                  <w:marTop w:val="0"/>
                  <w:marBottom w:val="0"/>
                  <w:divBdr>
                    <w:top w:val="none" w:sz="0" w:space="0" w:color="auto"/>
                    <w:left w:val="none" w:sz="0" w:space="0" w:color="auto"/>
                    <w:bottom w:val="none" w:sz="0" w:space="0" w:color="auto"/>
                    <w:right w:val="none" w:sz="0" w:space="0" w:color="auto"/>
                  </w:divBdr>
                  <w:divsChild>
                    <w:div w:id="1067918679">
                      <w:marLeft w:val="0"/>
                      <w:marRight w:val="0"/>
                      <w:marTop w:val="0"/>
                      <w:marBottom w:val="0"/>
                      <w:divBdr>
                        <w:top w:val="none" w:sz="0" w:space="0" w:color="auto"/>
                        <w:left w:val="none" w:sz="0" w:space="0" w:color="auto"/>
                        <w:bottom w:val="none" w:sz="0" w:space="0" w:color="auto"/>
                        <w:right w:val="none" w:sz="0" w:space="0" w:color="auto"/>
                      </w:divBdr>
                    </w:div>
                  </w:divsChild>
                </w:div>
                <w:div w:id="326443577">
                  <w:marLeft w:val="0"/>
                  <w:marRight w:val="0"/>
                  <w:marTop w:val="0"/>
                  <w:marBottom w:val="0"/>
                  <w:divBdr>
                    <w:top w:val="none" w:sz="0" w:space="0" w:color="auto"/>
                    <w:left w:val="none" w:sz="0" w:space="0" w:color="auto"/>
                    <w:bottom w:val="none" w:sz="0" w:space="0" w:color="auto"/>
                    <w:right w:val="none" w:sz="0" w:space="0" w:color="auto"/>
                  </w:divBdr>
                  <w:divsChild>
                    <w:div w:id="1694961962">
                      <w:marLeft w:val="0"/>
                      <w:marRight w:val="0"/>
                      <w:marTop w:val="0"/>
                      <w:marBottom w:val="0"/>
                      <w:divBdr>
                        <w:top w:val="none" w:sz="0" w:space="0" w:color="auto"/>
                        <w:left w:val="none" w:sz="0" w:space="0" w:color="auto"/>
                        <w:bottom w:val="none" w:sz="0" w:space="0" w:color="auto"/>
                        <w:right w:val="none" w:sz="0" w:space="0" w:color="auto"/>
                      </w:divBdr>
                    </w:div>
                  </w:divsChild>
                </w:div>
                <w:div w:id="428621039">
                  <w:marLeft w:val="0"/>
                  <w:marRight w:val="0"/>
                  <w:marTop w:val="0"/>
                  <w:marBottom w:val="0"/>
                  <w:divBdr>
                    <w:top w:val="none" w:sz="0" w:space="0" w:color="auto"/>
                    <w:left w:val="none" w:sz="0" w:space="0" w:color="auto"/>
                    <w:bottom w:val="none" w:sz="0" w:space="0" w:color="auto"/>
                    <w:right w:val="none" w:sz="0" w:space="0" w:color="auto"/>
                  </w:divBdr>
                  <w:divsChild>
                    <w:div w:id="1039167383">
                      <w:marLeft w:val="0"/>
                      <w:marRight w:val="0"/>
                      <w:marTop w:val="0"/>
                      <w:marBottom w:val="0"/>
                      <w:divBdr>
                        <w:top w:val="none" w:sz="0" w:space="0" w:color="auto"/>
                        <w:left w:val="none" w:sz="0" w:space="0" w:color="auto"/>
                        <w:bottom w:val="none" w:sz="0" w:space="0" w:color="auto"/>
                        <w:right w:val="none" w:sz="0" w:space="0" w:color="auto"/>
                      </w:divBdr>
                    </w:div>
                  </w:divsChild>
                </w:div>
                <w:div w:id="505171480">
                  <w:marLeft w:val="0"/>
                  <w:marRight w:val="0"/>
                  <w:marTop w:val="0"/>
                  <w:marBottom w:val="0"/>
                  <w:divBdr>
                    <w:top w:val="none" w:sz="0" w:space="0" w:color="auto"/>
                    <w:left w:val="none" w:sz="0" w:space="0" w:color="auto"/>
                    <w:bottom w:val="none" w:sz="0" w:space="0" w:color="auto"/>
                    <w:right w:val="none" w:sz="0" w:space="0" w:color="auto"/>
                  </w:divBdr>
                  <w:divsChild>
                    <w:div w:id="806317371">
                      <w:marLeft w:val="0"/>
                      <w:marRight w:val="0"/>
                      <w:marTop w:val="0"/>
                      <w:marBottom w:val="0"/>
                      <w:divBdr>
                        <w:top w:val="none" w:sz="0" w:space="0" w:color="auto"/>
                        <w:left w:val="none" w:sz="0" w:space="0" w:color="auto"/>
                        <w:bottom w:val="none" w:sz="0" w:space="0" w:color="auto"/>
                        <w:right w:val="none" w:sz="0" w:space="0" w:color="auto"/>
                      </w:divBdr>
                    </w:div>
                  </w:divsChild>
                </w:div>
                <w:div w:id="557205360">
                  <w:marLeft w:val="0"/>
                  <w:marRight w:val="0"/>
                  <w:marTop w:val="0"/>
                  <w:marBottom w:val="0"/>
                  <w:divBdr>
                    <w:top w:val="none" w:sz="0" w:space="0" w:color="auto"/>
                    <w:left w:val="none" w:sz="0" w:space="0" w:color="auto"/>
                    <w:bottom w:val="none" w:sz="0" w:space="0" w:color="auto"/>
                    <w:right w:val="none" w:sz="0" w:space="0" w:color="auto"/>
                  </w:divBdr>
                  <w:divsChild>
                    <w:div w:id="699824231">
                      <w:marLeft w:val="0"/>
                      <w:marRight w:val="0"/>
                      <w:marTop w:val="0"/>
                      <w:marBottom w:val="0"/>
                      <w:divBdr>
                        <w:top w:val="none" w:sz="0" w:space="0" w:color="auto"/>
                        <w:left w:val="none" w:sz="0" w:space="0" w:color="auto"/>
                        <w:bottom w:val="none" w:sz="0" w:space="0" w:color="auto"/>
                        <w:right w:val="none" w:sz="0" w:space="0" w:color="auto"/>
                      </w:divBdr>
                    </w:div>
                  </w:divsChild>
                </w:div>
                <w:div w:id="610865973">
                  <w:marLeft w:val="0"/>
                  <w:marRight w:val="0"/>
                  <w:marTop w:val="0"/>
                  <w:marBottom w:val="0"/>
                  <w:divBdr>
                    <w:top w:val="none" w:sz="0" w:space="0" w:color="auto"/>
                    <w:left w:val="none" w:sz="0" w:space="0" w:color="auto"/>
                    <w:bottom w:val="none" w:sz="0" w:space="0" w:color="auto"/>
                    <w:right w:val="none" w:sz="0" w:space="0" w:color="auto"/>
                  </w:divBdr>
                  <w:divsChild>
                    <w:div w:id="770466951">
                      <w:marLeft w:val="0"/>
                      <w:marRight w:val="0"/>
                      <w:marTop w:val="0"/>
                      <w:marBottom w:val="0"/>
                      <w:divBdr>
                        <w:top w:val="none" w:sz="0" w:space="0" w:color="auto"/>
                        <w:left w:val="none" w:sz="0" w:space="0" w:color="auto"/>
                        <w:bottom w:val="none" w:sz="0" w:space="0" w:color="auto"/>
                        <w:right w:val="none" w:sz="0" w:space="0" w:color="auto"/>
                      </w:divBdr>
                    </w:div>
                  </w:divsChild>
                </w:div>
                <w:div w:id="705375167">
                  <w:marLeft w:val="0"/>
                  <w:marRight w:val="0"/>
                  <w:marTop w:val="0"/>
                  <w:marBottom w:val="0"/>
                  <w:divBdr>
                    <w:top w:val="none" w:sz="0" w:space="0" w:color="auto"/>
                    <w:left w:val="none" w:sz="0" w:space="0" w:color="auto"/>
                    <w:bottom w:val="none" w:sz="0" w:space="0" w:color="auto"/>
                    <w:right w:val="none" w:sz="0" w:space="0" w:color="auto"/>
                  </w:divBdr>
                  <w:divsChild>
                    <w:div w:id="150030255">
                      <w:marLeft w:val="0"/>
                      <w:marRight w:val="0"/>
                      <w:marTop w:val="0"/>
                      <w:marBottom w:val="0"/>
                      <w:divBdr>
                        <w:top w:val="none" w:sz="0" w:space="0" w:color="auto"/>
                        <w:left w:val="none" w:sz="0" w:space="0" w:color="auto"/>
                        <w:bottom w:val="none" w:sz="0" w:space="0" w:color="auto"/>
                        <w:right w:val="none" w:sz="0" w:space="0" w:color="auto"/>
                      </w:divBdr>
                    </w:div>
                  </w:divsChild>
                </w:div>
                <w:div w:id="709844688">
                  <w:marLeft w:val="0"/>
                  <w:marRight w:val="0"/>
                  <w:marTop w:val="0"/>
                  <w:marBottom w:val="0"/>
                  <w:divBdr>
                    <w:top w:val="none" w:sz="0" w:space="0" w:color="auto"/>
                    <w:left w:val="none" w:sz="0" w:space="0" w:color="auto"/>
                    <w:bottom w:val="none" w:sz="0" w:space="0" w:color="auto"/>
                    <w:right w:val="none" w:sz="0" w:space="0" w:color="auto"/>
                  </w:divBdr>
                  <w:divsChild>
                    <w:div w:id="1307928921">
                      <w:marLeft w:val="0"/>
                      <w:marRight w:val="0"/>
                      <w:marTop w:val="0"/>
                      <w:marBottom w:val="0"/>
                      <w:divBdr>
                        <w:top w:val="none" w:sz="0" w:space="0" w:color="auto"/>
                        <w:left w:val="none" w:sz="0" w:space="0" w:color="auto"/>
                        <w:bottom w:val="none" w:sz="0" w:space="0" w:color="auto"/>
                        <w:right w:val="none" w:sz="0" w:space="0" w:color="auto"/>
                      </w:divBdr>
                    </w:div>
                  </w:divsChild>
                </w:div>
                <w:div w:id="713650923">
                  <w:marLeft w:val="0"/>
                  <w:marRight w:val="0"/>
                  <w:marTop w:val="0"/>
                  <w:marBottom w:val="0"/>
                  <w:divBdr>
                    <w:top w:val="none" w:sz="0" w:space="0" w:color="auto"/>
                    <w:left w:val="none" w:sz="0" w:space="0" w:color="auto"/>
                    <w:bottom w:val="none" w:sz="0" w:space="0" w:color="auto"/>
                    <w:right w:val="none" w:sz="0" w:space="0" w:color="auto"/>
                  </w:divBdr>
                  <w:divsChild>
                    <w:div w:id="1049263858">
                      <w:marLeft w:val="0"/>
                      <w:marRight w:val="0"/>
                      <w:marTop w:val="0"/>
                      <w:marBottom w:val="0"/>
                      <w:divBdr>
                        <w:top w:val="none" w:sz="0" w:space="0" w:color="auto"/>
                        <w:left w:val="none" w:sz="0" w:space="0" w:color="auto"/>
                        <w:bottom w:val="none" w:sz="0" w:space="0" w:color="auto"/>
                        <w:right w:val="none" w:sz="0" w:space="0" w:color="auto"/>
                      </w:divBdr>
                    </w:div>
                  </w:divsChild>
                </w:div>
                <w:div w:id="750350196">
                  <w:marLeft w:val="0"/>
                  <w:marRight w:val="0"/>
                  <w:marTop w:val="0"/>
                  <w:marBottom w:val="0"/>
                  <w:divBdr>
                    <w:top w:val="none" w:sz="0" w:space="0" w:color="auto"/>
                    <w:left w:val="none" w:sz="0" w:space="0" w:color="auto"/>
                    <w:bottom w:val="none" w:sz="0" w:space="0" w:color="auto"/>
                    <w:right w:val="none" w:sz="0" w:space="0" w:color="auto"/>
                  </w:divBdr>
                  <w:divsChild>
                    <w:div w:id="1538007607">
                      <w:marLeft w:val="0"/>
                      <w:marRight w:val="0"/>
                      <w:marTop w:val="0"/>
                      <w:marBottom w:val="0"/>
                      <w:divBdr>
                        <w:top w:val="none" w:sz="0" w:space="0" w:color="auto"/>
                        <w:left w:val="none" w:sz="0" w:space="0" w:color="auto"/>
                        <w:bottom w:val="none" w:sz="0" w:space="0" w:color="auto"/>
                        <w:right w:val="none" w:sz="0" w:space="0" w:color="auto"/>
                      </w:divBdr>
                    </w:div>
                  </w:divsChild>
                </w:div>
                <w:div w:id="803813313">
                  <w:marLeft w:val="0"/>
                  <w:marRight w:val="0"/>
                  <w:marTop w:val="0"/>
                  <w:marBottom w:val="0"/>
                  <w:divBdr>
                    <w:top w:val="none" w:sz="0" w:space="0" w:color="auto"/>
                    <w:left w:val="none" w:sz="0" w:space="0" w:color="auto"/>
                    <w:bottom w:val="none" w:sz="0" w:space="0" w:color="auto"/>
                    <w:right w:val="none" w:sz="0" w:space="0" w:color="auto"/>
                  </w:divBdr>
                  <w:divsChild>
                    <w:div w:id="1572692169">
                      <w:marLeft w:val="0"/>
                      <w:marRight w:val="0"/>
                      <w:marTop w:val="0"/>
                      <w:marBottom w:val="0"/>
                      <w:divBdr>
                        <w:top w:val="none" w:sz="0" w:space="0" w:color="auto"/>
                        <w:left w:val="none" w:sz="0" w:space="0" w:color="auto"/>
                        <w:bottom w:val="none" w:sz="0" w:space="0" w:color="auto"/>
                        <w:right w:val="none" w:sz="0" w:space="0" w:color="auto"/>
                      </w:divBdr>
                    </w:div>
                  </w:divsChild>
                </w:div>
                <w:div w:id="865825664">
                  <w:marLeft w:val="0"/>
                  <w:marRight w:val="0"/>
                  <w:marTop w:val="0"/>
                  <w:marBottom w:val="0"/>
                  <w:divBdr>
                    <w:top w:val="none" w:sz="0" w:space="0" w:color="auto"/>
                    <w:left w:val="none" w:sz="0" w:space="0" w:color="auto"/>
                    <w:bottom w:val="none" w:sz="0" w:space="0" w:color="auto"/>
                    <w:right w:val="none" w:sz="0" w:space="0" w:color="auto"/>
                  </w:divBdr>
                  <w:divsChild>
                    <w:div w:id="1913268902">
                      <w:marLeft w:val="0"/>
                      <w:marRight w:val="0"/>
                      <w:marTop w:val="0"/>
                      <w:marBottom w:val="0"/>
                      <w:divBdr>
                        <w:top w:val="none" w:sz="0" w:space="0" w:color="auto"/>
                        <w:left w:val="none" w:sz="0" w:space="0" w:color="auto"/>
                        <w:bottom w:val="none" w:sz="0" w:space="0" w:color="auto"/>
                        <w:right w:val="none" w:sz="0" w:space="0" w:color="auto"/>
                      </w:divBdr>
                    </w:div>
                  </w:divsChild>
                </w:div>
                <w:div w:id="877162623">
                  <w:marLeft w:val="0"/>
                  <w:marRight w:val="0"/>
                  <w:marTop w:val="0"/>
                  <w:marBottom w:val="0"/>
                  <w:divBdr>
                    <w:top w:val="none" w:sz="0" w:space="0" w:color="auto"/>
                    <w:left w:val="none" w:sz="0" w:space="0" w:color="auto"/>
                    <w:bottom w:val="none" w:sz="0" w:space="0" w:color="auto"/>
                    <w:right w:val="none" w:sz="0" w:space="0" w:color="auto"/>
                  </w:divBdr>
                  <w:divsChild>
                    <w:div w:id="231041099">
                      <w:marLeft w:val="0"/>
                      <w:marRight w:val="0"/>
                      <w:marTop w:val="0"/>
                      <w:marBottom w:val="0"/>
                      <w:divBdr>
                        <w:top w:val="none" w:sz="0" w:space="0" w:color="auto"/>
                        <w:left w:val="none" w:sz="0" w:space="0" w:color="auto"/>
                        <w:bottom w:val="none" w:sz="0" w:space="0" w:color="auto"/>
                        <w:right w:val="none" w:sz="0" w:space="0" w:color="auto"/>
                      </w:divBdr>
                    </w:div>
                  </w:divsChild>
                </w:div>
                <w:div w:id="921454853">
                  <w:marLeft w:val="0"/>
                  <w:marRight w:val="0"/>
                  <w:marTop w:val="0"/>
                  <w:marBottom w:val="0"/>
                  <w:divBdr>
                    <w:top w:val="none" w:sz="0" w:space="0" w:color="auto"/>
                    <w:left w:val="none" w:sz="0" w:space="0" w:color="auto"/>
                    <w:bottom w:val="none" w:sz="0" w:space="0" w:color="auto"/>
                    <w:right w:val="none" w:sz="0" w:space="0" w:color="auto"/>
                  </w:divBdr>
                  <w:divsChild>
                    <w:div w:id="412051011">
                      <w:marLeft w:val="0"/>
                      <w:marRight w:val="0"/>
                      <w:marTop w:val="0"/>
                      <w:marBottom w:val="0"/>
                      <w:divBdr>
                        <w:top w:val="none" w:sz="0" w:space="0" w:color="auto"/>
                        <w:left w:val="none" w:sz="0" w:space="0" w:color="auto"/>
                        <w:bottom w:val="none" w:sz="0" w:space="0" w:color="auto"/>
                        <w:right w:val="none" w:sz="0" w:space="0" w:color="auto"/>
                      </w:divBdr>
                    </w:div>
                  </w:divsChild>
                </w:div>
                <w:div w:id="989558767">
                  <w:marLeft w:val="0"/>
                  <w:marRight w:val="0"/>
                  <w:marTop w:val="0"/>
                  <w:marBottom w:val="0"/>
                  <w:divBdr>
                    <w:top w:val="none" w:sz="0" w:space="0" w:color="auto"/>
                    <w:left w:val="none" w:sz="0" w:space="0" w:color="auto"/>
                    <w:bottom w:val="none" w:sz="0" w:space="0" w:color="auto"/>
                    <w:right w:val="none" w:sz="0" w:space="0" w:color="auto"/>
                  </w:divBdr>
                  <w:divsChild>
                    <w:div w:id="2117749683">
                      <w:marLeft w:val="0"/>
                      <w:marRight w:val="0"/>
                      <w:marTop w:val="0"/>
                      <w:marBottom w:val="0"/>
                      <w:divBdr>
                        <w:top w:val="none" w:sz="0" w:space="0" w:color="auto"/>
                        <w:left w:val="none" w:sz="0" w:space="0" w:color="auto"/>
                        <w:bottom w:val="none" w:sz="0" w:space="0" w:color="auto"/>
                        <w:right w:val="none" w:sz="0" w:space="0" w:color="auto"/>
                      </w:divBdr>
                    </w:div>
                  </w:divsChild>
                </w:div>
                <w:div w:id="1120882367">
                  <w:marLeft w:val="0"/>
                  <w:marRight w:val="0"/>
                  <w:marTop w:val="0"/>
                  <w:marBottom w:val="0"/>
                  <w:divBdr>
                    <w:top w:val="none" w:sz="0" w:space="0" w:color="auto"/>
                    <w:left w:val="none" w:sz="0" w:space="0" w:color="auto"/>
                    <w:bottom w:val="none" w:sz="0" w:space="0" w:color="auto"/>
                    <w:right w:val="none" w:sz="0" w:space="0" w:color="auto"/>
                  </w:divBdr>
                  <w:divsChild>
                    <w:div w:id="591203844">
                      <w:marLeft w:val="0"/>
                      <w:marRight w:val="0"/>
                      <w:marTop w:val="0"/>
                      <w:marBottom w:val="0"/>
                      <w:divBdr>
                        <w:top w:val="none" w:sz="0" w:space="0" w:color="auto"/>
                        <w:left w:val="none" w:sz="0" w:space="0" w:color="auto"/>
                        <w:bottom w:val="none" w:sz="0" w:space="0" w:color="auto"/>
                        <w:right w:val="none" w:sz="0" w:space="0" w:color="auto"/>
                      </w:divBdr>
                    </w:div>
                  </w:divsChild>
                </w:div>
                <w:div w:id="1202858403">
                  <w:marLeft w:val="0"/>
                  <w:marRight w:val="0"/>
                  <w:marTop w:val="0"/>
                  <w:marBottom w:val="0"/>
                  <w:divBdr>
                    <w:top w:val="none" w:sz="0" w:space="0" w:color="auto"/>
                    <w:left w:val="none" w:sz="0" w:space="0" w:color="auto"/>
                    <w:bottom w:val="none" w:sz="0" w:space="0" w:color="auto"/>
                    <w:right w:val="none" w:sz="0" w:space="0" w:color="auto"/>
                  </w:divBdr>
                  <w:divsChild>
                    <w:div w:id="1988776003">
                      <w:marLeft w:val="0"/>
                      <w:marRight w:val="0"/>
                      <w:marTop w:val="0"/>
                      <w:marBottom w:val="0"/>
                      <w:divBdr>
                        <w:top w:val="none" w:sz="0" w:space="0" w:color="auto"/>
                        <w:left w:val="none" w:sz="0" w:space="0" w:color="auto"/>
                        <w:bottom w:val="none" w:sz="0" w:space="0" w:color="auto"/>
                        <w:right w:val="none" w:sz="0" w:space="0" w:color="auto"/>
                      </w:divBdr>
                    </w:div>
                  </w:divsChild>
                </w:div>
                <w:div w:id="1229799451">
                  <w:marLeft w:val="0"/>
                  <w:marRight w:val="0"/>
                  <w:marTop w:val="0"/>
                  <w:marBottom w:val="0"/>
                  <w:divBdr>
                    <w:top w:val="none" w:sz="0" w:space="0" w:color="auto"/>
                    <w:left w:val="none" w:sz="0" w:space="0" w:color="auto"/>
                    <w:bottom w:val="none" w:sz="0" w:space="0" w:color="auto"/>
                    <w:right w:val="none" w:sz="0" w:space="0" w:color="auto"/>
                  </w:divBdr>
                  <w:divsChild>
                    <w:div w:id="137915328">
                      <w:marLeft w:val="0"/>
                      <w:marRight w:val="0"/>
                      <w:marTop w:val="0"/>
                      <w:marBottom w:val="0"/>
                      <w:divBdr>
                        <w:top w:val="none" w:sz="0" w:space="0" w:color="auto"/>
                        <w:left w:val="none" w:sz="0" w:space="0" w:color="auto"/>
                        <w:bottom w:val="none" w:sz="0" w:space="0" w:color="auto"/>
                        <w:right w:val="none" w:sz="0" w:space="0" w:color="auto"/>
                      </w:divBdr>
                    </w:div>
                  </w:divsChild>
                </w:div>
                <w:div w:id="1236740833">
                  <w:marLeft w:val="0"/>
                  <w:marRight w:val="0"/>
                  <w:marTop w:val="0"/>
                  <w:marBottom w:val="0"/>
                  <w:divBdr>
                    <w:top w:val="none" w:sz="0" w:space="0" w:color="auto"/>
                    <w:left w:val="none" w:sz="0" w:space="0" w:color="auto"/>
                    <w:bottom w:val="none" w:sz="0" w:space="0" w:color="auto"/>
                    <w:right w:val="none" w:sz="0" w:space="0" w:color="auto"/>
                  </w:divBdr>
                  <w:divsChild>
                    <w:div w:id="149370345">
                      <w:marLeft w:val="0"/>
                      <w:marRight w:val="0"/>
                      <w:marTop w:val="0"/>
                      <w:marBottom w:val="0"/>
                      <w:divBdr>
                        <w:top w:val="none" w:sz="0" w:space="0" w:color="auto"/>
                        <w:left w:val="none" w:sz="0" w:space="0" w:color="auto"/>
                        <w:bottom w:val="none" w:sz="0" w:space="0" w:color="auto"/>
                        <w:right w:val="none" w:sz="0" w:space="0" w:color="auto"/>
                      </w:divBdr>
                    </w:div>
                  </w:divsChild>
                </w:div>
                <w:div w:id="1254046880">
                  <w:marLeft w:val="0"/>
                  <w:marRight w:val="0"/>
                  <w:marTop w:val="0"/>
                  <w:marBottom w:val="0"/>
                  <w:divBdr>
                    <w:top w:val="none" w:sz="0" w:space="0" w:color="auto"/>
                    <w:left w:val="none" w:sz="0" w:space="0" w:color="auto"/>
                    <w:bottom w:val="none" w:sz="0" w:space="0" w:color="auto"/>
                    <w:right w:val="none" w:sz="0" w:space="0" w:color="auto"/>
                  </w:divBdr>
                  <w:divsChild>
                    <w:div w:id="61217792">
                      <w:marLeft w:val="0"/>
                      <w:marRight w:val="0"/>
                      <w:marTop w:val="0"/>
                      <w:marBottom w:val="0"/>
                      <w:divBdr>
                        <w:top w:val="none" w:sz="0" w:space="0" w:color="auto"/>
                        <w:left w:val="none" w:sz="0" w:space="0" w:color="auto"/>
                        <w:bottom w:val="none" w:sz="0" w:space="0" w:color="auto"/>
                        <w:right w:val="none" w:sz="0" w:space="0" w:color="auto"/>
                      </w:divBdr>
                    </w:div>
                  </w:divsChild>
                </w:div>
                <w:div w:id="1265068260">
                  <w:marLeft w:val="0"/>
                  <w:marRight w:val="0"/>
                  <w:marTop w:val="0"/>
                  <w:marBottom w:val="0"/>
                  <w:divBdr>
                    <w:top w:val="none" w:sz="0" w:space="0" w:color="auto"/>
                    <w:left w:val="none" w:sz="0" w:space="0" w:color="auto"/>
                    <w:bottom w:val="none" w:sz="0" w:space="0" w:color="auto"/>
                    <w:right w:val="none" w:sz="0" w:space="0" w:color="auto"/>
                  </w:divBdr>
                  <w:divsChild>
                    <w:div w:id="973682307">
                      <w:marLeft w:val="0"/>
                      <w:marRight w:val="0"/>
                      <w:marTop w:val="0"/>
                      <w:marBottom w:val="0"/>
                      <w:divBdr>
                        <w:top w:val="none" w:sz="0" w:space="0" w:color="auto"/>
                        <w:left w:val="none" w:sz="0" w:space="0" w:color="auto"/>
                        <w:bottom w:val="none" w:sz="0" w:space="0" w:color="auto"/>
                        <w:right w:val="none" w:sz="0" w:space="0" w:color="auto"/>
                      </w:divBdr>
                    </w:div>
                  </w:divsChild>
                </w:div>
                <w:div w:id="1400902417">
                  <w:marLeft w:val="0"/>
                  <w:marRight w:val="0"/>
                  <w:marTop w:val="0"/>
                  <w:marBottom w:val="0"/>
                  <w:divBdr>
                    <w:top w:val="none" w:sz="0" w:space="0" w:color="auto"/>
                    <w:left w:val="none" w:sz="0" w:space="0" w:color="auto"/>
                    <w:bottom w:val="none" w:sz="0" w:space="0" w:color="auto"/>
                    <w:right w:val="none" w:sz="0" w:space="0" w:color="auto"/>
                  </w:divBdr>
                  <w:divsChild>
                    <w:div w:id="1870411909">
                      <w:marLeft w:val="0"/>
                      <w:marRight w:val="0"/>
                      <w:marTop w:val="0"/>
                      <w:marBottom w:val="0"/>
                      <w:divBdr>
                        <w:top w:val="none" w:sz="0" w:space="0" w:color="auto"/>
                        <w:left w:val="none" w:sz="0" w:space="0" w:color="auto"/>
                        <w:bottom w:val="none" w:sz="0" w:space="0" w:color="auto"/>
                        <w:right w:val="none" w:sz="0" w:space="0" w:color="auto"/>
                      </w:divBdr>
                    </w:div>
                  </w:divsChild>
                </w:div>
                <w:div w:id="1553809174">
                  <w:marLeft w:val="0"/>
                  <w:marRight w:val="0"/>
                  <w:marTop w:val="0"/>
                  <w:marBottom w:val="0"/>
                  <w:divBdr>
                    <w:top w:val="none" w:sz="0" w:space="0" w:color="auto"/>
                    <w:left w:val="none" w:sz="0" w:space="0" w:color="auto"/>
                    <w:bottom w:val="none" w:sz="0" w:space="0" w:color="auto"/>
                    <w:right w:val="none" w:sz="0" w:space="0" w:color="auto"/>
                  </w:divBdr>
                  <w:divsChild>
                    <w:div w:id="313993244">
                      <w:marLeft w:val="0"/>
                      <w:marRight w:val="0"/>
                      <w:marTop w:val="0"/>
                      <w:marBottom w:val="0"/>
                      <w:divBdr>
                        <w:top w:val="none" w:sz="0" w:space="0" w:color="auto"/>
                        <w:left w:val="none" w:sz="0" w:space="0" w:color="auto"/>
                        <w:bottom w:val="none" w:sz="0" w:space="0" w:color="auto"/>
                        <w:right w:val="none" w:sz="0" w:space="0" w:color="auto"/>
                      </w:divBdr>
                    </w:div>
                  </w:divsChild>
                </w:div>
                <w:div w:id="1564411546">
                  <w:marLeft w:val="0"/>
                  <w:marRight w:val="0"/>
                  <w:marTop w:val="0"/>
                  <w:marBottom w:val="0"/>
                  <w:divBdr>
                    <w:top w:val="none" w:sz="0" w:space="0" w:color="auto"/>
                    <w:left w:val="none" w:sz="0" w:space="0" w:color="auto"/>
                    <w:bottom w:val="none" w:sz="0" w:space="0" w:color="auto"/>
                    <w:right w:val="none" w:sz="0" w:space="0" w:color="auto"/>
                  </w:divBdr>
                  <w:divsChild>
                    <w:div w:id="1815946108">
                      <w:marLeft w:val="0"/>
                      <w:marRight w:val="0"/>
                      <w:marTop w:val="0"/>
                      <w:marBottom w:val="0"/>
                      <w:divBdr>
                        <w:top w:val="none" w:sz="0" w:space="0" w:color="auto"/>
                        <w:left w:val="none" w:sz="0" w:space="0" w:color="auto"/>
                        <w:bottom w:val="none" w:sz="0" w:space="0" w:color="auto"/>
                        <w:right w:val="none" w:sz="0" w:space="0" w:color="auto"/>
                      </w:divBdr>
                    </w:div>
                  </w:divsChild>
                </w:div>
                <w:div w:id="1606183382">
                  <w:marLeft w:val="0"/>
                  <w:marRight w:val="0"/>
                  <w:marTop w:val="0"/>
                  <w:marBottom w:val="0"/>
                  <w:divBdr>
                    <w:top w:val="none" w:sz="0" w:space="0" w:color="auto"/>
                    <w:left w:val="none" w:sz="0" w:space="0" w:color="auto"/>
                    <w:bottom w:val="none" w:sz="0" w:space="0" w:color="auto"/>
                    <w:right w:val="none" w:sz="0" w:space="0" w:color="auto"/>
                  </w:divBdr>
                  <w:divsChild>
                    <w:div w:id="1066220837">
                      <w:marLeft w:val="0"/>
                      <w:marRight w:val="0"/>
                      <w:marTop w:val="0"/>
                      <w:marBottom w:val="0"/>
                      <w:divBdr>
                        <w:top w:val="none" w:sz="0" w:space="0" w:color="auto"/>
                        <w:left w:val="none" w:sz="0" w:space="0" w:color="auto"/>
                        <w:bottom w:val="none" w:sz="0" w:space="0" w:color="auto"/>
                        <w:right w:val="none" w:sz="0" w:space="0" w:color="auto"/>
                      </w:divBdr>
                    </w:div>
                  </w:divsChild>
                </w:div>
                <w:div w:id="1698846992">
                  <w:marLeft w:val="0"/>
                  <w:marRight w:val="0"/>
                  <w:marTop w:val="0"/>
                  <w:marBottom w:val="0"/>
                  <w:divBdr>
                    <w:top w:val="none" w:sz="0" w:space="0" w:color="auto"/>
                    <w:left w:val="none" w:sz="0" w:space="0" w:color="auto"/>
                    <w:bottom w:val="none" w:sz="0" w:space="0" w:color="auto"/>
                    <w:right w:val="none" w:sz="0" w:space="0" w:color="auto"/>
                  </w:divBdr>
                  <w:divsChild>
                    <w:div w:id="2142844367">
                      <w:marLeft w:val="0"/>
                      <w:marRight w:val="0"/>
                      <w:marTop w:val="0"/>
                      <w:marBottom w:val="0"/>
                      <w:divBdr>
                        <w:top w:val="none" w:sz="0" w:space="0" w:color="auto"/>
                        <w:left w:val="none" w:sz="0" w:space="0" w:color="auto"/>
                        <w:bottom w:val="none" w:sz="0" w:space="0" w:color="auto"/>
                        <w:right w:val="none" w:sz="0" w:space="0" w:color="auto"/>
                      </w:divBdr>
                    </w:div>
                  </w:divsChild>
                </w:div>
                <w:div w:id="1762291136">
                  <w:marLeft w:val="0"/>
                  <w:marRight w:val="0"/>
                  <w:marTop w:val="0"/>
                  <w:marBottom w:val="0"/>
                  <w:divBdr>
                    <w:top w:val="none" w:sz="0" w:space="0" w:color="auto"/>
                    <w:left w:val="none" w:sz="0" w:space="0" w:color="auto"/>
                    <w:bottom w:val="none" w:sz="0" w:space="0" w:color="auto"/>
                    <w:right w:val="none" w:sz="0" w:space="0" w:color="auto"/>
                  </w:divBdr>
                  <w:divsChild>
                    <w:div w:id="1235510151">
                      <w:marLeft w:val="0"/>
                      <w:marRight w:val="0"/>
                      <w:marTop w:val="0"/>
                      <w:marBottom w:val="0"/>
                      <w:divBdr>
                        <w:top w:val="none" w:sz="0" w:space="0" w:color="auto"/>
                        <w:left w:val="none" w:sz="0" w:space="0" w:color="auto"/>
                        <w:bottom w:val="none" w:sz="0" w:space="0" w:color="auto"/>
                        <w:right w:val="none" w:sz="0" w:space="0" w:color="auto"/>
                      </w:divBdr>
                    </w:div>
                  </w:divsChild>
                </w:div>
                <w:div w:id="1821540049">
                  <w:marLeft w:val="0"/>
                  <w:marRight w:val="0"/>
                  <w:marTop w:val="0"/>
                  <w:marBottom w:val="0"/>
                  <w:divBdr>
                    <w:top w:val="none" w:sz="0" w:space="0" w:color="auto"/>
                    <w:left w:val="none" w:sz="0" w:space="0" w:color="auto"/>
                    <w:bottom w:val="none" w:sz="0" w:space="0" w:color="auto"/>
                    <w:right w:val="none" w:sz="0" w:space="0" w:color="auto"/>
                  </w:divBdr>
                  <w:divsChild>
                    <w:div w:id="102000703">
                      <w:marLeft w:val="0"/>
                      <w:marRight w:val="0"/>
                      <w:marTop w:val="0"/>
                      <w:marBottom w:val="0"/>
                      <w:divBdr>
                        <w:top w:val="none" w:sz="0" w:space="0" w:color="auto"/>
                        <w:left w:val="none" w:sz="0" w:space="0" w:color="auto"/>
                        <w:bottom w:val="none" w:sz="0" w:space="0" w:color="auto"/>
                        <w:right w:val="none" w:sz="0" w:space="0" w:color="auto"/>
                      </w:divBdr>
                    </w:div>
                  </w:divsChild>
                </w:div>
                <w:div w:id="1834569658">
                  <w:marLeft w:val="0"/>
                  <w:marRight w:val="0"/>
                  <w:marTop w:val="0"/>
                  <w:marBottom w:val="0"/>
                  <w:divBdr>
                    <w:top w:val="none" w:sz="0" w:space="0" w:color="auto"/>
                    <w:left w:val="none" w:sz="0" w:space="0" w:color="auto"/>
                    <w:bottom w:val="none" w:sz="0" w:space="0" w:color="auto"/>
                    <w:right w:val="none" w:sz="0" w:space="0" w:color="auto"/>
                  </w:divBdr>
                  <w:divsChild>
                    <w:div w:id="1221208423">
                      <w:marLeft w:val="0"/>
                      <w:marRight w:val="0"/>
                      <w:marTop w:val="0"/>
                      <w:marBottom w:val="0"/>
                      <w:divBdr>
                        <w:top w:val="none" w:sz="0" w:space="0" w:color="auto"/>
                        <w:left w:val="none" w:sz="0" w:space="0" w:color="auto"/>
                        <w:bottom w:val="none" w:sz="0" w:space="0" w:color="auto"/>
                        <w:right w:val="none" w:sz="0" w:space="0" w:color="auto"/>
                      </w:divBdr>
                    </w:div>
                  </w:divsChild>
                </w:div>
                <w:div w:id="1921871254">
                  <w:marLeft w:val="0"/>
                  <w:marRight w:val="0"/>
                  <w:marTop w:val="0"/>
                  <w:marBottom w:val="0"/>
                  <w:divBdr>
                    <w:top w:val="none" w:sz="0" w:space="0" w:color="auto"/>
                    <w:left w:val="none" w:sz="0" w:space="0" w:color="auto"/>
                    <w:bottom w:val="none" w:sz="0" w:space="0" w:color="auto"/>
                    <w:right w:val="none" w:sz="0" w:space="0" w:color="auto"/>
                  </w:divBdr>
                  <w:divsChild>
                    <w:div w:id="1876578830">
                      <w:marLeft w:val="0"/>
                      <w:marRight w:val="0"/>
                      <w:marTop w:val="0"/>
                      <w:marBottom w:val="0"/>
                      <w:divBdr>
                        <w:top w:val="none" w:sz="0" w:space="0" w:color="auto"/>
                        <w:left w:val="none" w:sz="0" w:space="0" w:color="auto"/>
                        <w:bottom w:val="none" w:sz="0" w:space="0" w:color="auto"/>
                        <w:right w:val="none" w:sz="0" w:space="0" w:color="auto"/>
                      </w:divBdr>
                    </w:div>
                  </w:divsChild>
                </w:div>
                <w:div w:id="1930693444">
                  <w:marLeft w:val="0"/>
                  <w:marRight w:val="0"/>
                  <w:marTop w:val="0"/>
                  <w:marBottom w:val="0"/>
                  <w:divBdr>
                    <w:top w:val="none" w:sz="0" w:space="0" w:color="auto"/>
                    <w:left w:val="none" w:sz="0" w:space="0" w:color="auto"/>
                    <w:bottom w:val="none" w:sz="0" w:space="0" w:color="auto"/>
                    <w:right w:val="none" w:sz="0" w:space="0" w:color="auto"/>
                  </w:divBdr>
                  <w:divsChild>
                    <w:div w:id="658198183">
                      <w:marLeft w:val="0"/>
                      <w:marRight w:val="0"/>
                      <w:marTop w:val="0"/>
                      <w:marBottom w:val="0"/>
                      <w:divBdr>
                        <w:top w:val="none" w:sz="0" w:space="0" w:color="auto"/>
                        <w:left w:val="none" w:sz="0" w:space="0" w:color="auto"/>
                        <w:bottom w:val="none" w:sz="0" w:space="0" w:color="auto"/>
                        <w:right w:val="none" w:sz="0" w:space="0" w:color="auto"/>
                      </w:divBdr>
                    </w:div>
                  </w:divsChild>
                </w:div>
                <w:div w:id="1992365960">
                  <w:marLeft w:val="0"/>
                  <w:marRight w:val="0"/>
                  <w:marTop w:val="0"/>
                  <w:marBottom w:val="0"/>
                  <w:divBdr>
                    <w:top w:val="none" w:sz="0" w:space="0" w:color="auto"/>
                    <w:left w:val="none" w:sz="0" w:space="0" w:color="auto"/>
                    <w:bottom w:val="none" w:sz="0" w:space="0" w:color="auto"/>
                    <w:right w:val="none" w:sz="0" w:space="0" w:color="auto"/>
                  </w:divBdr>
                  <w:divsChild>
                    <w:div w:id="890192573">
                      <w:marLeft w:val="0"/>
                      <w:marRight w:val="0"/>
                      <w:marTop w:val="0"/>
                      <w:marBottom w:val="0"/>
                      <w:divBdr>
                        <w:top w:val="none" w:sz="0" w:space="0" w:color="auto"/>
                        <w:left w:val="none" w:sz="0" w:space="0" w:color="auto"/>
                        <w:bottom w:val="none" w:sz="0" w:space="0" w:color="auto"/>
                        <w:right w:val="none" w:sz="0" w:space="0" w:color="auto"/>
                      </w:divBdr>
                    </w:div>
                  </w:divsChild>
                </w:div>
                <w:div w:id="2147241082">
                  <w:marLeft w:val="0"/>
                  <w:marRight w:val="0"/>
                  <w:marTop w:val="0"/>
                  <w:marBottom w:val="0"/>
                  <w:divBdr>
                    <w:top w:val="none" w:sz="0" w:space="0" w:color="auto"/>
                    <w:left w:val="none" w:sz="0" w:space="0" w:color="auto"/>
                    <w:bottom w:val="none" w:sz="0" w:space="0" w:color="auto"/>
                    <w:right w:val="none" w:sz="0" w:space="0" w:color="auto"/>
                  </w:divBdr>
                  <w:divsChild>
                    <w:div w:id="180330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96817">
          <w:marLeft w:val="0"/>
          <w:marRight w:val="0"/>
          <w:marTop w:val="0"/>
          <w:marBottom w:val="0"/>
          <w:divBdr>
            <w:top w:val="none" w:sz="0" w:space="0" w:color="auto"/>
            <w:left w:val="none" w:sz="0" w:space="0" w:color="auto"/>
            <w:bottom w:val="none" w:sz="0" w:space="0" w:color="auto"/>
            <w:right w:val="none" w:sz="0" w:space="0" w:color="auto"/>
          </w:divBdr>
        </w:div>
        <w:div w:id="2141267608">
          <w:marLeft w:val="0"/>
          <w:marRight w:val="0"/>
          <w:marTop w:val="0"/>
          <w:marBottom w:val="0"/>
          <w:divBdr>
            <w:top w:val="none" w:sz="0" w:space="0" w:color="auto"/>
            <w:left w:val="none" w:sz="0" w:space="0" w:color="auto"/>
            <w:bottom w:val="none" w:sz="0" w:space="0" w:color="auto"/>
            <w:right w:val="none" w:sz="0" w:space="0" w:color="auto"/>
          </w:divBdr>
        </w:div>
      </w:divsChild>
    </w:div>
    <w:div w:id="1824084403">
      <w:bodyDiv w:val="1"/>
      <w:marLeft w:val="0"/>
      <w:marRight w:val="0"/>
      <w:marTop w:val="0"/>
      <w:marBottom w:val="0"/>
      <w:divBdr>
        <w:top w:val="none" w:sz="0" w:space="0" w:color="auto"/>
        <w:left w:val="none" w:sz="0" w:space="0" w:color="auto"/>
        <w:bottom w:val="none" w:sz="0" w:space="0" w:color="auto"/>
        <w:right w:val="none" w:sz="0" w:space="0" w:color="auto"/>
      </w:divBdr>
      <w:divsChild>
        <w:div w:id="10035865">
          <w:marLeft w:val="0"/>
          <w:marRight w:val="0"/>
          <w:marTop w:val="0"/>
          <w:marBottom w:val="0"/>
          <w:divBdr>
            <w:top w:val="none" w:sz="0" w:space="0" w:color="auto"/>
            <w:left w:val="none" w:sz="0" w:space="0" w:color="auto"/>
            <w:bottom w:val="none" w:sz="0" w:space="0" w:color="auto"/>
            <w:right w:val="none" w:sz="0" w:space="0" w:color="auto"/>
          </w:divBdr>
        </w:div>
        <w:div w:id="25755779">
          <w:marLeft w:val="0"/>
          <w:marRight w:val="0"/>
          <w:marTop w:val="0"/>
          <w:marBottom w:val="0"/>
          <w:divBdr>
            <w:top w:val="none" w:sz="0" w:space="0" w:color="auto"/>
            <w:left w:val="none" w:sz="0" w:space="0" w:color="auto"/>
            <w:bottom w:val="none" w:sz="0" w:space="0" w:color="auto"/>
            <w:right w:val="none" w:sz="0" w:space="0" w:color="auto"/>
          </w:divBdr>
        </w:div>
        <w:div w:id="42415030">
          <w:marLeft w:val="0"/>
          <w:marRight w:val="0"/>
          <w:marTop w:val="0"/>
          <w:marBottom w:val="0"/>
          <w:divBdr>
            <w:top w:val="none" w:sz="0" w:space="0" w:color="auto"/>
            <w:left w:val="none" w:sz="0" w:space="0" w:color="auto"/>
            <w:bottom w:val="none" w:sz="0" w:space="0" w:color="auto"/>
            <w:right w:val="none" w:sz="0" w:space="0" w:color="auto"/>
          </w:divBdr>
        </w:div>
        <w:div w:id="46271552">
          <w:marLeft w:val="0"/>
          <w:marRight w:val="0"/>
          <w:marTop w:val="0"/>
          <w:marBottom w:val="0"/>
          <w:divBdr>
            <w:top w:val="none" w:sz="0" w:space="0" w:color="auto"/>
            <w:left w:val="none" w:sz="0" w:space="0" w:color="auto"/>
            <w:bottom w:val="none" w:sz="0" w:space="0" w:color="auto"/>
            <w:right w:val="none" w:sz="0" w:space="0" w:color="auto"/>
          </w:divBdr>
        </w:div>
        <w:div w:id="91362616">
          <w:marLeft w:val="0"/>
          <w:marRight w:val="0"/>
          <w:marTop w:val="0"/>
          <w:marBottom w:val="0"/>
          <w:divBdr>
            <w:top w:val="none" w:sz="0" w:space="0" w:color="auto"/>
            <w:left w:val="none" w:sz="0" w:space="0" w:color="auto"/>
            <w:bottom w:val="none" w:sz="0" w:space="0" w:color="auto"/>
            <w:right w:val="none" w:sz="0" w:space="0" w:color="auto"/>
          </w:divBdr>
        </w:div>
        <w:div w:id="101271524">
          <w:marLeft w:val="0"/>
          <w:marRight w:val="0"/>
          <w:marTop w:val="0"/>
          <w:marBottom w:val="0"/>
          <w:divBdr>
            <w:top w:val="none" w:sz="0" w:space="0" w:color="auto"/>
            <w:left w:val="none" w:sz="0" w:space="0" w:color="auto"/>
            <w:bottom w:val="none" w:sz="0" w:space="0" w:color="auto"/>
            <w:right w:val="none" w:sz="0" w:space="0" w:color="auto"/>
          </w:divBdr>
        </w:div>
        <w:div w:id="128985106">
          <w:marLeft w:val="0"/>
          <w:marRight w:val="0"/>
          <w:marTop w:val="0"/>
          <w:marBottom w:val="0"/>
          <w:divBdr>
            <w:top w:val="none" w:sz="0" w:space="0" w:color="auto"/>
            <w:left w:val="none" w:sz="0" w:space="0" w:color="auto"/>
            <w:bottom w:val="none" w:sz="0" w:space="0" w:color="auto"/>
            <w:right w:val="none" w:sz="0" w:space="0" w:color="auto"/>
          </w:divBdr>
        </w:div>
        <w:div w:id="241184630">
          <w:marLeft w:val="0"/>
          <w:marRight w:val="0"/>
          <w:marTop w:val="0"/>
          <w:marBottom w:val="0"/>
          <w:divBdr>
            <w:top w:val="none" w:sz="0" w:space="0" w:color="auto"/>
            <w:left w:val="none" w:sz="0" w:space="0" w:color="auto"/>
            <w:bottom w:val="none" w:sz="0" w:space="0" w:color="auto"/>
            <w:right w:val="none" w:sz="0" w:space="0" w:color="auto"/>
          </w:divBdr>
        </w:div>
        <w:div w:id="266238480">
          <w:marLeft w:val="0"/>
          <w:marRight w:val="0"/>
          <w:marTop w:val="0"/>
          <w:marBottom w:val="0"/>
          <w:divBdr>
            <w:top w:val="none" w:sz="0" w:space="0" w:color="auto"/>
            <w:left w:val="none" w:sz="0" w:space="0" w:color="auto"/>
            <w:bottom w:val="none" w:sz="0" w:space="0" w:color="auto"/>
            <w:right w:val="none" w:sz="0" w:space="0" w:color="auto"/>
          </w:divBdr>
        </w:div>
        <w:div w:id="352993913">
          <w:marLeft w:val="0"/>
          <w:marRight w:val="0"/>
          <w:marTop w:val="0"/>
          <w:marBottom w:val="0"/>
          <w:divBdr>
            <w:top w:val="none" w:sz="0" w:space="0" w:color="auto"/>
            <w:left w:val="none" w:sz="0" w:space="0" w:color="auto"/>
            <w:bottom w:val="none" w:sz="0" w:space="0" w:color="auto"/>
            <w:right w:val="none" w:sz="0" w:space="0" w:color="auto"/>
          </w:divBdr>
        </w:div>
        <w:div w:id="361125992">
          <w:marLeft w:val="0"/>
          <w:marRight w:val="0"/>
          <w:marTop w:val="0"/>
          <w:marBottom w:val="0"/>
          <w:divBdr>
            <w:top w:val="none" w:sz="0" w:space="0" w:color="auto"/>
            <w:left w:val="none" w:sz="0" w:space="0" w:color="auto"/>
            <w:bottom w:val="none" w:sz="0" w:space="0" w:color="auto"/>
            <w:right w:val="none" w:sz="0" w:space="0" w:color="auto"/>
          </w:divBdr>
        </w:div>
        <w:div w:id="411900505">
          <w:marLeft w:val="0"/>
          <w:marRight w:val="0"/>
          <w:marTop w:val="0"/>
          <w:marBottom w:val="0"/>
          <w:divBdr>
            <w:top w:val="none" w:sz="0" w:space="0" w:color="auto"/>
            <w:left w:val="none" w:sz="0" w:space="0" w:color="auto"/>
            <w:bottom w:val="none" w:sz="0" w:space="0" w:color="auto"/>
            <w:right w:val="none" w:sz="0" w:space="0" w:color="auto"/>
          </w:divBdr>
        </w:div>
        <w:div w:id="413359512">
          <w:marLeft w:val="0"/>
          <w:marRight w:val="0"/>
          <w:marTop w:val="0"/>
          <w:marBottom w:val="0"/>
          <w:divBdr>
            <w:top w:val="none" w:sz="0" w:space="0" w:color="auto"/>
            <w:left w:val="none" w:sz="0" w:space="0" w:color="auto"/>
            <w:bottom w:val="none" w:sz="0" w:space="0" w:color="auto"/>
            <w:right w:val="none" w:sz="0" w:space="0" w:color="auto"/>
          </w:divBdr>
        </w:div>
        <w:div w:id="425929187">
          <w:marLeft w:val="0"/>
          <w:marRight w:val="0"/>
          <w:marTop w:val="0"/>
          <w:marBottom w:val="0"/>
          <w:divBdr>
            <w:top w:val="none" w:sz="0" w:space="0" w:color="auto"/>
            <w:left w:val="none" w:sz="0" w:space="0" w:color="auto"/>
            <w:bottom w:val="none" w:sz="0" w:space="0" w:color="auto"/>
            <w:right w:val="none" w:sz="0" w:space="0" w:color="auto"/>
          </w:divBdr>
        </w:div>
        <w:div w:id="426315523">
          <w:marLeft w:val="0"/>
          <w:marRight w:val="0"/>
          <w:marTop w:val="0"/>
          <w:marBottom w:val="0"/>
          <w:divBdr>
            <w:top w:val="none" w:sz="0" w:space="0" w:color="auto"/>
            <w:left w:val="none" w:sz="0" w:space="0" w:color="auto"/>
            <w:bottom w:val="none" w:sz="0" w:space="0" w:color="auto"/>
            <w:right w:val="none" w:sz="0" w:space="0" w:color="auto"/>
          </w:divBdr>
        </w:div>
        <w:div w:id="427045213">
          <w:marLeft w:val="0"/>
          <w:marRight w:val="0"/>
          <w:marTop w:val="0"/>
          <w:marBottom w:val="0"/>
          <w:divBdr>
            <w:top w:val="none" w:sz="0" w:space="0" w:color="auto"/>
            <w:left w:val="none" w:sz="0" w:space="0" w:color="auto"/>
            <w:bottom w:val="none" w:sz="0" w:space="0" w:color="auto"/>
            <w:right w:val="none" w:sz="0" w:space="0" w:color="auto"/>
          </w:divBdr>
        </w:div>
        <w:div w:id="436213914">
          <w:marLeft w:val="0"/>
          <w:marRight w:val="0"/>
          <w:marTop w:val="0"/>
          <w:marBottom w:val="0"/>
          <w:divBdr>
            <w:top w:val="none" w:sz="0" w:space="0" w:color="auto"/>
            <w:left w:val="none" w:sz="0" w:space="0" w:color="auto"/>
            <w:bottom w:val="none" w:sz="0" w:space="0" w:color="auto"/>
            <w:right w:val="none" w:sz="0" w:space="0" w:color="auto"/>
          </w:divBdr>
        </w:div>
        <w:div w:id="448940694">
          <w:marLeft w:val="0"/>
          <w:marRight w:val="0"/>
          <w:marTop w:val="0"/>
          <w:marBottom w:val="0"/>
          <w:divBdr>
            <w:top w:val="none" w:sz="0" w:space="0" w:color="auto"/>
            <w:left w:val="none" w:sz="0" w:space="0" w:color="auto"/>
            <w:bottom w:val="none" w:sz="0" w:space="0" w:color="auto"/>
            <w:right w:val="none" w:sz="0" w:space="0" w:color="auto"/>
          </w:divBdr>
        </w:div>
        <w:div w:id="468593112">
          <w:marLeft w:val="0"/>
          <w:marRight w:val="0"/>
          <w:marTop w:val="0"/>
          <w:marBottom w:val="0"/>
          <w:divBdr>
            <w:top w:val="none" w:sz="0" w:space="0" w:color="auto"/>
            <w:left w:val="none" w:sz="0" w:space="0" w:color="auto"/>
            <w:bottom w:val="none" w:sz="0" w:space="0" w:color="auto"/>
            <w:right w:val="none" w:sz="0" w:space="0" w:color="auto"/>
          </w:divBdr>
        </w:div>
        <w:div w:id="479539979">
          <w:marLeft w:val="0"/>
          <w:marRight w:val="0"/>
          <w:marTop w:val="0"/>
          <w:marBottom w:val="0"/>
          <w:divBdr>
            <w:top w:val="none" w:sz="0" w:space="0" w:color="auto"/>
            <w:left w:val="none" w:sz="0" w:space="0" w:color="auto"/>
            <w:bottom w:val="none" w:sz="0" w:space="0" w:color="auto"/>
            <w:right w:val="none" w:sz="0" w:space="0" w:color="auto"/>
          </w:divBdr>
        </w:div>
        <w:div w:id="531185129">
          <w:marLeft w:val="0"/>
          <w:marRight w:val="0"/>
          <w:marTop w:val="0"/>
          <w:marBottom w:val="0"/>
          <w:divBdr>
            <w:top w:val="none" w:sz="0" w:space="0" w:color="auto"/>
            <w:left w:val="none" w:sz="0" w:space="0" w:color="auto"/>
            <w:bottom w:val="none" w:sz="0" w:space="0" w:color="auto"/>
            <w:right w:val="none" w:sz="0" w:space="0" w:color="auto"/>
          </w:divBdr>
        </w:div>
        <w:div w:id="531841885">
          <w:marLeft w:val="0"/>
          <w:marRight w:val="0"/>
          <w:marTop w:val="0"/>
          <w:marBottom w:val="0"/>
          <w:divBdr>
            <w:top w:val="none" w:sz="0" w:space="0" w:color="auto"/>
            <w:left w:val="none" w:sz="0" w:space="0" w:color="auto"/>
            <w:bottom w:val="none" w:sz="0" w:space="0" w:color="auto"/>
            <w:right w:val="none" w:sz="0" w:space="0" w:color="auto"/>
          </w:divBdr>
        </w:div>
        <w:div w:id="545602475">
          <w:marLeft w:val="0"/>
          <w:marRight w:val="0"/>
          <w:marTop w:val="0"/>
          <w:marBottom w:val="0"/>
          <w:divBdr>
            <w:top w:val="none" w:sz="0" w:space="0" w:color="auto"/>
            <w:left w:val="none" w:sz="0" w:space="0" w:color="auto"/>
            <w:bottom w:val="none" w:sz="0" w:space="0" w:color="auto"/>
            <w:right w:val="none" w:sz="0" w:space="0" w:color="auto"/>
          </w:divBdr>
        </w:div>
        <w:div w:id="627392858">
          <w:marLeft w:val="0"/>
          <w:marRight w:val="0"/>
          <w:marTop w:val="0"/>
          <w:marBottom w:val="0"/>
          <w:divBdr>
            <w:top w:val="none" w:sz="0" w:space="0" w:color="auto"/>
            <w:left w:val="none" w:sz="0" w:space="0" w:color="auto"/>
            <w:bottom w:val="none" w:sz="0" w:space="0" w:color="auto"/>
            <w:right w:val="none" w:sz="0" w:space="0" w:color="auto"/>
          </w:divBdr>
        </w:div>
        <w:div w:id="644555637">
          <w:marLeft w:val="0"/>
          <w:marRight w:val="0"/>
          <w:marTop w:val="0"/>
          <w:marBottom w:val="0"/>
          <w:divBdr>
            <w:top w:val="none" w:sz="0" w:space="0" w:color="auto"/>
            <w:left w:val="none" w:sz="0" w:space="0" w:color="auto"/>
            <w:bottom w:val="none" w:sz="0" w:space="0" w:color="auto"/>
            <w:right w:val="none" w:sz="0" w:space="0" w:color="auto"/>
          </w:divBdr>
        </w:div>
        <w:div w:id="660045182">
          <w:marLeft w:val="0"/>
          <w:marRight w:val="0"/>
          <w:marTop w:val="0"/>
          <w:marBottom w:val="0"/>
          <w:divBdr>
            <w:top w:val="none" w:sz="0" w:space="0" w:color="auto"/>
            <w:left w:val="none" w:sz="0" w:space="0" w:color="auto"/>
            <w:bottom w:val="none" w:sz="0" w:space="0" w:color="auto"/>
            <w:right w:val="none" w:sz="0" w:space="0" w:color="auto"/>
          </w:divBdr>
        </w:div>
        <w:div w:id="718090586">
          <w:marLeft w:val="0"/>
          <w:marRight w:val="0"/>
          <w:marTop w:val="0"/>
          <w:marBottom w:val="0"/>
          <w:divBdr>
            <w:top w:val="none" w:sz="0" w:space="0" w:color="auto"/>
            <w:left w:val="none" w:sz="0" w:space="0" w:color="auto"/>
            <w:bottom w:val="none" w:sz="0" w:space="0" w:color="auto"/>
            <w:right w:val="none" w:sz="0" w:space="0" w:color="auto"/>
          </w:divBdr>
        </w:div>
        <w:div w:id="734474971">
          <w:marLeft w:val="0"/>
          <w:marRight w:val="0"/>
          <w:marTop w:val="0"/>
          <w:marBottom w:val="0"/>
          <w:divBdr>
            <w:top w:val="none" w:sz="0" w:space="0" w:color="auto"/>
            <w:left w:val="none" w:sz="0" w:space="0" w:color="auto"/>
            <w:bottom w:val="none" w:sz="0" w:space="0" w:color="auto"/>
            <w:right w:val="none" w:sz="0" w:space="0" w:color="auto"/>
          </w:divBdr>
        </w:div>
        <w:div w:id="755785669">
          <w:marLeft w:val="0"/>
          <w:marRight w:val="0"/>
          <w:marTop w:val="0"/>
          <w:marBottom w:val="0"/>
          <w:divBdr>
            <w:top w:val="none" w:sz="0" w:space="0" w:color="auto"/>
            <w:left w:val="none" w:sz="0" w:space="0" w:color="auto"/>
            <w:bottom w:val="none" w:sz="0" w:space="0" w:color="auto"/>
            <w:right w:val="none" w:sz="0" w:space="0" w:color="auto"/>
          </w:divBdr>
        </w:div>
        <w:div w:id="763261569">
          <w:marLeft w:val="0"/>
          <w:marRight w:val="0"/>
          <w:marTop w:val="0"/>
          <w:marBottom w:val="0"/>
          <w:divBdr>
            <w:top w:val="none" w:sz="0" w:space="0" w:color="auto"/>
            <w:left w:val="none" w:sz="0" w:space="0" w:color="auto"/>
            <w:bottom w:val="none" w:sz="0" w:space="0" w:color="auto"/>
            <w:right w:val="none" w:sz="0" w:space="0" w:color="auto"/>
          </w:divBdr>
        </w:div>
        <w:div w:id="767239385">
          <w:marLeft w:val="0"/>
          <w:marRight w:val="0"/>
          <w:marTop w:val="0"/>
          <w:marBottom w:val="0"/>
          <w:divBdr>
            <w:top w:val="none" w:sz="0" w:space="0" w:color="auto"/>
            <w:left w:val="none" w:sz="0" w:space="0" w:color="auto"/>
            <w:bottom w:val="none" w:sz="0" w:space="0" w:color="auto"/>
            <w:right w:val="none" w:sz="0" w:space="0" w:color="auto"/>
          </w:divBdr>
        </w:div>
        <w:div w:id="767307454">
          <w:marLeft w:val="0"/>
          <w:marRight w:val="0"/>
          <w:marTop w:val="0"/>
          <w:marBottom w:val="0"/>
          <w:divBdr>
            <w:top w:val="none" w:sz="0" w:space="0" w:color="auto"/>
            <w:left w:val="none" w:sz="0" w:space="0" w:color="auto"/>
            <w:bottom w:val="none" w:sz="0" w:space="0" w:color="auto"/>
            <w:right w:val="none" w:sz="0" w:space="0" w:color="auto"/>
          </w:divBdr>
        </w:div>
        <w:div w:id="780075627">
          <w:marLeft w:val="0"/>
          <w:marRight w:val="0"/>
          <w:marTop w:val="0"/>
          <w:marBottom w:val="0"/>
          <w:divBdr>
            <w:top w:val="none" w:sz="0" w:space="0" w:color="auto"/>
            <w:left w:val="none" w:sz="0" w:space="0" w:color="auto"/>
            <w:bottom w:val="none" w:sz="0" w:space="0" w:color="auto"/>
            <w:right w:val="none" w:sz="0" w:space="0" w:color="auto"/>
          </w:divBdr>
        </w:div>
        <w:div w:id="839543910">
          <w:marLeft w:val="0"/>
          <w:marRight w:val="0"/>
          <w:marTop w:val="0"/>
          <w:marBottom w:val="0"/>
          <w:divBdr>
            <w:top w:val="none" w:sz="0" w:space="0" w:color="auto"/>
            <w:left w:val="none" w:sz="0" w:space="0" w:color="auto"/>
            <w:bottom w:val="none" w:sz="0" w:space="0" w:color="auto"/>
            <w:right w:val="none" w:sz="0" w:space="0" w:color="auto"/>
          </w:divBdr>
        </w:div>
        <w:div w:id="843059121">
          <w:marLeft w:val="0"/>
          <w:marRight w:val="0"/>
          <w:marTop w:val="0"/>
          <w:marBottom w:val="0"/>
          <w:divBdr>
            <w:top w:val="none" w:sz="0" w:space="0" w:color="auto"/>
            <w:left w:val="none" w:sz="0" w:space="0" w:color="auto"/>
            <w:bottom w:val="none" w:sz="0" w:space="0" w:color="auto"/>
            <w:right w:val="none" w:sz="0" w:space="0" w:color="auto"/>
          </w:divBdr>
        </w:div>
        <w:div w:id="860169899">
          <w:marLeft w:val="0"/>
          <w:marRight w:val="0"/>
          <w:marTop w:val="0"/>
          <w:marBottom w:val="0"/>
          <w:divBdr>
            <w:top w:val="none" w:sz="0" w:space="0" w:color="auto"/>
            <w:left w:val="none" w:sz="0" w:space="0" w:color="auto"/>
            <w:bottom w:val="none" w:sz="0" w:space="0" w:color="auto"/>
            <w:right w:val="none" w:sz="0" w:space="0" w:color="auto"/>
          </w:divBdr>
        </w:div>
        <w:div w:id="875240472">
          <w:marLeft w:val="0"/>
          <w:marRight w:val="0"/>
          <w:marTop w:val="0"/>
          <w:marBottom w:val="0"/>
          <w:divBdr>
            <w:top w:val="none" w:sz="0" w:space="0" w:color="auto"/>
            <w:left w:val="none" w:sz="0" w:space="0" w:color="auto"/>
            <w:bottom w:val="none" w:sz="0" w:space="0" w:color="auto"/>
            <w:right w:val="none" w:sz="0" w:space="0" w:color="auto"/>
          </w:divBdr>
        </w:div>
        <w:div w:id="900485616">
          <w:marLeft w:val="0"/>
          <w:marRight w:val="0"/>
          <w:marTop w:val="0"/>
          <w:marBottom w:val="0"/>
          <w:divBdr>
            <w:top w:val="none" w:sz="0" w:space="0" w:color="auto"/>
            <w:left w:val="none" w:sz="0" w:space="0" w:color="auto"/>
            <w:bottom w:val="none" w:sz="0" w:space="0" w:color="auto"/>
            <w:right w:val="none" w:sz="0" w:space="0" w:color="auto"/>
          </w:divBdr>
        </w:div>
        <w:div w:id="1000963250">
          <w:marLeft w:val="0"/>
          <w:marRight w:val="0"/>
          <w:marTop w:val="0"/>
          <w:marBottom w:val="0"/>
          <w:divBdr>
            <w:top w:val="none" w:sz="0" w:space="0" w:color="auto"/>
            <w:left w:val="none" w:sz="0" w:space="0" w:color="auto"/>
            <w:bottom w:val="none" w:sz="0" w:space="0" w:color="auto"/>
            <w:right w:val="none" w:sz="0" w:space="0" w:color="auto"/>
          </w:divBdr>
        </w:div>
        <w:div w:id="1029716685">
          <w:marLeft w:val="0"/>
          <w:marRight w:val="0"/>
          <w:marTop w:val="0"/>
          <w:marBottom w:val="0"/>
          <w:divBdr>
            <w:top w:val="none" w:sz="0" w:space="0" w:color="auto"/>
            <w:left w:val="none" w:sz="0" w:space="0" w:color="auto"/>
            <w:bottom w:val="none" w:sz="0" w:space="0" w:color="auto"/>
            <w:right w:val="none" w:sz="0" w:space="0" w:color="auto"/>
          </w:divBdr>
        </w:div>
        <w:div w:id="1054162371">
          <w:marLeft w:val="0"/>
          <w:marRight w:val="0"/>
          <w:marTop w:val="0"/>
          <w:marBottom w:val="0"/>
          <w:divBdr>
            <w:top w:val="none" w:sz="0" w:space="0" w:color="auto"/>
            <w:left w:val="none" w:sz="0" w:space="0" w:color="auto"/>
            <w:bottom w:val="none" w:sz="0" w:space="0" w:color="auto"/>
            <w:right w:val="none" w:sz="0" w:space="0" w:color="auto"/>
          </w:divBdr>
        </w:div>
        <w:div w:id="1067798906">
          <w:marLeft w:val="0"/>
          <w:marRight w:val="0"/>
          <w:marTop w:val="0"/>
          <w:marBottom w:val="0"/>
          <w:divBdr>
            <w:top w:val="none" w:sz="0" w:space="0" w:color="auto"/>
            <w:left w:val="none" w:sz="0" w:space="0" w:color="auto"/>
            <w:bottom w:val="none" w:sz="0" w:space="0" w:color="auto"/>
            <w:right w:val="none" w:sz="0" w:space="0" w:color="auto"/>
          </w:divBdr>
        </w:div>
        <w:div w:id="1084184928">
          <w:marLeft w:val="0"/>
          <w:marRight w:val="0"/>
          <w:marTop w:val="0"/>
          <w:marBottom w:val="0"/>
          <w:divBdr>
            <w:top w:val="none" w:sz="0" w:space="0" w:color="auto"/>
            <w:left w:val="none" w:sz="0" w:space="0" w:color="auto"/>
            <w:bottom w:val="none" w:sz="0" w:space="0" w:color="auto"/>
            <w:right w:val="none" w:sz="0" w:space="0" w:color="auto"/>
          </w:divBdr>
        </w:div>
        <w:div w:id="1141653195">
          <w:marLeft w:val="0"/>
          <w:marRight w:val="0"/>
          <w:marTop w:val="0"/>
          <w:marBottom w:val="0"/>
          <w:divBdr>
            <w:top w:val="none" w:sz="0" w:space="0" w:color="auto"/>
            <w:left w:val="none" w:sz="0" w:space="0" w:color="auto"/>
            <w:bottom w:val="none" w:sz="0" w:space="0" w:color="auto"/>
            <w:right w:val="none" w:sz="0" w:space="0" w:color="auto"/>
          </w:divBdr>
        </w:div>
        <w:div w:id="1146049468">
          <w:marLeft w:val="0"/>
          <w:marRight w:val="0"/>
          <w:marTop w:val="0"/>
          <w:marBottom w:val="0"/>
          <w:divBdr>
            <w:top w:val="none" w:sz="0" w:space="0" w:color="auto"/>
            <w:left w:val="none" w:sz="0" w:space="0" w:color="auto"/>
            <w:bottom w:val="none" w:sz="0" w:space="0" w:color="auto"/>
            <w:right w:val="none" w:sz="0" w:space="0" w:color="auto"/>
          </w:divBdr>
        </w:div>
        <w:div w:id="1160268358">
          <w:marLeft w:val="0"/>
          <w:marRight w:val="0"/>
          <w:marTop w:val="0"/>
          <w:marBottom w:val="0"/>
          <w:divBdr>
            <w:top w:val="none" w:sz="0" w:space="0" w:color="auto"/>
            <w:left w:val="none" w:sz="0" w:space="0" w:color="auto"/>
            <w:bottom w:val="none" w:sz="0" w:space="0" w:color="auto"/>
            <w:right w:val="none" w:sz="0" w:space="0" w:color="auto"/>
          </w:divBdr>
        </w:div>
        <w:div w:id="1166629390">
          <w:marLeft w:val="0"/>
          <w:marRight w:val="0"/>
          <w:marTop w:val="0"/>
          <w:marBottom w:val="0"/>
          <w:divBdr>
            <w:top w:val="none" w:sz="0" w:space="0" w:color="auto"/>
            <w:left w:val="none" w:sz="0" w:space="0" w:color="auto"/>
            <w:bottom w:val="none" w:sz="0" w:space="0" w:color="auto"/>
            <w:right w:val="none" w:sz="0" w:space="0" w:color="auto"/>
          </w:divBdr>
        </w:div>
        <w:div w:id="1170951149">
          <w:marLeft w:val="0"/>
          <w:marRight w:val="0"/>
          <w:marTop w:val="0"/>
          <w:marBottom w:val="0"/>
          <w:divBdr>
            <w:top w:val="none" w:sz="0" w:space="0" w:color="auto"/>
            <w:left w:val="none" w:sz="0" w:space="0" w:color="auto"/>
            <w:bottom w:val="none" w:sz="0" w:space="0" w:color="auto"/>
            <w:right w:val="none" w:sz="0" w:space="0" w:color="auto"/>
          </w:divBdr>
        </w:div>
        <w:div w:id="1181697951">
          <w:marLeft w:val="0"/>
          <w:marRight w:val="0"/>
          <w:marTop w:val="0"/>
          <w:marBottom w:val="0"/>
          <w:divBdr>
            <w:top w:val="none" w:sz="0" w:space="0" w:color="auto"/>
            <w:left w:val="none" w:sz="0" w:space="0" w:color="auto"/>
            <w:bottom w:val="none" w:sz="0" w:space="0" w:color="auto"/>
            <w:right w:val="none" w:sz="0" w:space="0" w:color="auto"/>
          </w:divBdr>
        </w:div>
        <w:div w:id="1240284696">
          <w:marLeft w:val="0"/>
          <w:marRight w:val="0"/>
          <w:marTop w:val="0"/>
          <w:marBottom w:val="0"/>
          <w:divBdr>
            <w:top w:val="none" w:sz="0" w:space="0" w:color="auto"/>
            <w:left w:val="none" w:sz="0" w:space="0" w:color="auto"/>
            <w:bottom w:val="none" w:sz="0" w:space="0" w:color="auto"/>
            <w:right w:val="none" w:sz="0" w:space="0" w:color="auto"/>
          </w:divBdr>
        </w:div>
        <w:div w:id="1241870194">
          <w:marLeft w:val="0"/>
          <w:marRight w:val="0"/>
          <w:marTop w:val="0"/>
          <w:marBottom w:val="0"/>
          <w:divBdr>
            <w:top w:val="none" w:sz="0" w:space="0" w:color="auto"/>
            <w:left w:val="none" w:sz="0" w:space="0" w:color="auto"/>
            <w:bottom w:val="none" w:sz="0" w:space="0" w:color="auto"/>
            <w:right w:val="none" w:sz="0" w:space="0" w:color="auto"/>
          </w:divBdr>
        </w:div>
        <w:div w:id="1256481663">
          <w:marLeft w:val="0"/>
          <w:marRight w:val="0"/>
          <w:marTop w:val="0"/>
          <w:marBottom w:val="0"/>
          <w:divBdr>
            <w:top w:val="none" w:sz="0" w:space="0" w:color="auto"/>
            <w:left w:val="none" w:sz="0" w:space="0" w:color="auto"/>
            <w:bottom w:val="none" w:sz="0" w:space="0" w:color="auto"/>
            <w:right w:val="none" w:sz="0" w:space="0" w:color="auto"/>
          </w:divBdr>
        </w:div>
        <w:div w:id="1267154392">
          <w:marLeft w:val="0"/>
          <w:marRight w:val="0"/>
          <w:marTop w:val="0"/>
          <w:marBottom w:val="0"/>
          <w:divBdr>
            <w:top w:val="none" w:sz="0" w:space="0" w:color="auto"/>
            <w:left w:val="none" w:sz="0" w:space="0" w:color="auto"/>
            <w:bottom w:val="none" w:sz="0" w:space="0" w:color="auto"/>
            <w:right w:val="none" w:sz="0" w:space="0" w:color="auto"/>
          </w:divBdr>
        </w:div>
        <w:div w:id="1274169198">
          <w:marLeft w:val="0"/>
          <w:marRight w:val="0"/>
          <w:marTop w:val="0"/>
          <w:marBottom w:val="0"/>
          <w:divBdr>
            <w:top w:val="none" w:sz="0" w:space="0" w:color="auto"/>
            <w:left w:val="none" w:sz="0" w:space="0" w:color="auto"/>
            <w:bottom w:val="none" w:sz="0" w:space="0" w:color="auto"/>
            <w:right w:val="none" w:sz="0" w:space="0" w:color="auto"/>
          </w:divBdr>
        </w:div>
        <w:div w:id="1288707204">
          <w:marLeft w:val="0"/>
          <w:marRight w:val="0"/>
          <w:marTop w:val="0"/>
          <w:marBottom w:val="0"/>
          <w:divBdr>
            <w:top w:val="none" w:sz="0" w:space="0" w:color="auto"/>
            <w:left w:val="none" w:sz="0" w:space="0" w:color="auto"/>
            <w:bottom w:val="none" w:sz="0" w:space="0" w:color="auto"/>
            <w:right w:val="none" w:sz="0" w:space="0" w:color="auto"/>
          </w:divBdr>
        </w:div>
        <w:div w:id="1309894176">
          <w:marLeft w:val="0"/>
          <w:marRight w:val="0"/>
          <w:marTop w:val="0"/>
          <w:marBottom w:val="0"/>
          <w:divBdr>
            <w:top w:val="none" w:sz="0" w:space="0" w:color="auto"/>
            <w:left w:val="none" w:sz="0" w:space="0" w:color="auto"/>
            <w:bottom w:val="none" w:sz="0" w:space="0" w:color="auto"/>
            <w:right w:val="none" w:sz="0" w:space="0" w:color="auto"/>
          </w:divBdr>
        </w:div>
        <w:div w:id="1368406162">
          <w:marLeft w:val="0"/>
          <w:marRight w:val="0"/>
          <w:marTop w:val="0"/>
          <w:marBottom w:val="0"/>
          <w:divBdr>
            <w:top w:val="none" w:sz="0" w:space="0" w:color="auto"/>
            <w:left w:val="none" w:sz="0" w:space="0" w:color="auto"/>
            <w:bottom w:val="none" w:sz="0" w:space="0" w:color="auto"/>
            <w:right w:val="none" w:sz="0" w:space="0" w:color="auto"/>
          </w:divBdr>
        </w:div>
        <w:div w:id="1380547273">
          <w:marLeft w:val="0"/>
          <w:marRight w:val="0"/>
          <w:marTop w:val="0"/>
          <w:marBottom w:val="0"/>
          <w:divBdr>
            <w:top w:val="none" w:sz="0" w:space="0" w:color="auto"/>
            <w:left w:val="none" w:sz="0" w:space="0" w:color="auto"/>
            <w:bottom w:val="none" w:sz="0" w:space="0" w:color="auto"/>
            <w:right w:val="none" w:sz="0" w:space="0" w:color="auto"/>
          </w:divBdr>
        </w:div>
        <w:div w:id="1393121429">
          <w:marLeft w:val="0"/>
          <w:marRight w:val="0"/>
          <w:marTop w:val="0"/>
          <w:marBottom w:val="0"/>
          <w:divBdr>
            <w:top w:val="none" w:sz="0" w:space="0" w:color="auto"/>
            <w:left w:val="none" w:sz="0" w:space="0" w:color="auto"/>
            <w:bottom w:val="none" w:sz="0" w:space="0" w:color="auto"/>
            <w:right w:val="none" w:sz="0" w:space="0" w:color="auto"/>
          </w:divBdr>
        </w:div>
        <w:div w:id="1398894558">
          <w:marLeft w:val="0"/>
          <w:marRight w:val="0"/>
          <w:marTop w:val="0"/>
          <w:marBottom w:val="0"/>
          <w:divBdr>
            <w:top w:val="none" w:sz="0" w:space="0" w:color="auto"/>
            <w:left w:val="none" w:sz="0" w:space="0" w:color="auto"/>
            <w:bottom w:val="none" w:sz="0" w:space="0" w:color="auto"/>
            <w:right w:val="none" w:sz="0" w:space="0" w:color="auto"/>
          </w:divBdr>
        </w:div>
        <w:div w:id="1415395877">
          <w:marLeft w:val="0"/>
          <w:marRight w:val="0"/>
          <w:marTop w:val="0"/>
          <w:marBottom w:val="0"/>
          <w:divBdr>
            <w:top w:val="none" w:sz="0" w:space="0" w:color="auto"/>
            <w:left w:val="none" w:sz="0" w:space="0" w:color="auto"/>
            <w:bottom w:val="none" w:sz="0" w:space="0" w:color="auto"/>
            <w:right w:val="none" w:sz="0" w:space="0" w:color="auto"/>
          </w:divBdr>
        </w:div>
        <w:div w:id="1416823905">
          <w:marLeft w:val="0"/>
          <w:marRight w:val="0"/>
          <w:marTop w:val="0"/>
          <w:marBottom w:val="0"/>
          <w:divBdr>
            <w:top w:val="none" w:sz="0" w:space="0" w:color="auto"/>
            <w:left w:val="none" w:sz="0" w:space="0" w:color="auto"/>
            <w:bottom w:val="none" w:sz="0" w:space="0" w:color="auto"/>
            <w:right w:val="none" w:sz="0" w:space="0" w:color="auto"/>
          </w:divBdr>
        </w:div>
        <w:div w:id="1428038750">
          <w:marLeft w:val="0"/>
          <w:marRight w:val="0"/>
          <w:marTop w:val="0"/>
          <w:marBottom w:val="0"/>
          <w:divBdr>
            <w:top w:val="none" w:sz="0" w:space="0" w:color="auto"/>
            <w:left w:val="none" w:sz="0" w:space="0" w:color="auto"/>
            <w:bottom w:val="none" w:sz="0" w:space="0" w:color="auto"/>
            <w:right w:val="none" w:sz="0" w:space="0" w:color="auto"/>
          </w:divBdr>
        </w:div>
        <w:div w:id="1444036116">
          <w:marLeft w:val="0"/>
          <w:marRight w:val="0"/>
          <w:marTop w:val="0"/>
          <w:marBottom w:val="0"/>
          <w:divBdr>
            <w:top w:val="none" w:sz="0" w:space="0" w:color="auto"/>
            <w:left w:val="none" w:sz="0" w:space="0" w:color="auto"/>
            <w:bottom w:val="none" w:sz="0" w:space="0" w:color="auto"/>
            <w:right w:val="none" w:sz="0" w:space="0" w:color="auto"/>
          </w:divBdr>
        </w:div>
        <w:div w:id="1512260930">
          <w:marLeft w:val="0"/>
          <w:marRight w:val="0"/>
          <w:marTop w:val="0"/>
          <w:marBottom w:val="0"/>
          <w:divBdr>
            <w:top w:val="none" w:sz="0" w:space="0" w:color="auto"/>
            <w:left w:val="none" w:sz="0" w:space="0" w:color="auto"/>
            <w:bottom w:val="none" w:sz="0" w:space="0" w:color="auto"/>
            <w:right w:val="none" w:sz="0" w:space="0" w:color="auto"/>
          </w:divBdr>
        </w:div>
        <w:div w:id="1541555113">
          <w:marLeft w:val="0"/>
          <w:marRight w:val="0"/>
          <w:marTop w:val="0"/>
          <w:marBottom w:val="0"/>
          <w:divBdr>
            <w:top w:val="none" w:sz="0" w:space="0" w:color="auto"/>
            <w:left w:val="none" w:sz="0" w:space="0" w:color="auto"/>
            <w:bottom w:val="none" w:sz="0" w:space="0" w:color="auto"/>
            <w:right w:val="none" w:sz="0" w:space="0" w:color="auto"/>
          </w:divBdr>
        </w:div>
        <w:div w:id="1573009167">
          <w:marLeft w:val="0"/>
          <w:marRight w:val="0"/>
          <w:marTop w:val="0"/>
          <w:marBottom w:val="0"/>
          <w:divBdr>
            <w:top w:val="none" w:sz="0" w:space="0" w:color="auto"/>
            <w:left w:val="none" w:sz="0" w:space="0" w:color="auto"/>
            <w:bottom w:val="none" w:sz="0" w:space="0" w:color="auto"/>
            <w:right w:val="none" w:sz="0" w:space="0" w:color="auto"/>
          </w:divBdr>
        </w:div>
        <w:div w:id="1580287665">
          <w:marLeft w:val="0"/>
          <w:marRight w:val="0"/>
          <w:marTop w:val="0"/>
          <w:marBottom w:val="0"/>
          <w:divBdr>
            <w:top w:val="none" w:sz="0" w:space="0" w:color="auto"/>
            <w:left w:val="none" w:sz="0" w:space="0" w:color="auto"/>
            <w:bottom w:val="none" w:sz="0" w:space="0" w:color="auto"/>
            <w:right w:val="none" w:sz="0" w:space="0" w:color="auto"/>
          </w:divBdr>
        </w:div>
        <w:div w:id="1594513008">
          <w:marLeft w:val="0"/>
          <w:marRight w:val="0"/>
          <w:marTop w:val="0"/>
          <w:marBottom w:val="0"/>
          <w:divBdr>
            <w:top w:val="none" w:sz="0" w:space="0" w:color="auto"/>
            <w:left w:val="none" w:sz="0" w:space="0" w:color="auto"/>
            <w:bottom w:val="none" w:sz="0" w:space="0" w:color="auto"/>
            <w:right w:val="none" w:sz="0" w:space="0" w:color="auto"/>
          </w:divBdr>
        </w:div>
        <w:div w:id="1597127661">
          <w:marLeft w:val="0"/>
          <w:marRight w:val="0"/>
          <w:marTop w:val="0"/>
          <w:marBottom w:val="0"/>
          <w:divBdr>
            <w:top w:val="none" w:sz="0" w:space="0" w:color="auto"/>
            <w:left w:val="none" w:sz="0" w:space="0" w:color="auto"/>
            <w:bottom w:val="none" w:sz="0" w:space="0" w:color="auto"/>
            <w:right w:val="none" w:sz="0" w:space="0" w:color="auto"/>
          </w:divBdr>
        </w:div>
        <w:div w:id="1597127940">
          <w:marLeft w:val="0"/>
          <w:marRight w:val="0"/>
          <w:marTop w:val="0"/>
          <w:marBottom w:val="0"/>
          <w:divBdr>
            <w:top w:val="none" w:sz="0" w:space="0" w:color="auto"/>
            <w:left w:val="none" w:sz="0" w:space="0" w:color="auto"/>
            <w:bottom w:val="none" w:sz="0" w:space="0" w:color="auto"/>
            <w:right w:val="none" w:sz="0" w:space="0" w:color="auto"/>
          </w:divBdr>
        </w:div>
        <w:div w:id="1681854368">
          <w:marLeft w:val="0"/>
          <w:marRight w:val="0"/>
          <w:marTop w:val="0"/>
          <w:marBottom w:val="0"/>
          <w:divBdr>
            <w:top w:val="none" w:sz="0" w:space="0" w:color="auto"/>
            <w:left w:val="none" w:sz="0" w:space="0" w:color="auto"/>
            <w:bottom w:val="none" w:sz="0" w:space="0" w:color="auto"/>
            <w:right w:val="none" w:sz="0" w:space="0" w:color="auto"/>
          </w:divBdr>
        </w:div>
        <w:div w:id="1694766819">
          <w:marLeft w:val="0"/>
          <w:marRight w:val="0"/>
          <w:marTop w:val="0"/>
          <w:marBottom w:val="0"/>
          <w:divBdr>
            <w:top w:val="none" w:sz="0" w:space="0" w:color="auto"/>
            <w:left w:val="none" w:sz="0" w:space="0" w:color="auto"/>
            <w:bottom w:val="none" w:sz="0" w:space="0" w:color="auto"/>
            <w:right w:val="none" w:sz="0" w:space="0" w:color="auto"/>
          </w:divBdr>
        </w:div>
        <w:div w:id="1700154820">
          <w:marLeft w:val="0"/>
          <w:marRight w:val="0"/>
          <w:marTop w:val="0"/>
          <w:marBottom w:val="0"/>
          <w:divBdr>
            <w:top w:val="none" w:sz="0" w:space="0" w:color="auto"/>
            <w:left w:val="none" w:sz="0" w:space="0" w:color="auto"/>
            <w:bottom w:val="none" w:sz="0" w:space="0" w:color="auto"/>
            <w:right w:val="none" w:sz="0" w:space="0" w:color="auto"/>
          </w:divBdr>
        </w:div>
        <w:div w:id="1732970357">
          <w:marLeft w:val="0"/>
          <w:marRight w:val="0"/>
          <w:marTop w:val="0"/>
          <w:marBottom w:val="0"/>
          <w:divBdr>
            <w:top w:val="none" w:sz="0" w:space="0" w:color="auto"/>
            <w:left w:val="none" w:sz="0" w:space="0" w:color="auto"/>
            <w:bottom w:val="none" w:sz="0" w:space="0" w:color="auto"/>
            <w:right w:val="none" w:sz="0" w:space="0" w:color="auto"/>
          </w:divBdr>
        </w:div>
        <w:div w:id="1744333389">
          <w:marLeft w:val="0"/>
          <w:marRight w:val="0"/>
          <w:marTop w:val="0"/>
          <w:marBottom w:val="0"/>
          <w:divBdr>
            <w:top w:val="none" w:sz="0" w:space="0" w:color="auto"/>
            <w:left w:val="none" w:sz="0" w:space="0" w:color="auto"/>
            <w:bottom w:val="none" w:sz="0" w:space="0" w:color="auto"/>
            <w:right w:val="none" w:sz="0" w:space="0" w:color="auto"/>
          </w:divBdr>
        </w:div>
        <w:div w:id="1749418506">
          <w:marLeft w:val="0"/>
          <w:marRight w:val="0"/>
          <w:marTop w:val="0"/>
          <w:marBottom w:val="0"/>
          <w:divBdr>
            <w:top w:val="none" w:sz="0" w:space="0" w:color="auto"/>
            <w:left w:val="none" w:sz="0" w:space="0" w:color="auto"/>
            <w:bottom w:val="none" w:sz="0" w:space="0" w:color="auto"/>
            <w:right w:val="none" w:sz="0" w:space="0" w:color="auto"/>
          </w:divBdr>
        </w:div>
        <w:div w:id="1760365132">
          <w:marLeft w:val="0"/>
          <w:marRight w:val="0"/>
          <w:marTop w:val="0"/>
          <w:marBottom w:val="0"/>
          <w:divBdr>
            <w:top w:val="none" w:sz="0" w:space="0" w:color="auto"/>
            <w:left w:val="none" w:sz="0" w:space="0" w:color="auto"/>
            <w:bottom w:val="none" w:sz="0" w:space="0" w:color="auto"/>
            <w:right w:val="none" w:sz="0" w:space="0" w:color="auto"/>
          </w:divBdr>
        </w:div>
        <w:div w:id="1760902184">
          <w:marLeft w:val="0"/>
          <w:marRight w:val="0"/>
          <w:marTop w:val="0"/>
          <w:marBottom w:val="0"/>
          <w:divBdr>
            <w:top w:val="none" w:sz="0" w:space="0" w:color="auto"/>
            <w:left w:val="none" w:sz="0" w:space="0" w:color="auto"/>
            <w:bottom w:val="none" w:sz="0" w:space="0" w:color="auto"/>
            <w:right w:val="none" w:sz="0" w:space="0" w:color="auto"/>
          </w:divBdr>
        </w:div>
        <w:div w:id="1768189035">
          <w:marLeft w:val="0"/>
          <w:marRight w:val="0"/>
          <w:marTop w:val="0"/>
          <w:marBottom w:val="0"/>
          <w:divBdr>
            <w:top w:val="none" w:sz="0" w:space="0" w:color="auto"/>
            <w:left w:val="none" w:sz="0" w:space="0" w:color="auto"/>
            <w:bottom w:val="none" w:sz="0" w:space="0" w:color="auto"/>
            <w:right w:val="none" w:sz="0" w:space="0" w:color="auto"/>
          </w:divBdr>
        </w:div>
        <w:div w:id="1797480767">
          <w:marLeft w:val="0"/>
          <w:marRight w:val="0"/>
          <w:marTop w:val="0"/>
          <w:marBottom w:val="0"/>
          <w:divBdr>
            <w:top w:val="none" w:sz="0" w:space="0" w:color="auto"/>
            <w:left w:val="none" w:sz="0" w:space="0" w:color="auto"/>
            <w:bottom w:val="none" w:sz="0" w:space="0" w:color="auto"/>
            <w:right w:val="none" w:sz="0" w:space="0" w:color="auto"/>
          </w:divBdr>
        </w:div>
        <w:div w:id="1798405240">
          <w:marLeft w:val="0"/>
          <w:marRight w:val="0"/>
          <w:marTop w:val="0"/>
          <w:marBottom w:val="0"/>
          <w:divBdr>
            <w:top w:val="none" w:sz="0" w:space="0" w:color="auto"/>
            <w:left w:val="none" w:sz="0" w:space="0" w:color="auto"/>
            <w:bottom w:val="none" w:sz="0" w:space="0" w:color="auto"/>
            <w:right w:val="none" w:sz="0" w:space="0" w:color="auto"/>
          </w:divBdr>
        </w:div>
        <w:div w:id="1819373541">
          <w:marLeft w:val="0"/>
          <w:marRight w:val="0"/>
          <w:marTop w:val="0"/>
          <w:marBottom w:val="0"/>
          <w:divBdr>
            <w:top w:val="none" w:sz="0" w:space="0" w:color="auto"/>
            <w:left w:val="none" w:sz="0" w:space="0" w:color="auto"/>
            <w:bottom w:val="none" w:sz="0" w:space="0" w:color="auto"/>
            <w:right w:val="none" w:sz="0" w:space="0" w:color="auto"/>
          </w:divBdr>
        </w:div>
        <w:div w:id="1830905929">
          <w:marLeft w:val="0"/>
          <w:marRight w:val="0"/>
          <w:marTop w:val="0"/>
          <w:marBottom w:val="0"/>
          <w:divBdr>
            <w:top w:val="none" w:sz="0" w:space="0" w:color="auto"/>
            <w:left w:val="none" w:sz="0" w:space="0" w:color="auto"/>
            <w:bottom w:val="none" w:sz="0" w:space="0" w:color="auto"/>
            <w:right w:val="none" w:sz="0" w:space="0" w:color="auto"/>
          </w:divBdr>
        </w:div>
        <w:div w:id="1863350054">
          <w:marLeft w:val="0"/>
          <w:marRight w:val="0"/>
          <w:marTop w:val="0"/>
          <w:marBottom w:val="0"/>
          <w:divBdr>
            <w:top w:val="none" w:sz="0" w:space="0" w:color="auto"/>
            <w:left w:val="none" w:sz="0" w:space="0" w:color="auto"/>
            <w:bottom w:val="none" w:sz="0" w:space="0" w:color="auto"/>
            <w:right w:val="none" w:sz="0" w:space="0" w:color="auto"/>
          </w:divBdr>
        </w:div>
        <w:div w:id="1865829591">
          <w:marLeft w:val="0"/>
          <w:marRight w:val="0"/>
          <w:marTop w:val="0"/>
          <w:marBottom w:val="0"/>
          <w:divBdr>
            <w:top w:val="none" w:sz="0" w:space="0" w:color="auto"/>
            <w:left w:val="none" w:sz="0" w:space="0" w:color="auto"/>
            <w:bottom w:val="none" w:sz="0" w:space="0" w:color="auto"/>
            <w:right w:val="none" w:sz="0" w:space="0" w:color="auto"/>
          </w:divBdr>
        </w:div>
        <w:div w:id="1869105119">
          <w:marLeft w:val="0"/>
          <w:marRight w:val="0"/>
          <w:marTop w:val="0"/>
          <w:marBottom w:val="0"/>
          <w:divBdr>
            <w:top w:val="none" w:sz="0" w:space="0" w:color="auto"/>
            <w:left w:val="none" w:sz="0" w:space="0" w:color="auto"/>
            <w:bottom w:val="none" w:sz="0" w:space="0" w:color="auto"/>
            <w:right w:val="none" w:sz="0" w:space="0" w:color="auto"/>
          </w:divBdr>
        </w:div>
        <w:div w:id="1874608102">
          <w:marLeft w:val="0"/>
          <w:marRight w:val="0"/>
          <w:marTop w:val="0"/>
          <w:marBottom w:val="0"/>
          <w:divBdr>
            <w:top w:val="none" w:sz="0" w:space="0" w:color="auto"/>
            <w:left w:val="none" w:sz="0" w:space="0" w:color="auto"/>
            <w:bottom w:val="none" w:sz="0" w:space="0" w:color="auto"/>
            <w:right w:val="none" w:sz="0" w:space="0" w:color="auto"/>
          </w:divBdr>
        </w:div>
        <w:div w:id="1915164049">
          <w:marLeft w:val="0"/>
          <w:marRight w:val="0"/>
          <w:marTop w:val="0"/>
          <w:marBottom w:val="0"/>
          <w:divBdr>
            <w:top w:val="none" w:sz="0" w:space="0" w:color="auto"/>
            <w:left w:val="none" w:sz="0" w:space="0" w:color="auto"/>
            <w:bottom w:val="none" w:sz="0" w:space="0" w:color="auto"/>
            <w:right w:val="none" w:sz="0" w:space="0" w:color="auto"/>
          </w:divBdr>
        </w:div>
        <w:div w:id="1949964869">
          <w:marLeft w:val="0"/>
          <w:marRight w:val="0"/>
          <w:marTop w:val="0"/>
          <w:marBottom w:val="0"/>
          <w:divBdr>
            <w:top w:val="none" w:sz="0" w:space="0" w:color="auto"/>
            <w:left w:val="none" w:sz="0" w:space="0" w:color="auto"/>
            <w:bottom w:val="none" w:sz="0" w:space="0" w:color="auto"/>
            <w:right w:val="none" w:sz="0" w:space="0" w:color="auto"/>
          </w:divBdr>
        </w:div>
        <w:div w:id="1956716493">
          <w:marLeft w:val="0"/>
          <w:marRight w:val="0"/>
          <w:marTop w:val="0"/>
          <w:marBottom w:val="0"/>
          <w:divBdr>
            <w:top w:val="none" w:sz="0" w:space="0" w:color="auto"/>
            <w:left w:val="none" w:sz="0" w:space="0" w:color="auto"/>
            <w:bottom w:val="none" w:sz="0" w:space="0" w:color="auto"/>
            <w:right w:val="none" w:sz="0" w:space="0" w:color="auto"/>
          </w:divBdr>
        </w:div>
        <w:div w:id="1968967925">
          <w:marLeft w:val="0"/>
          <w:marRight w:val="0"/>
          <w:marTop w:val="0"/>
          <w:marBottom w:val="0"/>
          <w:divBdr>
            <w:top w:val="none" w:sz="0" w:space="0" w:color="auto"/>
            <w:left w:val="none" w:sz="0" w:space="0" w:color="auto"/>
            <w:bottom w:val="none" w:sz="0" w:space="0" w:color="auto"/>
            <w:right w:val="none" w:sz="0" w:space="0" w:color="auto"/>
          </w:divBdr>
        </w:div>
        <w:div w:id="1969362156">
          <w:marLeft w:val="0"/>
          <w:marRight w:val="0"/>
          <w:marTop w:val="0"/>
          <w:marBottom w:val="0"/>
          <w:divBdr>
            <w:top w:val="none" w:sz="0" w:space="0" w:color="auto"/>
            <w:left w:val="none" w:sz="0" w:space="0" w:color="auto"/>
            <w:bottom w:val="none" w:sz="0" w:space="0" w:color="auto"/>
            <w:right w:val="none" w:sz="0" w:space="0" w:color="auto"/>
          </w:divBdr>
        </w:div>
        <w:div w:id="2024550359">
          <w:marLeft w:val="0"/>
          <w:marRight w:val="0"/>
          <w:marTop w:val="0"/>
          <w:marBottom w:val="0"/>
          <w:divBdr>
            <w:top w:val="none" w:sz="0" w:space="0" w:color="auto"/>
            <w:left w:val="none" w:sz="0" w:space="0" w:color="auto"/>
            <w:bottom w:val="none" w:sz="0" w:space="0" w:color="auto"/>
            <w:right w:val="none" w:sz="0" w:space="0" w:color="auto"/>
          </w:divBdr>
        </w:div>
        <w:div w:id="2051418955">
          <w:marLeft w:val="0"/>
          <w:marRight w:val="0"/>
          <w:marTop w:val="0"/>
          <w:marBottom w:val="0"/>
          <w:divBdr>
            <w:top w:val="none" w:sz="0" w:space="0" w:color="auto"/>
            <w:left w:val="none" w:sz="0" w:space="0" w:color="auto"/>
            <w:bottom w:val="none" w:sz="0" w:space="0" w:color="auto"/>
            <w:right w:val="none" w:sz="0" w:space="0" w:color="auto"/>
          </w:divBdr>
        </w:div>
        <w:div w:id="2060085368">
          <w:marLeft w:val="0"/>
          <w:marRight w:val="0"/>
          <w:marTop w:val="0"/>
          <w:marBottom w:val="0"/>
          <w:divBdr>
            <w:top w:val="none" w:sz="0" w:space="0" w:color="auto"/>
            <w:left w:val="none" w:sz="0" w:space="0" w:color="auto"/>
            <w:bottom w:val="none" w:sz="0" w:space="0" w:color="auto"/>
            <w:right w:val="none" w:sz="0" w:space="0" w:color="auto"/>
          </w:divBdr>
        </w:div>
        <w:div w:id="2097509016">
          <w:marLeft w:val="0"/>
          <w:marRight w:val="0"/>
          <w:marTop w:val="0"/>
          <w:marBottom w:val="0"/>
          <w:divBdr>
            <w:top w:val="none" w:sz="0" w:space="0" w:color="auto"/>
            <w:left w:val="none" w:sz="0" w:space="0" w:color="auto"/>
            <w:bottom w:val="none" w:sz="0" w:space="0" w:color="auto"/>
            <w:right w:val="none" w:sz="0" w:space="0" w:color="auto"/>
          </w:divBdr>
        </w:div>
        <w:div w:id="2117485415">
          <w:marLeft w:val="0"/>
          <w:marRight w:val="0"/>
          <w:marTop w:val="0"/>
          <w:marBottom w:val="0"/>
          <w:divBdr>
            <w:top w:val="none" w:sz="0" w:space="0" w:color="auto"/>
            <w:left w:val="none" w:sz="0" w:space="0" w:color="auto"/>
            <w:bottom w:val="none" w:sz="0" w:space="0" w:color="auto"/>
            <w:right w:val="none" w:sz="0" w:space="0" w:color="auto"/>
          </w:divBdr>
        </w:div>
        <w:div w:id="2121142259">
          <w:marLeft w:val="0"/>
          <w:marRight w:val="0"/>
          <w:marTop w:val="0"/>
          <w:marBottom w:val="0"/>
          <w:divBdr>
            <w:top w:val="none" w:sz="0" w:space="0" w:color="auto"/>
            <w:left w:val="none" w:sz="0" w:space="0" w:color="auto"/>
            <w:bottom w:val="none" w:sz="0" w:space="0" w:color="auto"/>
            <w:right w:val="none" w:sz="0" w:space="0" w:color="auto"/>
          </w:divBdr>
        </w:div>
        <w:div w:id="2127461559">
          <w:marLeft w:val="0"/>
          <w:marRight w:val="0"/>
          <w:marTop w:val="0"/>
          <w:marBottom w:val="0"/>
          <w:divBdr>
            <w:top w:val="none" w:sz="0" w:space="0" w:color="auto"/>
            <w:left w:val="none" w:sz="0" w:space="0" w:color="auto"/>
            <w:bottom w:val="none" w:sz="0" w:space="0" w:color="auto"/>
            <w:right w:val="none" w:sz="0" w:space="0" w:color="auto"/>
          </w:divBdr>
        </w:div>
        <w:div w:id="2136020842">
          <w:marLeft w:val="0"/>
          <w:marRight w:val="0"/>
          <w:marTop w:val="0"/>
          <w:marBottom w:val="0"/>
          <w:divBdr>
            <w:top w:val="none" w:sz="0" w:space="0" w:color="auto"/>
            <w:left w:val="none" w:sz="0" w:space="0" w:color="auto"/>
            <w:bottom w:val="none" w:sz="0" w:space="0" w:color="auto"/>
            <w:right w:val="none" w:sz="0" w:space="0" w:color="auto"/>
          </w:divBdr>
        </w:div>
      </w:divsChild>
    </w:div>
    <w:div w:id="1838882110">
      <w:bodyDiv w:val="1"/>
      <w:marLeft w:val="0"/>
      <w:marRight w:val="0"/>
      <w:marTop w:val="0"/>
      <w:marBottom w:val="0"/>
      <w:divBdr>
        <w:top w:val="none" w:sz="0" w:space="0" w:color="auto"/>
        <w:left w:val="none" w:sz="0" w:space="0" w:color="auto"/>
        <w:bottom w:val="none" w:sz="0" w:space="0" w:color="auto"/>
        <w:right w:val="none" w:sz="0" w:space="0" w:color="auto"/>
      </w:divBdr>
      <w:divsChild>
        <w:div w:id="1203903212">
          <w:marLeft w:val="0"/>
          <w:marRight w:val="0"/>
          <w:marTop w:val="0"/>
          <w:marBottom w:val="0"/>
          <w:divBdr>
            <w:top w:val="none" w:sz="0" w:space="0" w:color="auto"/>
            <w:left w:val="none" w:sz="0" w:space="0" w:color="auto"/>
            <w:bottom w:val="none" w:sz="0" w:space="0" w:color="auto"/>
            <w:right w:val="none" w:sz="0" w:space="0" w:color="auto"/>
          </w:divBdr>
        </w:div>
      </w:divsChild>
    </w:div>
    <w:div w:id="1875116712">
      <w:bodyDiv w:val="1"/>
      <w:marLeft w:val="0"/>
      <w:marRight w:val="0"/>
      <w:marTop w:val="0"/>
      <w:marBottom w:val="0"/>
      <w:divBdr>
        <w:top w:val="none" w:sz="0" w:space="0" w:color="auto"/>
        <w:left w:val="none" w:sz="0" w:space="0" w:color="auto"/>
        <w:bottom w:val="none" w:sz="0" w:space="0" w:color="auto"/>
        <w:right w:val="none" w:sz="0" w:space="0" w:color="auto"/>
      </w:divBdr>
      <w:divsChild>
        <w:div w:id="28115495">
          <w:marLeft w:val="0"/>
          <w:marRight w:val="0"/>
          <w:marTop w:val="0"/>
          <w:marBottom w:val="0"/>
          <w:divBdr>
            <w:top w:val="none" w:sz="0" w:space="0" w:color="auto"/>
            <w:left w:val="none" w:sz="0" w:space="0" w:color="auto"/>
            <w:bottom w:val="none" w:sz="0" w:space="0" w:color="auto"/>
            <w:right w:val="none" w:sz="0" w:space="0" w:color="auto"/>
          </w:divBdr>
          <w:divsChild>
            <w:div w:id="1263562593">
              <w:marLeft w:val="0"/>
              <w:marRight w:val="0"/>
              <w:marTop w:val="0"/>
              <w:marBottom w:val="0"/>
              <w:divBdr>
                <w:top w:val="none" w:sz="0" w:space="0" w:color="auto"/>
                <w:left w:val="none" w:sz="0" w:space="0" w:color="auto"/>
                <w:bottom w:val="none" w:sz="0" w:space="0" w:color="auto"/>
                <w:right w:val="none" w:sz="0" w:space="0" w:color="auto"/>
              </w:divBdr>
            </w:div>
          </w:divsChild>
        </w:div>
        <w:div w:id="35282394">
          <w:marLeft w:val="0"/>
          <w:marRight w:val="0"/>
          <w:marTop w:val="0"/>
          <w:marBottom w:val="0"/>
          <w:divBdr>
            <w:top w:val="none" w:sz="0" w:space="0" w:color="auto"/>
            <w:left w:val="none" w:sz="0" w:space="0" w:color="auto"/>
            <w:bottom w:val="none" w:sz="0" w:space="0" w:color="auto"/>
            <w:right w:val="none" w:sz="0" w:space="0" w:color="auto"/>
          </w:divBdr>
          <w:divsChild>
            <w:div w:id="397021649">
              <w:marLeft w:val="0"/>
              <w:marRight w:val="0"/>
              <w:marTop w:val="0"/>
              <w:marBottom w:val="0"/>
              <w:divBdr>
                <w:top w:val="none" w:sz="0" w:space="0" w:color="auto"/>
                <w:left w:val="none" w:sz="0" w:space="0" w:color="auto"/>
                <w:bottom w:val="none" w:sz="0" w:space="0" w:color="auto"/>
                <w:right w:val="none" w:sz="0" w:space="0" w:color="auto"/>
              </w:divBdr>
            </w:div>
            <w:div w:id="946238033">
              <w:marLeft w:val="0"/>
              <w:marRight w:val="0"/>
              <w:marTop w:val="0"/>
              <w:marBottom w:val="0"/>
              <w:divBdr>
                <w:top w:val="none" w:sz="0" w:space="0" w:color="auto"/>
                <w:left w:val="none" w:sz="0" w:space="0" w:color="auto"/>
                <w:bottom w:val="none" w:sz="0" w:space="0" w:color="auto"/>
                <w:right w:val="none" w:sz="0" w:space="0" w:color="auto"/>
              </w:divBdr>
            </w:div>
            <w:div w:id="1236087679">
              <w:marLeft w:val="0"/>
              <w:marRight w:val="0"/>
              <w:marTop w:val="0"/>
              <w:marBottom w:val="0"/>
              <w:divBdr>
                <w:top w:val="none" w:sz="0" w:space="0" w:color="auto"/>
                <w:left w:val="none" w:sz="0" w:space="0" w:color="auto"/>
                <w:bottom w:val="none" w:sz="0" w:space="0" w:color="auto"/>
                <w:right w:val="none" w:sz="0" w:space="0" w:color="auto"/>
              </w:divBdr>
            </w:div>
          </w:divsChild>
        </w:div>
        <w:div w:id="69080103">
          <w:marLeft w:val="0"/>
          <w:marRight w:val="0"/>
          <w:marTop w:val="0"/>
          <w:marBottom w:val="0"/>
          <w:divBdr>
            <w:top w:val="none" w:sz="0" w:space="0" w:color="auto"/>
            <w:left w:val="none" w:sz="0" w:space="0" w:color="auto"/>
            <w:bottom w:val="none" w:sz="0" w:space="0" w:color="auto"/>
            <w:right w:val="none" w:sz="0" w:space="0" w:color="auto"/>
          </w:divBdr>
          <w:divsChild>
            <w:div w:id="1464152064">
              <w:marLeft w:val="0"/>
              <w:marRight w:val="0"/>
              <w:marTop w:val="0"/>
              <w:marBottom w:val="0"/>
              <w:divBdr>
                <w:top w:val="none" w:sz="0" w:space="0" w:color="auto"/>
                <w:left w:val="none" w:sz="0" w:space="0" w:color="auto"/>
                <w:bottom w:val="none" w:sz="0" w:space="0" w:color="auto"/>
                <w:right w:val="none" w:sz="0" w:space="0" w:color="auto"/>
              </w:divBdr>
            </w:div>
          </w:divsChild>
        </w:div>
        <w:div w:id="77755862">
          <w:marLeft w:val="0"/>
          <w:marRight w:val="0"/>
          <w:marTop w:val="0"/>
          <w:marBottom w:val="0"/>
          <w:divBdr>
            <w:top w:val="none" w:sz="0" w:space="0" w:color="auto"/>
            <w:left w:val="none" w:sz="0" w:space="0" w:color="auto"/>
            <w:bottom w:val="none" w:sz="0" w:space="0" w:color="auto"/>
            <w:right w:val="none" w:sz="0" w:space="0" w:color="auto"/>
          </w:divBdr>
          <w:divsChild>
            <w:div w:id="2068524706">
              <w:marLeft w:val="0"/>
              <w:marRight w:val="0"/>
              <w:marTop w:val="0"/>
              <w:marBottom w:val="0"/>
              <w:divBdr>
                <w:top w:val="none" w:sz="0" w:space="0" w:color="auto"/>
                <w:left w:val="none" w:sz="0" w:space="0" w:color="auto"/>
                <w:bottom w:val="none" w:sz="0" w:space="0" w:color="auto"/>
                <w:right w:val="none" w:sz="0" w:space="0" w:color="auto"/>
              </w:divBdr>
            </w:div>
          </w:divsChild>
        </w:div>
        <w:div w:id="109707913">
          <w:marLeft w:val="0"/>
          <w:marRight w:val="0"/>
          <w:marTop w:val="0"/>
          <w:marBottom w:val="0"/>
          <w:divBdr>
            <w:top w:val="none" w:sz="0" w:space="0" w:color="auto"/>
            <w:left w:val="none" w:sz="0" w:space="0" w:color="auto"/>
            <w:bottom w:val="none" w:sz="0" w:space="0" w:color="auto"/>
            <w:right w:val="none" w:sz="0" w:space="0" w:color="auto"/>
          </w:divBdr>
          <w:divsChild>
            <w:div w:id="536813547">
              <w:marLeft w:val="0"/>
              <w:marRight w:val="0"/>
              <w:marTop w:val="0"/>
              <w:marBottom w:val="0"/>
              <w:divBdr>
                <w:top w:val="none" w:sz="0" w:space="0" w:color="auto"/>
                <w:left w:val="none" w:sz="0" w:space="0" w:color="auto"/>
                <w:bottom w:val="none" w:sz="0" w:space="0" w:color="auto"/>
                <w:right w:val="none" w:sz="0" w:space="0" w:color="auto"/>
              </w:divBdr>
            </w:div>
          </w:divsChild>
        </w:div>
        <w:div w:id="115871787">
          <w:marLeft w:val="0"/>
          <w:marRight w:val="0"/>
          <w:marTop w:val="0"/>
          <w:marBottom w:val="0"/>
          <w:divBdr>
            <w:top w:val="none" w:sz="0" w:space="0" w:color="auto"/>
            <w:left w:val="none" w:sz="0" w:space="0" w:color="auto"/>
            <w:bottom w:val="none" w:sz="0" w:space="0" w:color="auto"/>
            <w:right w:val="none" w:sz="0" w:space="0" w:color="auto"/>
          </w:divBdr>
          <w:divsChild>
            <w:div w:id="1171918112">
              <w:marLeft w:val="0"/>
              <w:marRight w:val="0"/>
              <w:marTop w:val="0"/>
              <w:marBottom w:val="0"/>
              <w:divBdr>
                <w:top w:val="none" w:sz="0" w:space="0" w:color="auto"/>
                <w:left w:val="none" w:sz="0" w:space="0" w:color="auto"/>
                <w:bottom w:val="none" w:sz="0" w:space="0" w:color="auto"/>
                <w:right w:val="none" w:sz="0" w:space="0" w:color="auto"/>
              </w:divBdr>
            </w:div>
          </w:divsChild>
        </w:div>
        <w:div w:id="166750336">
          <w:marLeft w:val="0"/>
          <w:marRight w:val="0"/>
          <w:marTop w:val="0"/>
          <w:marBottom w:val="0"/>
          <w:divBdr>
            <w:top w:val="none" w:sz="0" w:space="0" w:color="auto"/>
            <w:left w:val="none" w:sz="0" w:space="0" w:color="auto"/>
            <w:bottom w:val="none" w:sz="0" w:space="0" w:color="auto"/>
            <w:right w:val="none" w:sz="0" w:space="0" w:color="auto"/>
          </w:divBdr>
          <w:divsChild>
            <w:div w:id="1717119739">
              <w:marLeft w:val="0"/>
              <w:marRight w:val="0"/>
              <w:marTop w:val="0"/>
              <w:marBottom w:val="0"/>
              <w:divBdr>
                <w:top w:val="none" w:sz="0" w:space="0" w:color="auto"/>
                <w:left w:val="none" w:sz="0" w:space="0" w:color="auto"/>
                <w:bottom w:val="none" w:sz="0" w:space="0" w:color="auto"/>
                <w:right w:val="none" w:sz="0" w:space="0" w:color="auto"/>
              </w:divBdr>
            </w:div>
            <w:div w:id="2003043215">
              <w:marLeft w:val="0"/>
              <w:marRight w:val="0"/>
              <w:marTop w:val="0"/>
              <w:marBottom w:val="0"/>
              <w:divBdr>
                <w:top w:val="none" w:sz="0" w:space="0" w:color="auto"/>
                <w:left w:val="none" w:sz="0" w:space="0" w:color="auto"/>
                <w:bottom w:val="none" w:sz="0" w:space="0" w:color="auto"/>
                <w:right w:val="none" w:sz="0" w:space="0" w:color="auto"/>
              </w:divBdr>
            </w:div>
            <w:div w:id="2057044841">
              <w:marLeft w:val="0"/>
              <w:marRight w:val="0"/>
              <w:marTop w:val="0"/>
              <w:marBottom w:val="0"/>
              <w:divBdr>
                <w:top w:val="none" w:sz="0" w:space="0" w:color="auto"/>
                <w:left w:val="none" w:sz="0" w:space="0" w:color="auto"/>
                <w:bottom w:val="none" w:sz="0" w:space="0" w:color="auto"/>
                <w:right w:val="none" w:sz="0" w:space="0" w:color="auto"/>
              </w:divBdr>
            </w:div>
          </w:divsChild>
        </w:div>
        <w:div w:id="166944452">
          <w:marLeft w:val="0"/>
          <w:marRight w:val="0"/>
          <w:marTop w:val="0"/>
          <w:marBottom w:val="0"/>
          <w:divBdr>
            <w:top w:val="none" w:sz="0" w:space="0" w:color="auto"/>
            <w:left w:val="none" w:sz="0" w:space="0" w:color="auto"/>
            <w:bottom w:val="none" w:sz="0" w:space="0" w:color="auto"/>
            <w:right w:val="none" w:sz="0" w:space="0" w:color="auto"/>
          </w:divBdr>
        </w:div>
        <w:div w:id="180825510">
          <w:marLeft w:val="0"/>
          <w:marRight w:val="0"/>
          <w:marTop w:val="0"/>
          <w:marBottom w:val="0"/>
          <w:divBdr>
            <w:top w:val="none" w:sz="0" w:space="0" w:color="auto"/>
            <w:left w:val="none" w:sz="0" w:space="0" w:color="auto"/>
            <w:bottom w:val="none" w:sz="0" w:space="0" w:color="auto"/>
            <w:right w:val="none" w:sz="0" w:space="0" w:color="auto"/>
          </w:divBdr>
          <w:divsChild>
            <w:div w:id="1520198229">
              <w:marLeft w:val="0"/>
              <w:marRight w:val="0"/>
              <w:marTop w:val="0"/>
              <w:marBottom w:val="0"/>
              <w:divBdr>
                <w:top w:val="none" w:sz="0" w:space="0" w:color="auto"/>
                <w:left w:val="none" w:sz="0" w:space="0" w:color="auto"/>
                <w:bottom w:val="none" w:sz="0" w:space="0" w:color="auto"/>
                <w:right w:val="none" w:sz="0" w:space="0" w:color="auto"/>
              </w:divBdr>
            </w:div>
          </w:divsChild>
        </w:div>
        <w:div w:id="245650863">
          <w:marLeft w:val="0"/>
          <w:marRight w:val="0"/>
          <w:marTop w:val="0"/>
          <w:marBottom w:val="0"/>
          <w:divBdr>
            <w:top w:val="none" w:sz="0" w:space="0" w:color="auto"/>
            <w:left w:val="none" w:sz="0" w:space="0" w:color="auto"/>
            <w:bottom w:val="none" w:sz="0" w:space="0" w:color="auto"/>
            <w:right w:val="none" w:sz="0" w:space="0" w:color="auto"/>
          </w:divBdr>
          <w:divsChild>
            <w:div w:id="75517694">
              <w:marLeft w:val="0"/>
              <w:marRight w:val="0"/>
              <w:marTop w:val="0"/>
              <w:marBottom w:val="0"/>
              <w:divBdr>
                <w:top w:val="none" w:sz="0" w:space="0" w:color="auto"/>
                <w:left w:val="none" w:sz="0" w:space="0" w:color="auto"/>
                <w:bottom w:val="none" w:sz="0" w:space="0" w:color="auto"/>
                <w:right w:val="none" w:sz="0" w:space="0" w:color="auto"/>
              </w:divBdr>
            </w:div>
            <w:div w:id="1474714861">
              <w:marLeft w:val="0"/>
              <w:marRight w:val="0"/>
              <w:marTop w:val="0"/>
              <w:marBottom w:val="0"/>
              <w:divBdr>
                <w:top w:val="none" w:sz="0" w:space="0" w:color="auto"/>
                <w:left w:val="none" w:sz="0" w:space="0" w:color="auto"/>
                <w:bottom w:val="none" w:sz="0" w:space="0" w:color="auto"/>
                <w:right w:val="none" w:sz="0" w:space="0" w:color="auto"/>
              </w:divBdr>
            </w:div>
          </w:divsChild>
        </w:div>
        <w:div w:id="255215168">
          <w:marLeft w:val="0"/>
          <w:marRight w:val="0"/>
          <w:marTop w:val="0"/>
          <w:marBottom w:val="0"/>
          <w:divBdr>
            <w:top w:val="none" w:sz="0" w:space="0" w:color="auto"/>
            <w:left w:val="none" w:sz="0" w:space="0" w:color="auto"/>
            <w:bottom w:val="none" w:sz="0" w:space="0" w:color="auto"/>
            <w:right w:val="none" w:sz="0" w:space="0" w:color="auto"/>
          </w:divBdr>
          <w:divsChild>
            <w:div w:id="1429740236">
              <w:marLeft w:val="0"/>
              <w:marRight w:val="0"/>
              <w:marTop w:val="0"/>
              <w:marBottom w:val="0"/>
              <w:divBdr>
                <w:top w:val="none" w:sz="0" w:space="0" w:color="auto"/>
                <w:left w:val="none" w:sz="0" w:space="0" w:color="auto"/>
                <w:bottom w:val="none" w:sz="0" w:space="0" w:color="auto"/>
                <w:right w:val="none" w:sz="0" w:space="0" w:color="auto"/>
              </w:divBdr>
            </w:div>
          </w:divsChild>
        </w:div>
        <w:div w:id="274599595">
          <w:marLeft w:val="0"/>
          <w:marRight w:val="0"/>
          <w:marTop w:val="0"/>
          <w:marBottom w:val="0"/>
          <w:divBdr>
            <w:top w:val="none" w:sz="0" w:space="0" w:color="auto"/>
            <w:left w:val="none" w:sz="0" w:space="0" w:color="auto"/>
            <w:bottom w:val="none" w:sz="0" w:space="0" w:color="auto"/>
            <w:right w:val="none" w:sz="0" w:space="0" w:color="auto"/>
          </w:divBdr>
        </w:div>
        <w:div w:id="280696783">
          <w:marLeft w:val="0"/>
          <w:marRight w:val="0"/>
          <w:marTop w:val="0"/>
          <w:marBottom w:val="0"/>
          <w:divBdr>
            <w:top w:val="none" w:sz="0" w:space="0" w:color="auto"/>
            <w:left w:val="none" w:sz="0" w:space="0" w:color="auto"/>
            <w:bottom w:val="none" w:sz="0" w:space="0" w:color="auto"/>
            <w:right w:val="none" w:sz="0" w:space="0" w:color="auto"/>
          </w:divBdr>
        </w:div>
        <w:div w:id="309405815">
          <w:marLeft w:val="0"/>
          <w:marRight w:val="0"/>
          <w:marTop w:val="0"/>
          <w:marBottom w:val="0"/>
          <w:divBdr>
            <w:top w:val="none" w:sz="0" w:space="0" w:color="auto"/>
            <w:left w:val="none" w:sz="0" w:space="0" w:color="auto"/>
            <w:bottom w:val="none" w:sz="0" w:space="0" w:color="auto"/>
            <w:right w:val="none" w:sz="0" w:space="0" w:color="auto"/>
          </w:divBdr>
          <w:divsChild>
            <w:div w:id="997419696">
              <w:marLeft w:val="0"/>
              <w:marRight w:val="0"/>
              <w:marTop w:val="0"/>
              <w:marBottom w:val="0"/>
              <w:divBdr>
                <w:top w:val="none" w:sz="0" w:space="0" w:color="auto"/>
                <w:left w:val="none" w:sz="0" w:space="0" w:color="auto"/>
                <w:bottom w:val="none" w:sz="0" w:space="0" w:color="auto"/>
                <w:right w:val="none" w:sz="0" w:space="0" w:color="auto"/>
              </w:divBdr>
            </w:div>
          </w:divsChild>
        </w:div>
        <w:div w:id="310065523">
          <w:marLeft w:val="0"/>
          <w:marRight w:val="0"/>
          <w:marTop w:val="0"/>
          <w:marBottom w:val="0"/>
          <w:divBdr>
            <w:top w:val="none" w:sz="0" w:space="0" w:color="auto"/>
            <w:left w:val="none" w:sz="0" w:space="0" w:color="auto"/>
            <w:bottom w:val="none" w:sz="0" w:space="0" w:color="auto"/>
            <w:right w:val="none" w:sz="0" w:space="0" w:color="auto"/>
          </w:divBdr>
          <w:divsChild>
            <w:div w:id="699865147">
              <w:marLeft w:val="0"/>
              <w:marRight w:val="0"/>
              <w:marTop w:val="0"/>
              <w:marBottom w:val="0"/>
              <w:divBdr>
                <w:top w:val="none" w:sz="0" w:space="0" w:color="auto"/>
                <w:left w:val="none" w:sz="0" w:space="0" w:color="auto"/>
                <w:bottom w:val="none" w:sz="0" w:space="0" w:color="auto"/>
                <w:right w:val="none" w:sz="0" w:space="0" w:color="auto"/>
              </w:divBdr>
            </w:div>
          </w:divsChild>
        </w:div>
        <w:div w:id="325981099">
          <w:marLeft w:val="0"/>
          <w:marRight w:val="0"/>
          <w:marTop w:val="0"/>
          <w:marBottom w:val="0"/>
          <w:divBdr>
            <w:top w:val="none" w:sz="0" w:space="0" w:color="auto"/>
            <w:left w:val="none" w:sz="0" w:space="0" w:color="auto"/>
            <w:bottom w:val="none" w:sz="0" w:space="0" w:color="auto"/>
            <w:right w:val="none" w:sz="0" w:space="0" w:color="auto"/>
          </w:divBdr>
          <w:divsChild>
            <w:div w:id="1042513486">
              <w:marLeft w:val="0"/>
              <w:marRight w:val="0"/>
              <w:marTop w:val="0"/>
              <w:marBottom w:val="0"/>
              <w:divBdr>
                <w:top w:val="none" w:sz="0" w:space="0" w:color="auto"/>
                <w:left w:val="none" w:sz="0" w:space="0" w:color="auto"/>
                <w:bottom w:val="none" w:sz="0" w:space="0" w:color="auto"/>
                <w:right w:val="none" w:sz="0" w:space="0" w:color="auto"/>
              </w:divBdr>
            </w:div>
          </w:divsChild>
        </w:div>
        <w:div w:id="335033370">
          <w:marLeft w:val="0"/>
          <w:marRight w:val="0"/>
          <w:marTop w:val="0"/>
          <w:marBottom w:val="0"/>
          <w:divBdr>
            <w:top w:val="none" w:sz="0" w:space="0" w:color="auto"/>
            <w:left w:val="none" w:sz="0" w:space="0" w:color="auto"/>
            <w:bottom w:val="none" w:sz="0" w:space="0" w:color="auto"/>
            <w:right w:val="none" w:sz="0" w:space="0" w:color="auto"/>
          </w:divBdr>
        </w:div>
        <w:div w:id="376855509">
          <w:marLeft w:val="0"/>
          <w:marRight w:val="0"/>
          <w:marTop w:val="0"/>
          <w:marBottom w:val="0"/>
          <w:divBdr>
            <w:top w:val="none" w:sz="0" w:space="0" w:color="auto"/>
            <w:left w:val="none" w:sz="0" w:space="0" w:color="auto"/>
            <w:bottom w:val="none" w:sz="0" w:space="0" w:color="auto"/>
            <w:right w:val="none" w:sz="0" w:space="0" w:color="auto"/>
          </w:divBdr>
          <w:divsChild>
            <w:div w:id="1622373311">
              <w:marLeft w:val="0"/>
              <w:marRight w:val="0"/>
              <w:marTop w:val="0"/>
              <w:marBottom w:val="0"/>
              <w:divBdr>
                <w:top w:val="none" w:sz="0" w:space="0" w:color="auto"/>
                <w:left w:val="none" w:sz="0" w:space="0" w:color="auto"/>
                <w:bottom w:val="none" w:sz="0" w:space="0" w:color="auto"/>
                <w:right w:val="none" w:sz="0" w:space="0" w:color="auto"/>
              </w:divBdr>
            </w:div>
          </w:divsChild>
        </w:div>
        <w:div w:id="385495262">
          <w:marLeft w:val="0"/>
          <w:marRight w:val="0"/>
          <w:marTop w:val="0"/>
          <w:marBottom w:val="0"/>
          <w:divBdr>
            <w:top w:val="none" w:sz="0" w:space="0" w:color="auto"/>
            <w:left w:val="none" w:sz="0" w:space="0" w:color="auto"/>
            <w:bottom w:val="none" w:sz="0" w:space="0" w:color="auto"/>
            <w:right w:val="none" w:sz="0" w:space="0" w:color="auto"/>
          </w:divBdr>
          <w:divsChild>
            <w:div w:id="2124228648">
              <w:marLeft w:val="0"/>
              <w:marRight w:val="0"/>
              <w:marTop w:val="0"/>
              <w:marBottom w:val="0"/>
              <w:divBdr>
                <w:top w:val="none" w:sz="0" w:space="0" w:color="auto"/>
                <w:left w:val="none" w:sz="0" w:space="0" w:color="auto"/>
                <w:bottom w:val="none" w:sz="0" w:space="0" w:color="auto"/>
                <w:right w:val="none" w:sz="0" w:space="0" w:color="auto"/>
              </w:divBdr>
            </w:div>
          </w:divsChild>
        </w:div>
        <w:div w:id="394353692">
          <w:marLeft w:val="0"/>
          <w:marRight w:val="0"/>
          <w:marTop w:val="0"/>
          <w:marBottom w:val="0"/>
          <w:divBdr>
            <w:top w:val="none" w:sz="0" w:space="0" w:color="auto"/>
            <w:left w:val="none" w:sz="0" w:space="0" w:color="auto"/>
            <w:bottom w:val="none" w:sz="0" w:space="0" w:color="auto"/>
            <w:right w:val="none" w:sz="0" w:space="0" w:color="auto"/>
          </w:divBdr>
          <w:divsChild>
            <w:div w:id="1097099250">
              <w:marLeft w:val="0"/>
              <w:marRight w:val="0"/>
              <w:marTop w:val="0"/>
              <w:marBottom w:val="0"/>
              <w:divBdr>
                <w:top w:val="none" w:sz="0" w:space="0" w:color="auto"/>
                <w:left w:val="none" w:sz="0" w:space="0" w:color="auto"/>
                <w:bottom w:val="none" w:sz="0" w:space="0" w:color="auto"/>
                <w:right w:val="none" w:sz="0" w:space="0" w:color="auto"/>
              </w:divBdr>
            </w:div>
            <w:div w:id="1707178810">
              <w:marLeft w:val="0"/>
              <w:marRight w:val="0"/>
              <w:marTop w:val="0"/>
              <w:marBottom w:val="0"/>
              <w:divBdr>
                <w:top w:val="none" w:sz="0" w:space="0" w:color="auto"/>
                <w:left w:val="none" w:sz="0" w:space="0" w:color="auto"/>
                <w:bottom w:val="none" w:sz="0" w:space="0" w:color="auto"/>
                <w:right w:val="none" w:sz="0" w:space="0" w:color="auto"/>
              </w:divBdr>
            </w:div>
          </w:divsChild>
        </w:div>
        <w:div w:id="440807936">
          <w:marLeft w:val="0"/>
          <w:marRight w:val="0"/>
          <w:marTop w:val="0"/>
          <w:marBottom w:val="0"/>
          <w:divBdr>
            <w:top w:val="none" w:sz="0" w:space="0" w:color="auto"/>
            <w:left w:val="none" w:sz="0" w:space="0" w:color="auto"/>
            <w:bottom w:val="none" w:sz="0" w:space="0" w:color="auto"/>
            <w:right w:val="none" w:sz="0" w:space="0" w:color="auto"/>
          </w:divBdr>
          <w:divsChild>
            <w:div w:id="1869903617">
              <w:marLeft w:val="0"/>
              <w:marRight w:val="0"/>
              <w:marTop w:val="0"/>
              <w:marBottom w:val="0"/>
              <w:divBdr>
                <w:top w:val="none" w:sz="0" w:space="0" w:color="auto"/>
                <w:left w:val="none" w:sz="0" w:space="0" w:color="auto"/>
                <w:bottom w:val="none" w:sz="0" w:space="0" w:color="auto"/>
                <w:right w:val="none" w:sz="0" w:space="0" w:color="auto"/>
              </w:divBdr>
            </w:div>
          </w:divsChild>
        </w:div>
        <w:div w:id="453182295">
          <w:marLeft w:val="0"/>
          <w:marRight w:val="0"/>
          <w:marTop w:val="0"/>
          <w:marBottom w:val="0"/>
          <w:divBdr>
            <w:top w:val="none" w:sz="0" w:space="0" w:color="auto"/>
            <w:left w:val="none" w:sz="0" w:space="0" w:color="auto"/>
            <w:bottom w:val="none" w:sz="0" w:space="0" w:color="auto"/>
            <w:right w:val="none" w:sz="0" w:space="0" w:color="auto"/>
          </w:divBdr>
          <w:divsChild>
            <w:div w:id="788889476">
              <w:marLeft w:val="0"/>
              <w:marRight w:val="0"/>
              <w:marTop w:val="0"/>
              <w:marBottom w:val="0"/>
              <w:divBdr>
                <w:top w:val="none" w:sz="0" w:space="0" w:color="auto"/>
                <w:left w:val="none" w:sz="0" w:space="0" w:color="auto"/>
                <w:bottom w:val="none" w:sz="0" w:space="0" w:color="auto"/>
                <w:right w:val="none" w:sz="0" w:space="0" w:color="auto"/>
              </w:divBdr>
            </w:div>
          </w:divsChild>
        </w:div>
        <w:div w:id="489251785">
          <w:marLeft w:val="0"/>
          <w:marRight w:val="0"/>
          <w:marTop w:val="0"/>
          <w:marBottom w:val="0"/>
          <w:divBdr>
            <w:top w:val="none" w:sz="0" w:space="0" w:color="auto"/>
            <w:left w:val="none" w:sz="0" w:space="0" w:color="auto"/>
            <w:bottom w:val="none" w:sz="0" w:space="0" w:color="auto"/>
            <w:right w:val="none" w:sz="0" w:space="0" w:color="auto"/>
          </w:divBdr>
          <w:divsChild>
            <w:div w:id="1086197068">
              <w:marLeft w:val="0"/>
              <w:marRight w:val="0"/>
              <w:marTop w:val="0"/>
              <w:marBottom w:val="0"/>
              <w:divBdr>
                <w:top w:val="none" w:sz="0" w:space="0" w:color="auto"/>
                <w:left w:val="none" w:sz="0" w:space="0" w:color="auto"/>
                <w:bottom w:val="none" w:sz="0" w:space="0" w:color="auto"/>
                <w:right w:val="none" w:sz="0" w:space="0" w:color="auto"/>
              </w:divBdr>
            </w:div>
          </w:divsChild>
        </w:div>
        <w:div w:id="492990707">
          <w:marLeft w:val="0"/>
          <w:marRight w:val="0"/>
          <w:marTop w:val="0"/>
          <w:marBottom w:val="0"/>
          <w:divBdr>
            <w:top w:val="none" w:sz="0" w:space="0" w:color="auto"/>
            <w:left w:val="none" w:sz="0" w:space="0" w:color="auto"/>
            <w:bottom w:val="none" w:sz="0" w:space="0" w:color="auto"/>
            <w:right w:val="none" w:sz="0" w:space="0" w:color="auto"/>
          </w:divBdr>
          <w:divsChild>
            <w:div w:id="1662196972">
              <w:marLeft w:val="0"/>
              <w:marRight w:val="0"/>
              <w:marTop w:val="0"/>
              <w:marBottom w:val="0"/>
              <w:divBdr>
                <w:top w:val="none" w:sz="0" w:space="0" w:color="auto"/>
                <w:left w:val="none" w:sz="0" w:space="0" w:color="auto"/>
                <w:bottom w:val="none" w:sz="0" w:space="0" w:color="auto"/>
                <w:right w:val="none" w:sz="0" w:space="0" w:color="auto"/>
              </w:divBdr>
            </w:div>
          </w:divsChild>
        </w:div>
        <w:div w:id="522017965">
          <w:marLeft w:val="0"/>
          <w:marRight w:val="0"/>
          <w:marTop w:val="0"/>
          <w:marBottom w:val="0"/>
          <w:divBdr>
            <w:top w:val="none" w:sz="0" w:space="0" w:color="auto"/>
            <w:left w:val="none" w:sz="0" w:space="0" w:color="auto"/>
            <w:bottom w:val="none" w:sz="0" w:space="0" w:color="auto"/>
            <w:right w:val="none" w:sz="0" w:space="0" w:color="auto"/>
          </w:divBdr>
          <w:divsChild>
            <w:div w:id="431359513">
              <w:marLeft w:val="0"/>
              <w:marRight w:val="0"/>
              <w:marTop w:val="0"/>
              <w:marBottom w:val="0"/>
              <w:divBdr>
                <w:top w:val="none" w:sz="0" w:space="0" w:color="auto"/>
                <w:left w:val="none" w:sz="0" w:space="0" w:color="auto"/>
                <w:bottom w:val="none" w:sz="0" w:space="0" w:color="auto"/>
                <w:right w:val="none" w:sz="0" w:space="0" w:color="auto"/>
              </w:divBdr>
            </w:div>
            <w:div w:id="549004325">
              <w:marLeft w:val="0"/>
              <w:marRight w:val="0"/>
              <w:marTop w:val="0"/>
              <w:marBottom w:val="0"/>
              <w:divBdr>
                <w:top w:val="none" w:sz="0" w:space="0" w:color="auto"/>
                <w:left w:val="none" w:sz="0" w:space="0" w:color="auto"/>
                <w:bottom w:val="none" w:sz="0" w:space="0" w:color="auto"/>
                <w:right w:val="none" w:sz="0" w:space="0" w:color="auto"/>
              </w:divBdr>
            </w:div>
            <w:div w:id="1882478429">
              <w:marLeft w:val="0"/>
              <w:marRight w:val="0"/>
              <w:marTop w:val="0"/>
              <w:marBottom w:val="0"/>
              <w:divBdr>
                <w:top w:val="none" w:sz="0" w:space="0" w:color="auto"/>
                <w:left w:val="none" w:sz="0" w:space="0" w:color="auto"/>
                <w:bottom w:val="none" w:sz="0" w:space="0" w:color="auto"/>
                <w:right w:val="none" w:sz="0" w:space="0" w:color="auto"/>
              </w:divBdr>
            </w:div>
          </w:divsChild>
        </w:div>
        <w:div w:id="529220121">
          <w:marLeft w:val="0"/>
          <w:marRight w:val="0"/>
          <w:marTop w:val="0"/>
          <w:marBottom w:val="0"/>
          <w:divBdr>
            <w:top w:val="none" w:sz="0" w:space="0" w:color="auto"/>
            <w:left w:val="none" w:sz="0" w:space="0" w:color="auto"/>
            <w:bottom w:val="none" w:sz="0" w:space="0" w:color="auto"/>
            <w:right w:val="none" w:sz="0" w:space="0" w:color="auto"/>
          </w:divBdr>
          <w:divsChild>
            <w:div w:id="1885018802">
              <w:marLeft w:val="0"/>
              <w:marRight w:val="0"/>
              <w:marTop w:val="0"/>
              <w:marBottom w:val="0"/>
              <w:divBdr>
                <w:top w:val="none" w:sz="0" w:space="0" w:color="auto"/>
                <w:left w:val="none" w:sz="0" w:space="0" w:color="auto"/>
                <w:bottom w:val="none" w:sz="0" w:space="0" w:color="auto"/>
                <w:right w:val="none" w:sz="0" w:space="0" w:color="auto"/>
              </w:divBdr>
            </w:div>
          </w:divsChild>
        </w:div>
        <w:div w:id="554393918">
          <w:marLeft w:val="0"/>
          <w:marRight w:val="0"/>
          <w:marTop w:val="0"/>
          <w:marBottom w:val="0"/>
          <w:divBdr>
            <w:top w:val="none" w:sz="0" w:space="0" w:color="auto"/>
            <w:left w:val="none" w:sz="0" w:space="0" w:color="auto"/>
            <w:bottom w:val="none" w:sz="0" w:space="0" w:color="auto"/>
            <w:right w:val="none" w:sz="0" w:space="0" w:color="auto"/>
          </w:divBdr>
          <w:divsChild>
            <w:div w:id="677469031">
              <w:marLeft w:val="0"/>
              <w:marRight w:val="0"/>
              <w:marTop w:val="0"/>
              <w:marBottom w:val="0"/>
              <w:divBdr>
                <w:top w:val="none" w:sz="0" w:space="0" w:color="auto"/>
                <w:left w:val="none" w:sz="0" w:space="0" w:color="auto"/>
                <w:bottom w:val="none" w:sz="0" w:space="0" w:color="auto"/>
                <w:right w:val="none" w:sz="0" w:space="0" w:color="auto"/>
              </w:divBdr>
            </w:div>
          </w:divsChild>
        </w:div>
        <w:div w:id="656227047">
          <w:marLeft w:val="0"/>
          <w:marRight w:val="0"/>
          <w:marTop w:val="0"/>
          <w:marBottom w:val="0"/>
          <w:divBdr>
            <w:top w:val="none" w:sz="0" w:space="0" w:color="auto"/>
            <w:left w:val="none" w:sz="0" w:space="0" w:color="auto"/>
            <w:bottom w:val="none" w:sz="0" w:space="0" w:color="auto"/>
            <w:right w:val="none" w:sz="0" w:space="0" w:color="auto"/>
          </w:divBdr>
          <w:divsChild>
            <w:div w:id="1298223919">
              <w:marLeft w:val="0"/>
              <w:marRight w:val="0"/>
              <w:marTop w:val="0"/>
              <w:marBottom w:val="0"/>
              <w:divBdr>
                <w:top w:val="none" w:sz="0" w:space="0" w:color="auto"/>
                <w:left w:val="none" w:sz="0" w:space="0" w:color="auto"/>
                <w:bottom w:val="none" w:sz="0" w:space="0" w:color="auto"/>
                <w:right w:val="none" w:sz="0" w:space="0" w:color="auto"/>
              </w:divBdr>
            </w:div>
            <w:div w:id="1416632009">
              <w:marLeft w:val="0"/>
              <w:marRight w:val="0"/>
              <w:marTop w:val="0"/>
              <w:marBottom w:val="0"/>
              <w:divBdr>
                <w:top w:val="none" w:sz="0" w:space="0" w:color="auto"/>
                <w:left w:val="none" w:sz="0" w:space="0" w:color="auto"/>
                <w:bottom w:val="none" w:sz="0" w:space="0" w:color="auto"/>
                <w:right w:val="none" w:sz="0" w:space="0" w:color="auto"/>
              </w:divBdr>
            </w:div>
          </w:divsChild>
        </w:div>
        <w:div w:id="753474564">
          <w:marLeft w:val="0"/>
          <w:marRight w:val="0"/>
          <w:marTop w:val="0"/>
          <w:marBottom w:val="0"/>
          <w:divBdr>
            <w:top w:val="none" w:sz="0" w:space="0" w:color="auto"/>
            <w:left w:val="none" w:sz="0" w:space="0" w:color="auto"/>
            <w:bottom w:val="none" w:sz="0" w:space="0" w:color="auto"/>
            <w:right w:val="none" w:sz="0" w:space="0" w:color="auto"/>
          </w:divBdr>
          <w:divsChild>
            <w:div w:id="1327319326">
              <w:marLeft w:val="0"/>
              <w:marRight w:val="0"/>
              <w:marTop w:val="0"/>
              <w:marBottom w:val="0"/>
              <w:divBdr>
                <w:top w:val="none" w:sz="0" w:space="0" w:color="auto"/>
                <w:left w:val="none" w:sz="0" w:space="0" w:color="auto"/>
                <w:bottom w:val="none" w:sz="0" w:space="0" w:color="auto"/>
                <w:right w:val="none" w:sz="0" w:space="0" w:color="auto"/>
              </w:divBdr>
            </w:div>
          </w:divsChild>
        </w:div>
        <w:div w:id="770121731">
          <w:marLeft w:val="0"/>
          <w:marRight w:val="0"/>
          <w:marTop w:val="0"/>
          <w:marBottom w:val="0"/>
          <w:divBdr>
            <w:top w:val="none" w:sz="0" w:space="0" w:color="auto"/>
            <w:left w:val="none" w:sz="0" w:space="0" w:color="auto"/>
            <w:bottom w:val="none" w:sz="0" w:space="0" w:color="auto"/>
            <w:right w:val="none" w:sz="0" w:space="0" w:color="auto"/>
          </w:divBdr>
          <w:divsChild>
            <w:div w:id="1811902416">
              <w:marLeft w:val="0"/>
              <w:marRight w:val="0"/>
              <w:marTop w:val="0"/>
              <w:marBottom w:val="0"/>
              <w:divBdr>
                <w:top w:val="none" w:sz="0" w:space="0" w:color="auto"/>
                <w:left w:val="none" w:sz="0" w:space="0" w:color="auto"/>
                <w:bottom w:val="none" w:sz="0" w:space="0" w:color="auto"/>
                <w:right w:val="none" w:sz="0" w:space="0" w:color="auto"/>
              </w:divBdr>
            </w:div>
          </w:divsChild>
        </w:div>
        <w:div w:id="784425262">
          <w:marLeft w:val="-75"/>
          <w:marRight w:val="0"/>
          <w:marTop w:val="30"/>
          <w:marBottom w:val="30"/>
          <w:divBdr>
            <w:top w:val="none" w:sz="0" w:space="0" w:color="auto"/>
            <w:left w:val="none" w:sz="0" w:space="0" w:color="auto"/>
            <w:bottom w:val="none" w:sz="0" w:space="0" w:color="auto"/>
            <w:right w:val="none" w:sz="0" w:space="0" w:color="auto"/>
          </w:divBdr>
          <w:divsChild>
            <w:div w:id="40179710">
              <w:marLeft w:val="0"/>
              <w:marRight w:val="0"/>
              <w:marTop w:val="0"/>
              <w:marBottom w:val="0"/>
              <w:divBdr>
                <w:top w:val="none" w:sz="0" w:space="0" w:color="auto"/>
                <w:left w:val="none" w:sz="0" w:space="0" w:color="auto"/>
                <w:bottom w:val="none" w:sz="0" w:space="0" w:color="auto"/>
                <w:right w:val="none" w:sz="0" w:space="0" w:color="auto"/>
              </w:divBdr>
              <w:divsChild>
                <w:div w:id="519004110">
                  <w:marLeft w:val="0"/>
                  <w:marRight w:val="0"/>
                  <w:marTop w:val="0"/>
                  <w:marBottom w:val="0"/>
                  <w:divBdr>
                    <w:top w:val="none" w:sz="0" w:space="0" w:color="auto"/>
                    <w:left w:val="none" w:sz="0" w:space="0" w:color="auto"/>
                    <w:bottom w:val="none" w:sz="0" w:space="0" w:color="auto"/>
                    <w:right w:val="none" w:sz="0" w:space="0" w:color="auto"/>
                  </w:divBdr>
                </w:div>
              </w:divsChild>
            </w:div>
            <w:div w:id="59452349">
              <w:marLeft w:val="0"/>
              <w:marRight w:val="0"/>
              <w:marTop w:val="0"/>
              <w:marBottom w:val="0"/>
              <w:divBdr>
                <w:top w:val="none" w:sz="0" w:space="0" w:color="auto"/>
                <w:left w:val="none" w:sz="0" w:space="0" w:color="auto"/>
                <w:bottom w:val="none" w:sz="0" w:space="0" w:color="auto"/>
                <w:right w:val="none" w:sz="0" w:space="0" w:color="auto"/>
              </w:divBdr>
              <w:divsChild>
                <w:div w:id="522599855">
                  <w:marLeft w:val="0"/>
                  <w:marRight w:val="0"/>
                  <w:marTop w:val="0"/>
                  <w:marBottom w:val="0"/>
                  <w:divBdr>
                    <w:top w:val="none" w:sz="0" w:space="0" w:color="auto"/>
                    <w:left w:val="none" w:sz="0" w:space="0" w:color="auto"/>
                    <w:bottom w:val="none" w:sz="0" w:space="0" w:color="auto"/>
                    <w:right w:val="none" w:sz="0" w:space="0" w:color="auto"/>
                  </w:divBdr>
                </w:div>
              </w:divsChild>
            </w:div>
            <w:div w:id="114443194">
              <w:marLeft w:val="0"/>
              <w:marRight w:val="0"/>
              <w:marTop w:val="0"/>
              <w:marBottom w:val="0"/>
              <w:divBdr>
                <w:top w:val="none" w:sz="0" w:space="0" w:color="auto"/>
                <w:left w:val="none" w:sz="0" w:space="0" w:color="auto"/>
                <w:bottom w:val="none" w:sz="0" w:space="0" w:color="auto"/>
                <w:right w:val="none" w:sz="0" w:space="0" w:color="auto"/>
              </w:divBdr>
              <w:divsChild>
                <w:div w:id="227502538">
                  <w:marLeft w:val="0"/>
                  <w:marRight w:val="0"/>
                  <w:marTop w:val="0"/>
                  <w:marBottom w:val="0"/>
                  <w:divBdr>
                    <w:top w:val="none" w:sz="0" w:space="0" w:color="auto"/>
                    <w:left w:val="none" w:sz="0" w:space="0" w:color="auto"/>
                    <w:bottom w:val="none" w:sz="0" w:space="0" w:color="auto"/>
                    <w:right w:val="none" w:sz="0" w:space="0" w:color="auto"/>
                  </w:divBdr>
                </w:div>
                <w:div w:id="1783987706">
                  <w:marLeft w:val="0"/>
                  <w:marRight w:val="0"/>
                  <w:marTop w:val="0"/>
                  <w:marBottom w:val="0"/>
                  <w:divBdr>
                    <w:top w:val="none" w:sz="0" w:space="0" w:color="auto"/>
                    <w:left w:val="none" w:sz="0" w:space="0" w:color="auto"/>
                    <w:bottom w:val="none" w:sz="0" w:space="0" w:color="auto"/>
                    <w:right w:val="none" w:sz="0" w:space="0" w:color="auto"/>
                  </w:divBdr>
                </w:div>
              </w:divsChild>
            </w:div>
            <w:div w:id="138421106">
              <w:marLeft w:val="0"/>
              <w:marRight w:val="0"/>
              <w:marTop w:val="0"/>
              <w:marBottom w:val="0"/>
              <w:divBdr>
                <w:top w:val="none" w:sz="0" w:space="0" w:color="auto"/>
                <w:left w:val="none" w:sz="0" w:space="0" w:color="auto"/>
                <w:bottom w:val="none" w:sz="0" w:space="0" w:color="auto"/>
                <w:right w:val="none" w:sz="0" w:space="0" w:color="auto"/>
              </w:divBdr>
              <w:divsChild>
                <w:div w:id="234824295">
                  <w:marLeft w:val="0"/>
                  <w:marRight w:val="0"/>
                  <w:marTop w:val="0"/>
                  <w:marBottom w:val="0"/>
                  <w:divBdr>
                    <w:top w:val="none" w:sz="0" w:space="0" w:color="auto"/>
                    <w:left w:val="none" w:sz="0" w:space="0" w:color="auto"/>
                    <w:bottom w:val="none" w:sz="0" w:space="0" w:color="auto"/>
                    <w:right w:val="none" w:sz="0" w:space="0" w:color="auto"/>
                  </w:divBdr>
                </w:div>
                <w:div w:id="1313177105">
                  <w:marLeft w:val="0"/>
                  <w:marRight w:val="0"/>
                  <w:marTop w:val="0"/>
                  <w:marBottom w:val="0"/>
                  <w:divBdr>
                    <w:top w:val="none" w:sz="0" w:space="0" w:color="auto"/>
                    <w:left w:val="none" w:sz="0" w:space="0" w:color="auto"/>
                    <w:bottom w:val="none" w:sz="0" w:space="0" w:color="auto"/>
                    <w:right w:val="none" w:sz="0" w:space="0" w:color="auto"/>
                  </w:divBdr>
                </w:div>
              </w:divsChild>
            </w:div>
            <w:div w:id="167989860">
              <w:marLeft w:val="0"/>
              <w:marRight w:val="0"/>
              <w:marTop w:val="0"/>
              <w:marBottom w:val="0"/>
              <w:divBdr>
                <w:top w:val="none" w:sz="0" w:space="0" w:color="auto"/>
                <w:left w:val="none" w:sz="0" w:space="0" w:color="auto"/>
                <w:bottom w:val="none" w:sz="0" w:space="0" w:color="auto"/>
                <w:right w:val="none" w:sz="0" w:space="0" w:color="auto"/>
              </w:divBdr>
              <w:divsChild>
                <w:div w:id="172384677">
                  <w:marLeft w:val="0"/>
                  <w:marRight w:val="0"/>
                  <w:marTop w:val="0"/>
                  <w:marBottom w:val="0"/>
                  <w:divBdr>
                    <w:top w:val="none" w:sz="0" w:space="0" w:color="auto"/>
                    <w:left w:val="none" w:sz="0" w:space="0" w:color="auto"/>
                    <w:bottom w:val="none" w:sz="0" w:space="0" w:color="auto"/>
                    <w:right w:val="none" w:sz="0" w:space="0" w:color="auto"/>
                  </w:divBdr>
                </w:div>
              </w:divsChild>
            </w:div>
            <w:div w:id="259728856">
              <w:marLeft w:val="0"/>
              <w:marRight w:val="0"/>
              <w:marTop w:val="0"/>
              <w:marBottom w:val="0"/>
              <w:divBdr>
                <w:top w:val="none" w:sz="0" w:space="0" w:color="auto"/>
                <w:left w:val="none" w:sz="0" w:space="0" w:color="auto"/>
                <w:bottom w:val="none" w:sz="0" w:space="0" w:color="auto"/>
                <w:right w:val="none" w:sz="0" w:space="0" w:color="auto"/>
              </w:divBdr>
              <w:divsChild>
                <w:div w:id="768817043">
                  <w:marLeft w:val="0"/>
                  <w:marRight w:val="0"/>
                  <w:marTop w:val="0"/>
                  <w:marBottom w:val="0"/>
                  <w:divBdr>
                    <w:top w:val="none" w:sz="0" w:space="0" w:color="auto"/>
                    <w:left w:val="none" w:sz="0" w:space="0" w:color="auto"/>
                    <w:bottom w:val="none" w:sz="0" w:space="0" w:color="auto"/>
                    <w:right w:val="none" w:sz="0" w:space="0" w:color="auto"/>
                  </w:divBdr>
                </w:div>
              </w:divsChild>
            </w:div>
            <w:div w:id="260646165">
              <w:marLeft w:val="0"/>
              <w:marRight w:val="0"/>
              <w:marTop w:val="0"/>
              <w:marBottom w:val="0"/>
              <w:divBdr>
                <w:top w:val="none" w:sz="0" w:space="0" w:color="auto"/>
                <w:left w:val="none" w:sz="0" w:space="0" w:color="auto"/>
                <w:bottom w:val="none" w:sz="0" w:space="0" w:color="auto"/>
                <w:right w:val="none" w:sz="0" w:space="0" w:color="auto"/>
              </w:divBdr>
              <w:divsChild>
                <w:div w:id="1500273357">
                  <w:marLeft w:val="0"/>
                  <w:marRight w:val="0"/>
                  <w:marTop w:val="0"/>
                  <w:marBottom w:val="0"/>
                  <w:divBdr>
                    <w:top w:val="none" w:sz="0" w:space="0" w:color="auto"/>
                    <w:left w:val="none" w:sz="0" w:space="0" w:color="auto"/>
                    <w:bottom w:val="none" w:sz="0" w:space="0" w:color="auto"/>
                    <w:right w:val="none" w:sz="0" w:space="0" w:color="auto"/>
                  </w:divBdr>
                </w:div>
              </w:divsChild>
            </w:div>
            <w:div w:id="274219496">
              <w:marLeft w:val="0"/>
              <w:marRight w:val="0"/>
              <w:marTop w:val="0"/>
              <w:marBottom w:val="0"/>
              <w:divBdr>
                <w:top w:val="none" w:sz="0" w:space="0" w:color="auto"/>
                <w:left w:val="none" w:sz="0" w:space="0" w:color="auto"/>
                <w:bottom w:val="none" w:sz="0" w:space="0" w:color="auto"/>
                <w:right w:val="none" w:sz="0" w:space="0" w:color="auto"/>
              </w:divBdr>
              <w:divsChild>
                <w:div w:id="913973244">
                  <w:marLeft w:val="0"/>
                  <w:marRight w:val="0"/>
                  <w:marTop w:val="0"/>
                  <w:marBottom w:val="0"/>
                  <w:divBdr>
                    <w:top w:val="none" w:sz="0" w:space="0" w:color="auto"/>
                    <w:left w:val="none" w:sz="0" w:space="0" w:color="auto"/>
                    <w:bottom w:val="none" w:sz="0" w:space="0" w:color="auto"/>
                    <w:right w:val="none" w:sz="0" w:space="0" w:color="auto"/>
                  </w:divBdr>
                </w:div>
              </w:divsChild>
            </w:div>
            <w:div w:id="290481556">
              <w:marLeft w:val="0"/>
              <w:marRight w:val="0"/>
              <w:marTop w:val="0"/>
              <w:marBottom w:val="0"/>
              <w:divBdr>
                <w:top w:val="none" w:sz="0" w:space="0" w:color="auto"/>
                <w:left w:val="none" w:sz="0" w:space="0" w:color="auto"/>
                <w:bottom w:val="none" w:sz="0" w:space="0" w:color="auto"/>
                <w:right w:val="none" w:sz="0" w:space="0" w:color="auto"/>
              </w:divBdr>
              <w:divsChild>
                <w:div w:id="887956426">
                  <w:marLeft w:val="0"/>
                  <w:marRight w:val="0"/>
                  <w:marTop w:val="0"/>
                  <w:marBottom w:val="0"/>
                  <w:divBdr>
                    <w:top w:val="none" w:sz="0" w:space="0" w:color="auto"/>
                    <w:left w:val="none" w:sz="0" w:space="0" w:color="auto"/>
                    <w:bottom w:val="none" w:sz="0" w:space="0" w:color="auto"/>
                    <w:right w:val="none" w:sz="0" w:space="0" w:color="auto"/>
                  </w:divBdr>
                </w:div>
              </w:divsChild>
            </w:div>
            <w:div w:id="319388001">
              <w:marLeft w:val="0"/>
              <w:marRight w:val="0"/>
              <w:marTop w:val="0"/>
              <w:marBottom w:val="0"/>
              <w:divBdr>
                <w:top w:val="none" w:sz="0" w:space="0" w:color="auto"/>
                <w:left w:val="none" w:sz="0" w:space="0" w:color="auto"/>
                <w:bottom w:val="none" w:sz="0" w:space="0" w:color="auto"/>
                <w:right w:val="none" w:sz="0" w:space="0" w:color="auto"/>
              </w:divBdr>
              <w:divsChild>
                <w:div w:id="49615525">
                  <w:marLeft w:val="0"/>
                  <w:marRight w:val="0"/>
                  <w:marTop w:val="0"/>
                  <w:marBottom w:val="0"/>
                  <w:divBdr>
                    <w:top w:val="none" w:sz="0" w:space="0" w:color="auto"/>
                    <w:left w:val="none" w:sz="0" w:space="0" w:color="auto"/>
                    <w:bottom w:val="none" w:sz="0" w:space="0" w:color="auto"/>
                    <w:right w:val="none" w:sz="0" w:space="0" w:color="auto"/>
                  </w:divBdr>
                </w:div>
                <w:div w:id="1238901349">
                  <w:marLeft w:val="0"/>
                  <w:marRight w:val="0"/>
                  <w:marTop w:val="0"/>
                  <w:marBottom w:val="0"/>
                  <w:divBdr>
                    <w:top w:val="none" w:sz="0" w:space="0" w:color="auto"/>
                    <w:left w:val="none" w:sz="0" w:space="0" w:color="auto"/>
                    <w:bottom w:val="none" w:sz="0" w:space="0" w:color="auto"/>
                    <w:right w:val="none" w:sz="0" w:space="0" w:color="auto"/>
                  </w:divBdr>
                </w:div>
                <w:div w:id="1787121429">
                  <w:marLeft w:val="0"/>
                  <w:marRight w:val="0"/>
                  <w:marTop w:val="0"/>
                  <w:marBottom w:val="0"/>
                  <w:divBdr>
                    <w:top w:val="none" w:sz="0" w:space="0" w:color="auto"/>
                    <w:left w:val="none" w:sz="0" w:space="0" w:color="auto"/>
                    <w:bottom w:val="none" w:sz="0" w:space="0" w:color="auto"/>
                    <w:right w:val="none" w:sz="0" w:space="0" w:color="auto"/>
                  </w:divBdr>
                </w:div>
              </w:divsChild>
            </w:div>
            <w:div w:id="367027431">
              <w:marLeft w:val="0"/>
              <w:marRight w:val="0"/>
              <w:marTop w:val="0"/>
              <w:marBottom w:val="0"/>
              <w:divBdr>
                <w:top w:val="none" w:sz="0" w:space="0" w:color="auto"/>
                <w:left w:val="none" w:sz="0" w:space="0" w:color="auto"/>
                <w:bottom w:val="none" w:sz="0" w:space="0" w:color="auto"/>
                <w:right w:val="none" w:sz="0" w:space="0" w:color="auto"/>
              </w:divBdr>
              <w:divsChild>
                <w:div w:id="1411926752">
                  <w:marLeft w:val="0"/>
                  <w:marRight w:val="0"/>
                  <w:marTop w:val="0"/>
                  <w:marBottom w:val="0"/>
                  <w:divBdr>
                    <w:top w:val="none" w:sz="0" w:space="0" w:color="auto"/>
                    <w:left w:val="none" w:sz="0" w:space="0" w:color="auto"/>
                    <w:bottom w:val="none" w:sz="0" w:space="0" w:color="auto"/>
                    <w:right w:val="none" w:sz="0" w:space="0" w:color="auto"/>
                  </w:divBdr>
                </w:div>
              </w:divsChild>
            </w:div>
            <w:div w:id="426272023">
              <w:marLeft w:val="0"/>
              <w:marRight w:val="0"/>
              <w:marTop w:val="0"/>
              <w:marBottom w:val="0"/>
              <w:divBdr>
                <w:top w:val="none" w:sz="0" w:space="0" w:color="auto"/>
                <w:left w:val="none" w:sz="0" w:space="0" w:color="auto"/>
                <w:bottom w:val="none" w:sz="0" w:space="0" w:color="auto"/>
                <w:right w:val="none" w:sz="0" w:space="0" w:color="auto"/>
              </w:divBdr>
              <w:divsChild>
                <w:div w:id="124156086">
                  <w:marLeft w:val="0"/>
                  <w:marRight w:val="0"/>
                  <w:marTop w:val="0"/>
                  <w:marBottom w:val="0"/>
                  <w:divBdr>
                    <w:top w:val="none" w:sz="0" w:space="0" w:color="auto"/>
                    <w:left w:val="none" w:sz="0" w:space="0" w:color="auto"/>
                    <w:bottom w:val="none" w:sz="0" w:space="0" w:color="auto"/>
                    <w:right w:val="none" w:sz="0" w:space="0" w:color="auto"/>
                  </w:divBdr>
                </w:div>
                <w:div w:id="504784475">
                  <w:marLeft w:val="0"/>
                  <w:marRight w:val="0"/>
                  <w:marTop w:val="0"/>
                  <w:marBottom w:val="0"/>
                  <w:divBdr>
                    <w:top w:val="none" w:sz="0" w:space="0" w:color="auto"/>
                    <w:left w:val="none" w:sz="0" w:space="0" w:color="auto"/>
                    <w:bottom w:val="none" w:sz="0" w:space="0" w:color="auto"/>
                    <w:right w:val="none" w:sz="0" w:space="0" w:color="auto"/>
                  </w:divBdr>
                </w:div>
                <w:div w:id="1167862934">
                  <w:marLeft w:val="0"/>
                  <w:marRight w:val="0"/>
                  <w:marTop w:val="0"/>
                  <w:marBottom w:val="0"/>
                  <w:divBdr>
                    <w:top w:val="none" w:sz="0" w:space="0" w:color="auto"/>
                    <w:left w:val="none" w:sz="0" w:space="0" w:color="auto"/>
                    <w:bottom w:val="none" w:sz="0" w:space="0" w:color="auto"/>
                    <w:right w:val="none" w:sz="0" w:space="0" w:color="auto"/>
                  </w:divBdr>
                </w:div>
              </w:divsChild>
            </w:div>
            <w:div w:id="455947217">
              <w:marLeft w:val="0"/>
              <w:marRight w:val="0"/>
              <w:marTop w:val="0"/>
              <w:marBottom w:val="0"/>
              <w:divBdr>
                <w:top w:val="none" w:sz="0" w:space="0" w:color="auto"/>
                <w:left w:val="none" w:sz="0" w:space="0" w:color="auto"/>
                <w:bottom w:val="none" w:sz="0" w:space="0" w:color="auto"/>
                <w:right w:val="none" w:sz="0" w:space="0" w:color="auto"/>
              </w:divBdr>
              <w:divsChild>
                <w:div w:id="399252936">
                  <w:marLeft w:val="0"/>
                  <w:marRight w:val="0"/>
                  <w:marTop w:val="0"/>
                  <w:marBottom w:val="0"/>
                  <w:divBdr>
                    <w:top w:val="none" w:sz="0" w:space="0" w:color="auto"/>
                    <w:left w:val="none" w:sz="0" w:space="0" w:color="auto"/>
                    <w:bottom w:val="none" w:sz="0" w:space="0" w:color="auto"/>
                    <w:right w:val="none" w:sz="0" w:space="0" w:color="auto"/>
                  </w:divBdr>
                </w:div>
              </w:divsChild>
            </w:div>
            <w:div w:id="507788818">
              <w:marLeft w:val="0"/>
              <w:marRight w:val="0"/>
              <w:marTop w:val="0"/>
              <w:marBottom w:val="0"/>
              <w:divBdr>
                <w:top w:val="none" w:sz="0" w:space="0" w:color="auto"/>
                <w:left w:val="none" w:sz="0" w:space="0" w:color="auto"/>
                <w:bottom w:val="none" w:sz="0" w:space="0" w:color="auto"/>
                <w:right w:val="none" w:sz="0" w:space="0" w:color="auto"/>
              </w:divBdr>
              <w:divsChild>
                <w:div w:id="982736636">
                  <w:marLeft w:val="0"/>
                  <w:marRight w:val="0"/>
                  <w:marTop w:val="0"/>
                  <w:marBottom w:val="0"/>
                  <w:divBdr>
                    <w:top w:val="none" w:sz="0" w:space="0" w:color="auto"/>
                    <w:left w:val="none" w:sz="0" w:space="0" w:color="auto"/>
                    <w:bottom w:val="none" w:sz="0" w:space="0" w:color="auto"/>
                    <w:right w:val="none" w:sz="0" w:space="0" w:color="auto"/>
                  </w:divBdr>
                </w:div>
              </w:divsChild>
            </w:div>
            <w:div w:id="579406504">
              <w:marLeft w:val="0"/>
              <w:marRight w:val="0"/>
              <w:marTop w:val="0"/>
              <w:marBottom w:val="0"/>
              <w:divBdr>
                <w:top w:val="none" w:sz="0" w:space="0" w:color="auto"/>
                <w:left w:val="none" w:sz="0" w:space="0" w:color="auto"/>
                <w:bottom w:val="none" w:sz="0" w:space="0" w:color="auto"/>
                <w:right w:val="none" w:sz="0" w:space="0" w:color="auto"/>
              </w:divBdr>
              <w:divsChild>
                <w:div w:id="1295602321">
                  <w:marLeft w:val="0"/>
                  <w:marRight w:val="0"/>
                  <w:marTop w:val="0"/>
                  <w:marBottom w:val="0"/>
                  <w:divBdr>
                    <w:top w:val="none" w:sz="0" w:space="0" w:color="auto"/>
                    <w:left w:val="none" w:sz="0" w:space="0" w:color="auto"/>
                    <w:bottom w:val="none" w:sz="0" w:space="0" w:color="auto"/>
                    <w:right w:val="none" w:sz="0" w:space="0" w:color="auto"/>
                  </w:divBdr>
                </w:div>
              </w:divsChild>
            </w:div>
            <w:div w:id="608851414">
              <w:marLeft w:val="0"/>
              <w:marRight w:val="0"/>
              <w:marTop w:val="0"/>
              <w:marBottom w:val="0"/>
              <w:divBdr>
                <w:top w:val="none" w:sz="0" w:space="0" w:color="auto"/>
                <w:left w:val="none" w:sz="0" w:space="0" w:color="auto"/>
                <w:bottom w:val="none" w:sz="0" w:space="0" w:color="auto"/>
                <w:right w:val="none" w:sz="0" w:space="0" w:color="auto"/>
              </w:divBdr>
              <w:divsChild>
                <w:div w:id="436297949">
                  <w:marLeft w:val="0"/>
                  <w:marRight w:val="0"/>
                  <w:marTop w:val="0"/>
                  <w:marBottom w:val="0"/>
                  <w:divBdr>
                    <w:top w:val="none" w:sz="0" w:space="0" w:color="auto"/>
                    <w:left w:val="none" w:sz="0" w:space="0" w:color="auto"/>
                    <w:bottom w:val="none" w:sz="0" w:space="0" w:color="auto"/>
                    <w:right w:val="none" w:sz="0" w:space="0" w:color="auto"/>
                  </w:divBdr>
                </w:div>
                <w:div w:id="745494835">
                  <w:marLeft w:val="0"/>
                  <w:marRight w:val="0"/>
                  <w:marTop w:val="0"/>
                  <w:marBottom w:val="0"/>
                  <w:divBdr>
                    <w:top w:val="none" w:sz="0" w:space="0" w:color="auto"/>
                    <w:left w:val="none" w:sz="0" w:space="0" w:color="auto"/>
                    <w:bottom w:val="none" w:sz="0" w:space="0" w:color="auto"/>
                    <w:right w:val="none" w:sz="0" w:space="0" w:color="auto"/>
                  </w:divBdr>
                </w:div>
              </w:divsChild>
            </w:div>
            <w:div w:id="646974471">
              <w:marLeft w:val="0"/>
              <w:marRight w:val="0"/>
              <w:marTop w:val="0"/>
              <w:marBottom w:val="0"/>
              <w:divBdr>
                <w:top w:val="none" w:sz="0" w:space="0" w:color="auto"/>
                <w:left w:val="none" w:sz="0" w:space="0" w:color="auto"/>
                <w:bottom w:val="none" w:sz="0" w:space="0" w:color="auto"/>
                <w:right w:val="none" w:sz="0" w:space="0" w:color="auto"/>
              </w:divBdr>
              <w:divsChild>
                <w:div w:id="551474">
                  <w:marLeft w:val="0"/>
                  <w:marRight w:val="0"/>
                  <w:marTop w:val="0"/>
                  <w:marBottom w:val="0"/>
                  <w:divBdr>
                    <w:top w:val="none" w:sz="0" w:space="0" w:color="auto"/>
                    <w:left w:val="none" w:sz="0" w:space="0" w:color="auto"/>
                    <w:bottom w:val="none" w:sz="0" w:space="0" w:color="auto"/>
                    <w:right w:val="none" w:sz="0" w:space="0" w:color="auto"/>
                  </w:divBdr>
                </w:div>
              </w:divsChild>
            </w:div>
            <w:div w:id="698049669">
              <w:marLeft w:val="0"/>
              <w:marRight w:val="0"/>
              <w:marTop w:val="0"/>
              <w:marBottom w:val="0"/>
              <w:divBdr>
                <w:top w:val="none" w:sz="0" w:space="0" w:color="auto"/>
                <w:left w:val="none" w:sz="0" w:space="0" w:color="auto"/>
                <w:bottom w:val="none" w:sz="0" w:space="0" w:color="auto"/>
                <w:right w:val="none" w:sz="0" w:space="0" w:color="auto"/>
              </w:divBdr>
              <w:divsChild>
                <w:div w:id="1561017626">
                  <w:marLeft w:val="0"/>
                  <w:marRight w:val="0"/>
                  <w:marTop w:val="0"/>
                  <w:marBottom w:val="0"/>
                  <w:divBdr>
                    <w:top w:val="none" w:sz="0" w:space="0" w:color="auto"/>
                    <w:left w:val="none" w:sz="0" w:space="0" w:color="auto"/>
                    <w:bottom w:val="none" w:sz="0" w:space="0" w:color="auto"/>
                    <w:right w:val="none" w:sz="0" w:space="0" w:color="auto"/>
                  </w:divBdr>
                </w:div>
              </w:divsChild>
            </w:div>
            <w:div w:id="717361017">
              <w:marLeft w:val="0"/>
              <w:marRight w:val="0"/>
              <w:marTop w:val="0"/>
              <w:marBottom w:val="0"/>
              <w:divBdr>
                <w:top w:val="none" w:sz="0" w:space="0" w:color="auto"/>
                <w:left w:val="none" w:sz="0" w:space="0" w:color="auto"/>
                <w:bottom w:val="none" w:sz="0" w:space="0" w:color="auto"/>
                <w:right w:val="none" w:sz="0" w:space="0" w:color="auto"/>
              </w:divBdr>
              <w:divsChild>
                <w:div w:id="80878171">
                  <w:marLeft w:val="0"/>
                  <w:marRight w:val="0"/>
                  <w:marTop w:val="0"/>
                  <w:marBottom w:val="0"/>
                  <w:divBdr>
                    <w:top w:val="none" w:sz="0" w:space="0" w:color="auto"/>
                    <w:left w:val="none" w:sz="0" w:space="0" w:color="auto"/>
                    <w:bottom w:val="none" w:sz="0" w:space="0" w:color="auto"/>
                    <w:right w:val="none" w:sz="0" w:space="0" w:color="auto"/>
                  </w:divBdr>
                </w:div>
                <w:div w:id="728959748">
                  <w:marLeft w:val="0"/>
                  <w:marRight w:val="0"/>
                  <w:marTop w:val="0"/>
                  <w:marBottom w:val="0"/>
                  <w:divBdr>
                    <w:top w:val="none" w:sz="0" w:space="0" w:color="auto"/>
                    <w:left w:val="none" w:sz="0" w:space="0" w:color="auto"/>
                    <w:bottom w:val="none" w:sz="0" w:space="0" w:color="auto"/>
                    <w:right w:val="none" w:sz="0" w:space="0" w:color="auto"/>
                  </w:divBdr>
                </w:div>
              </w:divsChild>
            </w:div>
            <w:div w:id="764113221">
              <w:marLeft w:val="0"/>
              <w:marRight w:val="0"/>
              <w:marTop w:val="0"/>
              <w:marBottom w:val="0"/>
              <w:divBdr>
                <w:top w:val="none" w:sz="0" w:space="0" w:color="auto"/>
                <w:left w:val="none" w:sz="0" w:space="0" w:color="auto"/>
                <w:bottom w:val="none" w:sz="0" w:space="0" w:color="auto"/>
                <w:right w:val="none" w:sz="0" w:space="0" w:color="auto"/>
              </w:divBdr>
              <w:divsChild>
                <w:div w:id="1371418575">
                  <w:marLeft w:val="0"/>
                  <w:marRight w:val="0"/>
                  <w:marTop w:val="0"/>
                  <w:marBottom w:val="0"/>
                  <w:divBdr>
                    <w:top w:val="none" w:sz="0" w:space="0" w:color="auto"/>
                    <w:left w:val="none" w:sz="0" w:space="0" w:color="auto"/>
                    <w:bottom w:val="none" w:sz="0" w:space="0" w:color="auto"/>
                    <w:right w:val="none" w:sz="0" w:space="0" w:color="auto"/>
                  </w:divBdr>
                </w:div>
              </w:divsChild>
            </w:div>
            <w:div w:id="786194669">
              <w:marLeft w:val="0"/>
              <w:marRight w:val="0"/>
              <w:marTop w:val="0"/>
              <w:marBottom w:val="0"/>
              <w:divBdr>
                <w:top w:val="none" w:sz="0" w:space="0" w:color="auto"/>
                <w:left w:val="none" w:sz="0" w:space="0" w:color="auto"/>
                <w:bottom w:val="none" w:sz="0" w:space="0" w:color="auto"/>
                <w:right w:val="none" w:sz="0" w:space="0" w:color="auto"/>
              </w:divBdr>
              <w:divsChild>
                <w:div w:id="120617987">
                  <w:marLeft w:val="0"/>
                  <w:marRight w:val="0"/>
                  <w:marTop w:val="0"/>
                  <w:marBottom w:val="0"/>
                  <w:divBdr>
                    <w:top w:val="none" w:sz="0" w:space="0" w:color="auto"/>
                    <w:left w:val="none" w:sz="0" w:space="0" w:color="auto"/>
                    <w:bottom w:val="none" w:sz="0" w:space="0" w:color="auto"/>
                    <w:right w:val="none" w:sz="0" w:space="0" w:color="auto"/>
                  </w:divBdr>
                </w:div>
              </w:divsChild>
            </w:div>
            <w:div w:id="801383156">
              <w:marLeft w:val="0"/>
              <w:marRight w:val="0"/>
              <w:marTop w:val="0"/>
              <w:marBottom w:val="0"/>
              <w:divBdr>
                <w:top w:val="none" w:sz="0" w:space="0" w:color="auto"/>
                <w:left w:val="none" w:sz="0" w:space="0" w:color="auto"/>
                <w:bottom w:val="none" w:sz="0" w:space="0" w:color="auto"/>
                <w:right w:val="none" w:sz="0" w:space="0" w:color="auto"/>
              </w:divBdr>
              <w:divsChild>
                <w:div w:id="1377386398">
                  <w:marLeft w:val="0"/>
                  <w:marRight w:val="0"/>
                  <w:marTop w:val="0"/>
                  <w:marBottom w:val="0"/>
                  <w:divBdr>
                    <w:top w:val="none" w:sz="0" w:space="0" w:color="auto"/>
                    <w:left w:val="none" w:sz="0" w:space="0" w:color="auto"/>
                    <w:bottom w:val="none" w:sz="0" w:space="0" w:color="auto"/>
                    <w:right w:val="none" w:sz="0" w:space="0" w:color="auto"/>
                  </w:divBdr>
                </w:div>
              </w:divsChild>
            </w:div>
            <w:div w:id="912739687">
              <w:marLeft w:val="0"/>
              <w:marRight w:val="0"/>
              <w:marTop w:val="0"/>
              <w:marBottom w:val="0"/>
              <w:divBdr>
                <w:top w:val="none" w:sz="0" w:space="0" w:color="auto"/>
                <w:left w:val="none" w:sz="0" w:space="0" w:color="auto"/>
                <w:bottom w:val="none" w:sz="0" w:space="0" w:color="auto"/>
                <w:right w:val="none" w:sz="0" w:space="0" w:color="auto"/>
              </w:divBdr>
              <w:divsChild>
                <w:div w:id="295644715">
                  <w:marLeft w:val="0"/>
                  <w:marRight w:val="0"/>
                  <w:marTop w:val="0"/>
                  <w:marBottom w:val="0"/>
                  <w:divBdr>
                    <w:top w:val="none" w:sz="0" w:space="0" w:color="auto"/>
                    <w:left w:val="none" w:sz="0" w:space="0" w:color="auto"/>
                    <w:bottom w:val="none" w:sz="0" w:space="0" w:color="auto"/>
                    <w:right w:val="none" w:sz="0" w:space="0" w:color="auto"/>
                  </w:divBdr>
                </w:div>
              </w:divsChild>
            </w:div>
            <w:div w:id="913009924">
              <w:marLeft w:val="0"/>
              <w:marRight w:val="0"/>
              <w:marTop w:val="0"/>
              <w:marBottom w:val="0"/>
              <w:divBdr>
                <w:top w:val="none" w:sz="0" w:space="0" w:color="auto"/>
                <w:left w:val="none" w:sz="0" w:space="0" w:color="auto"/>
                <w:bottom w:val="none" w:sz="0" w:space="0" w:color="auto"/>
                <w:right w:val="none" w:sz="0" w:space="0" w:color="auto"/>
              </w:divBdr>
              <w:divsChild>
                <w:div w:id="169637614">
                  <w:marLeft w:val="0"/>
                  <w:marRight w:val="0"/>
                  <w:marTop w:val="0"/>
                  <w:marBottom w:val="0"/>
                  <w:divBdr>
                    <w:top w:val="none" w:sz="0" w:space="0" w:color="auto"/>
                    <w:left w:val="none" w:sz="0" w:space="0" w:color="auto"/>
                    <w:bottom w:val="none" w:sz="0" w:space="0" w:color="auto"/>
                    <w:right w:val="none" w:sz="0" w:space="0" w:color="auto"/>
                  </w:divBdr>
                </w:div>
              </w:divsChild>
            </w:div>
            <w:div w:id="931206945">
              <w:marLeft w:val="0"/>
              <w:marRight w:val="0"/>
              <w:marTop w:val="0"/>
              <w:marBottom w:val="0"/>
              <w:divBdr>
                <w:top w:val="none" w:sz="0" w:space="0" w:color="auto"/>
                <w:left w:val="none" w:sz="0" w:space="0" w:color="auto"/>
                <w:bottom w:val="none" w:sz="0" w:space="0" w:color="auto"/>
                <w:right w:val="none" w:sz="0" w:space="0" w:color="auto"/>
              </w:divBdr>
              <w:divsChild>
                <w:div w:id="743261687">
                  <w:marLeft w:val="0"/>
                  <w:marRight w:val="0"/>
                  <w:marTop w:val="0"/>
                  <w:marBottom w:val="0"/>
                  <w:divBdr>
                    <w:top w:val="none" w:sz="0" w:space="0" w:color="auto"/>
                    <w:left w:val="none" w:sz="0" w:space="0" w:color="auto"/>
                    <w:bottom w:val="none" w:sz="0" w:space="0" w:color="auto"/>
                    <w:right w:val="none" w:sz="0" w:space="0" w:color="auto"/>
                  </w:divBdr>
                </w:div>
              </w:divsChild>
            </w:div>
            <w:div w:id="947663246">
              <w:marLeft w:val="0"/>
              <w:marRight w:val="0"/>
              <w:marTop w:val="0"/>
              <w:marBottom w:val="0"/>
              <w:divBdr>
                <w:top w:val="none" w:sz="0" w:space="0" w:color="auto"/>
                <w:left w:val="none" w:sz="0" w:space="0" w:color="auto"/>
                <w:bottom w:val="none" w:sz="0" w:space="0" w:color="auto"/>
                <w:right w:val="none" w:sz="0" w:space="0" w:color="auto"/>
              </w:divBdr>
              <w:divsChild>
                <w:div w:id="243806506">
                  <w:marLeft w:val="0"/>
                  <w:marRight w:val="0"/>
                  <w:marTop w:val="0"/>
                  <w:marBottom w:val="0"/>
                  <w:divBdr>
                    <w:top w:val="none" w:sz="0" w:space="0" w:color="auto"/>
                    <w:left w:val="none" w:sz="0" w:space="0" w:color="auto"/>
                    <w:bottom w:val="none" w:sz="0" w:space="0" w:color="auto"/>
                    <w:right w:val="none" w:sz="0" w:space="0" w:color="auto"/>
                  </w:divBdr>
                </w:div>
              </w:divsChild>
            </w:div>
            <w:div w:id="1014301632">
              <w:marLeft w:val="0"/>
              <w:marRight w:val="0"/>
              <w:marTop w:val="0"/>
              <w:marBottom w:val="0"/>
              <w:divBdr>
                <w:top w:val="none" w:sz="0" w:space="0" w:color="auto"/>
                <w:left w:val="none" w:sz="0" w:space="0" w:color="auto"/>
                <w:bottom w:val="none" w:sz="0" w:space="0" w:color="auto"/>
                <w:right w:val="none" w:sz="0" w:space="0" w:color="auto"/>
              </w:divBdr>
              <w:divsChild>
                <w:div w:id="2065714810">
                  <w:marLeft w:val="0"/>
                  <w:marRight w:val="0"/>
                  <w:marTop w:val="0"/>
                  <w:marBottom w:val="0"/>
                  <w:divBdr>
                    <w:top w:val="none" w:sz="0" w:space="0" w:color="auto"/>
                    <w:left w:val="none" w:sz="0" w:space="0" w:color="auto"/>
                    <w:bottom w:val="none" w:sz="0" w:space="0" w:color="auto"/>
                    <w:right w:val="none" w:sz="0" w:space="0" w:color="auto"/>
                  </w:divBdr>
                </w:div>
              </w:divsChild>
            </w:div>
            <w:div w:id="1084182426">
              <w:marLeft w:val="0"/>
              <w:marRight w:val="0"/>
              <w:marTop w:val="0"/>
              <w:marBottom w:val="0"/>
              <w:divBdr>
                <w:top w:val="none" w:sz="0" w:space="0" w:color="auto"/>
                <w:left w:val="none" w:sz="0" w:space="0" w:color="auto"/>
                <w:bottom w:val="none" w:sz="0" w:space="0" w:color="auto"/>
                <w:right w:val="none" w:sz="0" w:space="0" w:color="auto"/>
              </w:divBdr>
              <w:divsChild>
                <w:div w:id="968316649">
                  <w:marLeft w:val="0"/>
                  <w:marRight w:val="0"/>
                  <w:marTop w:val="0"/>
                  <w:marBottom w:val="0"/>
                  <w:divBdr>
                    <w:top w:val="none" w:sz="0" w:space="0" w:color="auto"/>
                    <w:left w:val="none" w:sz="0" w:space="0" w:color="auto"/>
                    <w:bottom w:val="none" w:sz="0" w:space="0" w:color="auto"/>
                    <w:right w:val="none" w:sz="0" w:space="0" w:color="auto"/>
                  </w:divBdr>
                </w:div>
              </w:divsChild>
            </w:div>
            <w:div w:id="1104110993">
              <w:marLeft w:val="0"/>
              <w:marRight w:val="0"/>
              <w:marTop w:val="0"/>
              <w:marBottom w:val="0"/>
              <w:divBdr>
                <w:top w:val="none" w:sz="0" w:space="0" w:color="auto"/>
                <w:left w:val="none" w:sz="0" w:space="0" w:color="auto"/>
                <w:bottom w:val="none" w:sz="0" w:space="0" w:color="auto"/>
                <w:right w:val="none" w:sz="0" w:space="0" w:color="auto"/>
              </w:divBdr>
              <w:divsChild>
                <w:div w:id="1552039508">
                  <w:marLeft w:val="0"/>
                  <w:marRight w:val="0"/>
                  <w:marTop w:val="0"/>
                  <w:marBottom w:val="0"/>
                  <w:divBdr>
                    <w:top w:val="none" w:sz="0" w:space="0" w:color="auto"/>
                    <w:left w:val="none" w:sz="0" w:space="0" w:color="auto"/>
                    <w:bottom w:val="none" w:sz="0" w:space="0" w:color="auto"/>
                    <w:right w:val="none" w:sz="0" w:space="0" w:color="auto"/>
                  </w:divBdr>
                </w:div>
              </w:divsChild>
            </w:div>
            <w:div w:id="1177381252">
              <w:marLeft w:val="0"/>
              <w:marRight w:val="0"/>
              <w:marTop w:val="0"/>
              <w:marBottom w:val="0"/>
              <w:divBdr>
                <w:top w:val="none" w:sz="0" w:space="0" w:color="auto"/>
                <w:left w:val="none" w:sz="0" w:space="0" w:color="auto"/>
                <w:bottom w:val="none" w:sz="0" w:space="0" w:color="auto"/>
                <w:right w:val="none" w:sz="0" w:space="0" w:color="auto"/>
              </w:divBdr>
              <w:divsChild>
                <w:div w:id="140655812">
                  <w:marLeft w:val="0"/>
                  <w:marRight w:val="0"/>
                  <w:marTop w:val="0"/>
                  <w:marBottom w:val="0"/>
                  <w:divBdr>
                    <w:top w:val="none" w:sz="0" w:space="0" w:color="auto"/>
                    <w:left w:val="none" w:sz="0" w:space="0" w:color="auto"/>
                    <w:bottom w:val="none" w:sz="0" w:space="0" w:color="auto"/>
                    <w:right w:val="none" w:sz="0" w:space="0" w:color="auto"/>
                  </w:divBdr>
                </w:div>
              </w:divsChild>
            </w:div>
            <w:div w:id="1179001679">
              <w:marLeft w:val="0"/>
              <w:marRight w:val="0"/>
              <w:marTop w:val="0"/>
              <w:marBottom w:val="0"/>
              <w:divBdr>
                <w:top w:val="none" w:sz="0" w:space="0" w:color="auto"/>
                <w:left w:val="none" w:sz="0" w:space="0" w:color="auto"/>
                <w:bottom w:val="none" w:sz="0" w:space="0" w:color="auto"/>
                <w:right w:val="none" w:sz="0" w:space="0" w:color="auto"/>
              </w:divBdr>
              <w:divsChild>
                <w:div w:id="711540172">
                  <w:marLeft w:val="0"/>
                  <w:marRight w:val="0"/>
                  <w:marTop w:val="0"/>
                  <w:marBottom w:val="0"/>
                  <w:divBdr>
                    <w:top w:val="none" w:sz="0" w:space="0" w:color="auto"/>
                    <w:left w:val="none" w:sz="0" w:space="0" w:color="auto"/>
                    <w:bottom w:val="none" w:sz="0" w:space="0" w:color="auto"/>
                    <w:right w:val="none" w:sz="0" w:space="0" w:color="auto"/>
                  </w:divBdr>
                </w:div>
              </w:divsChild>
            </w:div>
            <w:div w:id="1206411581">
              <w:marLeft w:val="0"/>
              <w:marRight w:val="0"/>
              <w:marTop w:val="0"/>
              <w:marBottom w:val="0"/>
              <w:divBdr>
                <w:top w:val="none" w:sz="0" w:space="0" w:color="auto"/>
                <w:left w:val="none" w:sz="0" w:space="0" w:color="auto"/>
                <w:bottom w:val="none" w:sz="0" w:space="0" w:color="auto"/>
                <w:right w:val="none" w:sz="0" w:space="0" w:color="auto"/>
              </w:divBdr>
              <w:divsChild>
                <w:div w:id="111561755">
                  <w:marLeft w:val="0"/>
                  <w:marRight w:val="0"/>
                  <w:marTop w:val="0"/>
                  <w:marBottom w:val="0"/>
                  <w:divBdr>
                    <w:top w:val="none" w:sz="0" w:space="0" w:color="auto"/>
                    <w:left w:val="none" w:sz="0" w:space="0" w:color="auto"/>
                    <w:bottom w:val="none" w:sz="0" w:space="0" w:color="auto"/>
                    <w:right w:val="none" w:sz="0" w:space="0" w:color="auto"/>
                  </w:divBdr>
                </w:div>
              </w:divsChild>
            </w:div>
            <w:div w:id="1208374179">
              <w:marLeft w:val="0"/>
              <w:marRight w:val="0"/>
              <w:marTop w:val="0"/>
              <w:marBottom w:val="0"/>
              <w:divBdr>
                <w:top w:val="none" w:sz="0" w:space="0" w:color="auto"/>
                <w:left w:val="none" w:sz="0" w:space="0" w:color="auto"/>
                <w:bottom w:val="none" w:sz="0" w:space="0" w:color="auto"/>
                <w:right w:val="none" w:sz="0" w:space="0" w:color="auto"/>
              </w:divBdr>
              <w:divsChild>
                <w:div w:id="107311983">
                  <w:marLeft w:val="0"/>
                  <w:marRight w:val="0"/>
                  <w:marTop w:val="0"/>
                  <w:marBottom w:val="0"/>
                  <w:divBdr>
                    <w:top w:val="none" w:sz="0" w:space="0" w:color="auto"/>
                    <w:left w:val="none" w:sz="0" w:space="0" w:color="auto"/>
                    <w:bottom w:val="none" w:sz="0" w:space="0" w:color="auto"/>
                    <w:right w:val="none" w:sz="0" w:space="0" w:color="auto"/>
                  </w:divBdr>
                </w:div>
                <w:div w:id="408306614">
                  <w:marLeft w:val="0"/>
                  <w:marRight w:val="0"/>
                  <w:marTop w:val="0"/>
                  <w:marBottom w:val="0"/>
                  <w:divBdr>
                    <w:top w:val="none" w:sz="0" w:space="0" w:color="auto"/>
                    <w:left w:val="none" w:sz="0" w:space="0" w:color="auto"/>
                    <w:bottom w:val="none" w:sz="0" w:space="0" w:color="auto"/>
                    <w:right w:val="none" w:sz="0" w:space="0" w:color="auto"/>
                  </w:divBdr>
                </w:div>
                <w:div w:id="685450456">
                  <w:marLeft w:val="0"/>
                  <w:marRight w:val="0"/>
                  <w:marTop w:val="0"/>
                  <w:marBottom w:val="0"/>
                  <w:divBdr>
                    <w:top w:val="none" w:sz="0" w:space="0" w:color="auto"/>
                    <w:left w:val="none" w:sz="0" w:space="0" w:color="auto"/>
                    <w:bottom w:val="none" w:sz="0" w:space="0" w:color="auto"/>
                    <w:right w:val="none" w:sz="0" w:space="0" w:color="auto"/>
                  </w:divBdr>
                </w:div>
                <w:div w:id="1515194254">
                  <w:marLeft w:val="0"/>
                  <w:marRight w:val="0"/>
                  <w:marTop w:val="0"/>
                  <w:marBottom w:val="0"/>
                  <w:divBdr>
                    <w:top w:val="none" w:sz="0" w:space="0" w:color="auto"/>
                    <w:left w:val="none" w:sz="0" w:space="0" w:color="auto"/>
                    <w:bottom w:val="none" w:sz="0" w:space="0" w:color="auto"/>
                    <w:right w:val="none" w:sz="0" w:space="0" w:color="auto"/>
                  </w:divBdr>
                </w:div>
              </w:divsChild>
            </w:div>
            <w:div w:id="1219124169">
              <w:marLeft w:val="0"/>
              <w:marRight w:val="0"/>
              <w:marTop w:val="0"/>
              <w:marBottom w:val="0"/>
              <w:divBdr>
                <w:top w:val="none" w:sz="0" w:space="0" w:color="auto"/>
                <w:left w:val="none" w:sz="0" w:space="0" w:color="auto"/>
                <w:bottom w:val="none" w:sz="0" w:space="0" w:color="auto"/>
                <w:right w:val="none" w:sz="0" w:space="0" w:color="auto"/>
              </w:divBdr>
              <w:divsChild>
                <w:div w:id="1952079770">
                  <w:marLeft w:val="0"/>
                  <w:marRight w:val="0"/>
                  <w:marTop w:val="0"/>
                  <w:marBottom w:val="0"/>
                  <w:divBdr>
                    <w:top w:val="none" w:sz="0" w:space="0" w:color="auto"/>
                    <w:left w:val="none" w:sz="0" w:space="0" w:color="auto"/>
                    <w:bottom w:val="none" w:sz="0" w:space="0" w:color="auto"/>
                    <w:right w:val="none" w:sz="0" w:space="0" w:color="auto"/>
                  </w:divBdr>
                </w:div>
              </w:divsChild>
            </w:div>
            <w:div w:id="1233276017">
              <w:marLeft w:val="0"/>
              <w:marRight w:val="0"/>
              <w:marTop w:val="0"/>
              <w:marBottom w:val="0"/>
              <w:divBdr>
                <w:top w:val="none" w:sz="0" w:space="0" w:color="auto"/>
                <w:left w:val="none" w:sz="0" w:space="0" w:color="auto"/>
                <w:bottom w:val="none" w:sz="0" w:space="0" w:color="auto"/>
                <w:right w:val="none" w:sz="0" w:space="0" w:color="auto"/>
              </w:divBdr>
              <w:divsChild>
                <w:div w:id="8414417">
                  <w:marLeft w:val="0"/>
                  <w:marRight w:val="0"/>
                  <w:marTop w:val="0"/>
                  <w:marBottom w:val="0"/>
                  <w:divBdr>
                    <w:top w:val="none" w:sz="0" w:space="0" w:color="auto"/>
                    <w:left w:val="none" w:sz="0" w:space="0" w:color="auto"/>
                    <w:bottom w:val="none" w:sz="0" w:space="0" w:color="auto"/>
                    <w:right w:val="none" w:sz="0" w:space="0" w:color="auto"/>
                  </w:divBdr>
                </w:div>
              </w:divsChild>
            </w:div>
            <w:div w:id="1243560393">
              <w:marLeft w:val="0"/>
              <w:marRight w:val="0"/>
              <w:marTop w:val="0"/>
              <w:marBottom w:val="0"/>
              <w:divBdr>
                <w:top w:val="none" w:sz="0" w:space="0" w:color="auto"/>
                <w:left w:val="none" w:sz="0" w:space="0" w:color="auto"/>
                <w:bottom w:val="none" w:sz="0" w:space="0" w:color="auto"/>
                <w:right w:val="none" w:sz="0" w:space="0" w:color="auto"/>
              </w:divBdr>
              <w:divsChild>
                <w:div w:id="170339546">
                  <w:marLeft w:val="0"/>
                  <w:marRight w:val="0"/>
                  <w:marTop w:val="0"/>
                  <w:marBottom w:val="0"/>
                  <w:divBdr>
                    <w:top w:val="none" w:sz="0" w:space="0" w:color="auto"/>
                    <w:left w:val="none" w:sz="0" w:space="0" w:color="auto"/>
                    <w:bottom w:val="none" w:sz="0" w:space="0" w:color="auto"/>
                    <w:right w:val="none" w:sz="0" w:space="0" w:color="auto"/>
                  </w:divBdr>
                </w:div>
              </w:divsChild>
            </w:div>
            <w:div w:id="1252618852">
              <w:marLeft w:val="0"/>
              <w:marRight w:val="0"/>
              <w:marTop w:val="0"/>
              <w:marBottom w:val="0"/>
              <w:divBdr>
                <w:top w:val="none" w:sz="0" w:space="0" w:color="auto"/>
                <w:left w:val="none" w:sz="0" w:space="0" w:color="auto"/>
                <w:bottom w:val="none" w:sz="0" w:space="0" w:color="auto"/>
                <w:right w:val="none" w:sz="0" w:space="0" w:color="auto"/>
              </w:divBdr>
              <w:divsChild>
                <w:div w:id="1644656547">
                  <w:marLeft w:val="0"/>
                  <w:marRight w:val="0"/>
                  <w:marTop w:val="0"/>
                  <w:marBottom w:val="0"/>
                  <w:divBdr>
                    <w:top w:val="none" w:sz="0" w:space="0" w:color="auto"/>
                    <w:left w:val="none" w:sz="0" w:space="0" w:color="auto"/>
                    <w:bottom w:val="none" w:sz="0" w:space="0" w:color="auto"/>
                    <w:right w:val="none" w:sz="0" w:space="0" w:color="auto"/>
                  </w:divBdr>
                </w:div>
              </w:divsChild>
            </w:div>
            <w:div w:id="1359235182">
              <w:marLeft w:val="0"/>
              <w:marRight w:val="0"/>
              <w:marTop w:val="0"/>
              <w:marBottom w:val="0"/>
              <w:divBdr>
                <w:top w:val="none" w:sz="0" w:space="0" w:color="auto"/>
                <w:left w:val="none" w:sz="0" w:space="0" w:color="auto"/>
                <w:bottom w:val="none" w:sz="0" w:space="0" w:color="auto"/>
                <w:right w:val="none" w:sz="0" w:space="0" w:color="auto"/>
              </w:divBdr>
              <w:divsChild>
                <w:div w:id="112556470">
                  <w:marLeft w:val="0"/>
                  <w:marRight w:val="0"/>
                  <w:marTop w:val="0"/>
                  <w:marBottom w:val="0"/>
                  <w:divBdr>
                    <w:top w:val="none" w:sz="0" w:space="0" w:color="auto"/>
                    <w:left w:val="none" w:sz="0" w:space="0" w:color="auto"/>
                    <w:bottom w:val="none" w:sz="0" w:space="0" w:color="auto"/>
                    <w:right w:val="none" w:sz="0" w:space="0" w:color="auto"/>
                  </w:divBdr>
                </w:div>
                <w:div w:id="1199513210">
                  <w:marLeft w:val="0"/>
                  <w:marRight w:val="0"/>
                  <w:marTop w:val="0"/>
                  <w:marBottom w:val="0"/>
                  <w:divBdr>
                    <w:top w:val="none" w:sz="0" w:space="0" w:color="auto"/>
                    <w:left w:val="none" w:sz="0" w:space="0" w:color="auto"/>
                    <w:bottom w:val="none" w:sz="0" w:space="0" w:color="auto"/>
                    <w:right w:val="none" w:sz="0" w:space="0" w:color="auto"/>
                  </w:divBdr>
                </w:div>
                <w:div w:id="1468085237">
                  <w:marLeft w:val="0"/>
                  <w:marRight w:val="0"/>
                  <w:marTop w:val="0"/>
                  <w:marBottom w:val="0"/>
                  <w:divBdr>
                    <w:top w:val="none" w:sz="0" w:space="0" w:color="auto"/>
                    <w:left w:val="none" w:sz="0" w:space="0" w:color="auto"/>
                    <w:bottom w:val="none" w:sz="0" w:space="0" w:color="auto"/>
                    <w:right w:val="none" w:sz="0" w:space="0" w:color="auto"/>
                  </w:divBdr>
                </w:div>
                <w:div w:id="1639608026">
                  <w:marLeft w:val="0"/>
                  <w:marRight w:val="0"/>
                  <w:marTop w:val="0"/>
                  <w:marBottom w:val="0"/>
                  <w:divBdr>
                    <w:top w:val="none" w:sz="0" w:space="0" w:color="auto"/>
                    <w:left w:val="none" w:sz="0" w:space="0" w:color="auto"/>
                    <w:bottom w:val="none" w:sz="0" w:space="0" w:color="auto"/>
                    <w:right w:val="none" w:sz="0" w:space="0" w:color="auto"/>
                  </w:divBdr>
                </w:div>
              </w:divsChild>
            </w:div>
            <w:div w:id="1385255782">
              <w:marLeft w:val="0"/>
              <w:marRight w:val="0"/>
              <w:marTop w:val="0"/>
              <w:marBottom w:val="0"/>
              <w:divBdr>
                <w:top w:val="none" w:sz="0" w:space="0" w:color="auto"/>
                <w:left w:val="none" w:sz="0" w:space="0" w:color="auto"/>
                <w:bottom w:val="none" w:sz="0" w:space="0" w:color="auto"/>
                <w:right w:val="none" w:sz="0" w:space="0" w:color="auto"/>
              </w:divBdr>
              <w:divsChild>
                <w:div w:id="378750633">
                  <w:marLeft w:val="0"/>
                  <w:marRight w:val="0"/>
                  <w:marTop w:val="0"/>
                  <w:marBottom w:val="0"/>
                  <w:divBdr>
                    <w:top w:val="none" w:sz="0" w:space="0" w:color="auto"/>
                    <w:left w:val="none" w:sz="0" w:space="0" w:color="auto"/>
                    <w:bottom w:val="none" w:sz="0" w:space="0" w:color="auto"/>
                    <w:right w:val="none" w:sz="0" w:space="0" w:color="auto"/>
                  </w:divBdr>
                </w:div>
              </w:divsChild>
            </w:div>
            <w:div w:id="1421566346">
              <w:marLeft w:val="0"/>
              <w:marRight w:val="0"/>
              <w:marTop w:val="0"/>
              <w:marBottom w:val="0"/>
              <w:divBdr>
                <w:top w:val="none" w:sz="0" w:space="0" w:color="auto"/>
                <w:left w:val="none" w:sz="0" w:space="0" w:color="auto"/>
                <w:bottom w:val="none" w:sz="0" w:space="0" w:color="auto"/>
                <w:right w:val="none" w:sz="0" w:space="0" w:color="auto"/>
              </w:divBdr>
              <w:divsChild>
                <w:div w:id="653341665">
                  <w:marLeft w:val="0"/>
                  <w:marRight w:val="0"/>
                  <w:marTop w:val="0"/>
                  <w:marBottom w:val="0"/>
                  <w:divBdr>
                    <w:top w:val="none" w:sz="0" w:space="0" w:color="auto"/>
                    <w:left w:val="none" w:sz="0" w:space="0" w:color="auto"/>
                    <w:bottom w:val="none" w:sz="0" w:space="0" w:color="auto"/>
                    <w:right w:val="none" w:sz="0" w:space="0" w:color="auto"/>
                  </w:divBdr>
                </w:div>
              </w:divsChild>
            </w:div>
            <w:div w:id="1458453714">
              <w:marLeft w:val="0"/>
              <w:marRight w:val="0"/>
              <w:marTop w:val="0"/>
              <w:marBottom w:val="0"/>
              <w:divBdr>
                <w:top w:val="none" w:sz="0" w:space="0" w:color="auto"/>
                <w:left w:val="none" w:sz="0" w:space="0" w:color="auto"/>
                <w:bottom w:val="none" w:sz="0" w:space="0" w:color="auto"/>
                <w:right w:val="none" w:sz="0" w:space="0" w:color="auto"/>
              </w:divBdr>
              <w:divsChild>
                <w:div w:id="127207814">
                  <w:marLeft w:val="0"/>
                  <w:marRight w:val="0"/>
                  <w:marTop w:val="0"/>
                  <w:marBottom w:val="0"/>
                  <w:divBdr>
                    <w:top w:val="none" w:sz="0" w:space="0" w:color="auto"/>
                    <w:left w:val="none" w:sz="0" w:space="0" w:color="auto"/>
                    <w:bottom w:val="none" w:sz="0" w:space="0" w:color="auto"/>
                    <w:right w:val="none" w:sz="0" w:space="0" w:color="auto"/>
                  </w:divBdr>
                </w:div>
              </w:divsChild>
            </w:div>
            <w:div w:id="1479569038">
              <w:marLeft w:val="0"/>
              <w:marRight w:val="0"/>
              <w:marTop w:val="0"/>
              <w:marBottom w:val="0"/>
              <w:divBdr>
                <w:top w:val="none" w:sz="0" w:space="0" w:color="auto"/>
                <w:left w:val="none" w:sz="0" w:space="0" w:color="auto"/>
                <w:bottom w:val="none" w:sz="0" w:space="0" w:color="auto"/>
                <w:right w:val="none" w:sz="0" w:space="0" w:color="auto"/>
              </w:divBdr>
              <w:divsChild>
                <w:div w:id="1840383899">
                  <w:marLeft w:val="0"/>
                  <w:marRight w:val="0"/>
                  <w:marTop w:val="0"/>
                  <w:marBottom w:val="0"/>
                  <w:divBdr>
                    <w:top w:val="none" w:sz="0" w:space="0" w:color="auto"/>
                    <w:left w:val="none" w:sz="0" w:space="0" w:color="auto"/>
                    <w:bottom w:val="none" w:sz="0" w:space="0" w:color="auto"/>
                    <w:right w:val="none" w:sz="0" w:space="0" w:color="auto"/>
                  </w:divBdr>
                </w:div>
              </w:divsChild>
            </w:div>
            <w:div w:id="1483043480">
              <w:marLeft w:val="0"/>
              <w:marRight w:val="0"/>
              <w:marTop w:val="0"/>
              <w:marBottom w:val="0"/>
              <w:divBdr>
                <w:top w:val="none" w:sz="0" w:space="0" w:color="auto"/>
                <w:left w:val="none" w:sz="0" w:space="0" w:color="auto"/>
                <w:bottom w:val="none" w:sz="0" w:space="0" w:color="auto"/>
                <w:right w:val="none" w:sz="0" w:space="0" w:color="auto"/>
              </w:divBdr>
              <w:divsChild>
                <w:div w:id="489292662">
                  <w:marLeft w:val="0"/>
                  <w:marRight w:val="0"/>
                  <w:marTop w:val="0"/>
                  <w:marBottom w:val="0"/>
                  <w:divBdr>
                    <w:top w:val="none" w:sz="0" w:space="0" w:color="auto"/>
                    <w:left w:val="none" w:sz="0" w:space="0" w:color="auto"/>
                    <w:bottom w:val="none" w:sz="0" w:space="0" w:color="auto"/>
                    <w:right w:val="none" w:sz="0" w:space="0" w:color="auto"/>
                  </w:divBdr>
                </w:div>
              </w:divsChild>
            </w:div>
            <w:div w:id="1490367423">
              <w:marLeft w:val="0"/>
              <w:marRight w:val="0"/>
              <w:marTop w:val="0"/>
              <w:marBottom w:val="0"/>
              <w:divBdr>
                <w:top w:val="none" w:sz="0" w:space="0" w:color="auto"/>
                <w:left w:val="none" w:sz="0" w:space="0" w:color="auto"/>
                <w:bottom w:val="none" w:sz="0" w:space="0" w:color="auto"/>
                <w:right w:val="none" w:sz="0" w:space="0" w:color="auto"/>
              </w:divBdr>
              <w:divsChild>
                <w:div w:id="402988347">
                  <w:marLeft w:val="0"/>
                  <w:marRight w:val="0"/>
                  <w:marTop w:val="0"/>
                  <w:marBottom w:val="0"/>
                  <w:divBdr>
                    <w:top w:val="none" w:sz="0" w:space="0" w:color="auto"/>
                    <w:left w:val="none" w:sz="0" w:space="0" w:color="auto"/>
                    <w:bottom w:val="none" w:sz="0" w:space="0" w:color="auto"/>
                    <w:right w:val="none" w:sz="0" w:space="0" w:color="auto"/>
                  </w:divBdr>
                </w:div>
                <w:div w:id="2045666653">
                  <w:marLeft w:val="0"/>
                  <w:marRight w:val="0"/>
                  <w:marTop w:val="0"/>
                  <w:marBottom w:val="0"/>
                  <w:divBdr>
                    <w:top w:val="none" w:sz="0" w:space="0" w:color="auto"/>
                    <w:left w:val="none" w:sz="0" w:space="0" w:color="auto"/>
                    <w:bottom w:val="none" w:sz="0" w:space="0" w:color="auto"/>
                    <w:right w:val="none" w:sz="0" w:space="0" w:color="auto"/>
                  </w:divBdr>
                </w:div>
              </w:divsChild>
            </w:div>
            <w:div w:id="1490438621">
              <w:marLeft w:val="0"/>
              <w:marRight w:val="0"/>
              <w:marTop w:val="0"/>
              <w:marBottom w:val="0"/>
              <w:divBdr>
                <w:top w:val="none" w:sz="0" w:space="0" w:color="auto"/>
                <w:left w:val="none" w:sz="0" w:space="0" w:color="auto"/>
                <w:bottom w:val="none" w:sz="0" w:space="0" w:color="auto"/>
                <w:right w:val="none" w:sz="0" w:space="0" w:color="auto"/>
              </w:divBdr>
              <w:divsChild>
                <w:div w:id="65419331">
                  <w:marLeft w:val="0"/>
                  <w:marRight w:val="0"/>
                  <w:marTop w:val="0"/>
                  <w:marBottom w:val="0"/>
                  <w:divBdr>
                    <w:top w:val="none" w:sz="0" w:space="0" w:color="auto"/>
                    <w:left w:val="none" w:sz="0" w:space="0" w:color="auto"/>
                    <w:bottom w:val="none" w:sz="0" w:space="0" w:color="auto"/>
                    <w:right w:val="none" w:sz="0" w:space="0" w:color="auto"/>
                  </w:divBdr>
                </w:div>
                <w:div w:id="412898890">
                  <w:marLeft w:val="0"/>
                  <w:marRight w:val="0"/>
                  <w:marTop w:val="0"/>
                  <w:marBottom w:val="0"/>
                  <w:divBdr>
                    <w:top w:val="none" w:sz="0" w:space="0" w:color="auto"/>
                    <w:left w:val="none" w:sz="0" w:space="0" w:color="auto"/>
                    <w:bottom w:val="none" w:sz="0" w:space="0" w:color="auto"/>
                    <w:right w:val="none" w:sz="0" w:space="0" w:color="auto"/>
                  </w:divBdr>
                </w:div>
                <w:div w:id="1032923917">
                  <w:marLeft w:val="0"/>
                  <w:marRight w:val="0"/>
                  <w:marTop w:val="0"/>
                  <w:marBottom w:val="0"/>
                  <w:divBdr>
                    <w:top w:val="none" w:sz="0" w:space="0" w:color="auto"/>
                    <w:left w:val="none" w:sz="0" w:space="0" w:color="auto"/>
                    <w:bottom w:val="none" w:sz="0" w:space="0" w:color="auto"/>
                    <w:right w:val="none" w:sz="0" w:space="0" w:color="auto"/>
                  </w:divBdr>
                </w:div>
                <w:div w:id="2114203704">
                  <w:marLeft w:val="0"/>
                  <w:marRight w:val="0"/>
                  <w:marTop w:val="0"/>
                  <w:marBottom w:val="0"/>
                  <w:divBdr>
                    <w:top w:val="none" w:sz="0" w:space="0" w:color="auto"/>
                    <w:left w:val="none" w:sz="0" w:space="0" w:color="auto"/>
                    <w:bottom w:val="none" w:sz="0" w:space="0" w:color="auto"/>
                    <w:right w:val="none" w:sz="0" w:space="0" w:color="auto"/>
                  </w:divBdr>
                </w:div>
              </w:divsChild>
            </w:div>
            <w:div w:id="1507791431">
              <w:marLeft w:val="0"/>
              <w:marRight w:val="0"/>
              <w:marTop w:val="0"/>
              <w:marBottom w:val="0"/>
              <w:divBdr>
                <w:top w:val="none" w:sz="0" w:space="0" w:color="auto"/>
                <w:left w:val="none" w:sz="0" w:space="0" w:color="auto"/>
                <w:bottom w:val="none" w:sz="0" w:space="0" w:color="auto"/>
                <w:right w:val="none" w:sz="0" w:space="0" w:color="auto"/>
              </w:divBdr>
              <w:divsChild>
                <w:div w:id="1797483243">
                  <w:marLeft w:val="0"/>
                  <w:marRight w:val="0"/>
                  <w:marTop w:val="0"/>
                  <w:marBottom w:val="0"/>
                  <w:divBdr>
                    <w:top w:val="none" w:sz="0" w:space="0" w:color="auto"/>
                    <w:left w:val="none" w:sz="0" w:space="0" w:color="auto"/>
                    <w:bottom w:val="none" w:sz="0" w:space="0" w:color="auto"/>
                    <w:right w:val="none" w:sz="0" w:space="0" w:color="auto"/>
                  </w:divBdr>
                </w:div>
              </w:divsChild>
            </w:div>
            <w:div w:id="1507867997">
              <w:marLeft w:val="0"/>
              <w:marRight w:val="0"/>
              <w:marTop w:val="0"/>
              <w:marBottom w:val="0"/>
              <w:divBdr>
                <w:top w:val="none" w:sz="0" w:space="0" w:color="auto"/>
                <w:left w:val="none" w:sz="0" w:space="0" w:color="auto"/>
                <w:bottom w:val="none" w:sz="0" w:space="0" w:color="auto"/>
                <w:right w:val="none" w:sz="0" w:space="0" w:color="auto"/>
              </w:divBdr>
              <w:divsChild>
                <w:div w:id="884483030">
                  <w:marLeft w:val="0"/>
                  <w:marRight w:val="0"/>
                  <w:marTop w:val="0"/>
                  <w:marBottom w:val="0"/>
                  <w:divBdr>
                    <w:top w:val="none" w:sz="0" w:space="0" w:color="auto"/>
                    <w:left w:val="none" w:sz="0" w:space="0" w:color="auto"/>
                    <w:bottom w:val="none" w:sz="0" w:space="0" w:color="auto"/>
                    <w:right w:val="none" w:sz="0" w:space="0" w:color="auto"/>
                  </w:divBdr>
                </w:div>
              </w:divsChild>
            </w:div>
            <w:div w:id="1541744172">
              <w:marLeft w:val="0"/>
              <w:marRight w:val="0"/>
              <w:marTop w:val="0"/>
              <w:marBottom w:val="0"/>
              <w:divBdr>
                <w:top w:val="none" w:sz="0" w:space="0" w:color="auto"/>
                <w:left w:val="none" w:sz="0" w:space="0" w:color="auto"/>
                <w:bottom w:val="none" w:sz="0" w:space="0" w:color="auto"/>
                <w:right w:val="none" w:sz="0" w:space="0" w:color="auto"/>
              </w:divBdr>
              <w:divsChild>
                <w:div w:id="2137791949">
                  <w:marLeft w:val="0"/>
                  <w:marRight w:val="0"/>
                  <w:marTop w:val="0"/>
                  <w:marBottom w:val="0"/>
                  <w:divBdr>
                    <w:top w:val="none" w:sz="0" w:space="0" w:color="auto"/>
                    <w:left w:val="none" w:sz="0" w:space="0" w:color="auto"/>
                    <w:bottom w:val="none" w:sz="0" w:space="0" w:color="auto"/>
                    <w:right w:val="none" w:sz="0" w:space="0" w:color="auto"/>
                  </w:divBdr>
                </w:div>
              </w:divsChild>
            </w:div>
            <w:div w:id="1559167984">
              <w:marLeft w:val="0"/>
              <w:marRight w:val="0"/>
              <w:marTop w:val="0"/>
              <w:marBottom w:val="0"/>
              <w:divBdr>
                <w:top w:val="none" w:sz="0" w:space="0" w:color="auto"/>
                <w:left w:val="none" w:sz="0" w:space="0" w:color="auto"/>
                <w:bottom w:val="none" w:sz="0" w:space="0" w:color="auto"/>
                <w:right w:val="none" w:sz="0" w:space="0" w:color="auto"/>
              </w:divBdr>
              <w:divsChild>
                <w:div w:id="190919846">
                  <w:marLeft w:val="0"/>
                  <w:marRight w:val="0"/>
                  <w:marTop w:val="0"/>
                  <w:marBottom w:val="0"/>
                  <w:divBdr>
                    <w:top w:val="none" w:sz="0" w:space="0" w:color="auto"/>
                    <w:left w:val="none" w:sz="0" w:space="0" w:color="auto"/>
                    <w:bottom w:val="none" w:sz="0" w:space="0" w:color="auto"/>
                    <w:right w:val="none" w:sz="0" w:space="0" w:color="auto"/>
                  </w:divBdr>
                </w:div>
              </w:divsChild>
            </w:div>
            <w:div w:id="1588881825">
              <w:marLeft w:val="0"/>
              <w:marRight w:val="0"/>
              <w:marTop w:val="0"/>
              <w:marBottom w:val="0"/>
              <w:divBdr>
                <w:top w:val="none" w:sz="0" w:space="0" w:color="auto"/>
                <w:left w:val="none" w:sz="0" w:space="0" w:color="auto"/>
                <w:bottom w:val="none" w:sz="0" w:space="0" w:color="auto"/>
                <w:right w:val="none" w:sz="0" w:space="0" w:color="auto"/>
              </w:divBdr>
              <w:divsChild>
                <w:div w:id="1267808609">
                  <w:marLeft w:val="0"/>
                  <w:marRight w:val="0"/>
                  <w:marTop w:val="0"/>
                  <w:marBottom w:val="0"/>
                  <w:divBdr>
                    <w:top w:val="none" w:sz="0" w:space="0" w:color="auto"/>
                    <w:left w:val="none" w:sz="0" w:space="0" w:color="auto"/>
                    <w:bottom w:val="none" w:sz="0" w:space="0" w:color="auto"/>
                    <w:right w:val="none" w:sz="0" w:space="0" w:color="auto"/>
                  </w:divBdr>
                </w:div>
              </w:divsChild>
            </w:div>
            <w:div w:id="1615405111">
              <w:marLeft w:val="0"/>
              <w:marRight w:val="0"/>
              <w:marTop w:val="0"/>
              <w:marBottom w:val="0"/>
              <w:divBdr>
                <w:top w:val="none" w:sz="0" w:space="0" w:color="auto"/>
                <w:left w:val="none" w:sz="0" w:space="0" w:color="auto"/>
                <w:bottom w:val="none" w:sz="0" w:space="0" w:color="auto"/>
                <w:right w:val="none" w:sz="0" w:space="0" w:color="auto"/>
              </w:divBdr>
              <w:divsChild>
                <w:div w:id="1413627694">
                  <w:marLeft w:val="0"/>
                  <w:marRight w:val="0"/>
                  <w:marTop w:val="0"/>
                  <w:marBottom w:val="0"/>
                  <w:divBdr>
                    <w:top w:val="none" w:sz="0" w:space="0" w:color="auto"/>
                    <w:left w:val="none" w:sz="0" w:space="0" w:color="auto"/>
                    <w:bottom w:val="none" w:sz="0" w:space="0" w:color="auto"/>
                    <w:right w:val="none" w:sz="0" w:space="0" w:color="auto"/>
                  </w:divBdr>
                </w:div>
              </w:divsChild>
            </w:div>
            <w:div w:id="1618760143">
              <w:marLeft w:val="0"/>
              <w:marRight w:val="0"/>
              <w:marTop w:val="0"/>
              <w:marBottom w:val="0"/>
              <w:divBdr>
                <w:top w:val="none" w:sz="0" w:space="0" w:color="auto"/>
                <w:left w:val="none" w:sz="0" w:space="0" w:color="auto"/>
                <w:bottom w:val="none" w:sz="0" w:space="0" w:color="auto"/>
                <w:right w:val="none" w:sz="0" w:space="0" w:color="auto"/>
              </w:divBdr>
              <w:divsChild>
                <w:div w:id="1398557203">
                  <w:marLeft w:val="0"/>
                  <w:marRight w:val="0"/>
                  <w:marTop w:val="0"/>
                  <w:marBottom w:val="0"/>
                  <w:divBdr>
                    <w:top w:val="none" w:sz="0" w:space="0" w:color="auto"/>
                    <w:left w:val="none" w:sz="0" w:space="0" w:color="auto"/>
                    <w:bottom w:val="none" w:sz="0" w:space="0" w:color="auto"/>
                    <w:right w:val="none" w:sz="0" w:space="0" w:color="auto"/>
                  </w:divBdr>
                </w:div>
              </w:divsChild>
            </w:div>
            <w:div w:id="1621305510">
              <w:marLeft w:val="0"/>
              <w:marRight w:val="0"/>
              <w:marTop w:val="0"/>
              <w:marBottom w:val="0"/>
              <w:divBdr>
                <w:top w:val="none" w:sz="0" w:space="0" w:color="auto"/>
                <w:left w:val="none" w:sz="0" w:space="0" w:color="auto"/>
                <w:bottom w:val="none" w:sz="0" w:space="0" w:color="auto"/>
                <w:right w:val="none" w:sz="0" w:space="0" w:color="auto"/>
              </w:divBdr>
              <w:divsChild>
                <w:div w:id="1537768529">
                  <w:marLeft w:val="0"/>
                  <w:marRight w:val="0"/>
                  <w:marTop w:val="0"/>
                  <w:marBottom w:val="0"/>
                  <w:divBdr>
                    <w:top w:val="none" w:sz="0" w:space="0" w:color="auto"/>
                    <w:left w:val="none" w:sz="0" w:space="0" w:color="auto"/>
                    <w:bottom w:val="none" w:sz="0" w:space="0" w:color="auto"/>
                    <w:right w:val="none" w:sz="0" w:space="0" w:color="auto"/>
                  </w:divBdr>
                </w:div>
              </w:divsChild>
            </w:div>
            <w:div w:id="1667786830">
              <w:marLeft w:val="0"/>
              <w:marRight w:val="0"/>
              <w:marTop w:val="0"/>
              <w:marBottom w:val="0"/>
              <w:divBdr>
                <w:top w:val="none" w:sz="0" w:space="0" w:color="auto"/>
                <w:left w:val="none" w:sz="0" w:space="0" w:color="auto"/>
                <w:bottom w:val="none" w:sz="0" w:space="0" w:color="auto"/>
                <w:right w:val="none" w:sz="0" w:space="0" w:color="auto"/>
              </w:divBdr>
              <w:divsChild>
                <w:div w:id="813764712">
                  <w:marLeft w:val="0"/>
                  <w:marRight w:val="0"/>
                  <w:marTop w:val="0"/>
                  <w:marBottom w:val="0"/>
                  <w:divBdr>
                    <w:top w:val="none" w:sz="0" w:space="0" w:color="auto"/>
                    <w:left w:val="none" w:sz="0" w:space="0" w:color="auto"/>
                    <w:bottom w:val="none" w:sz="0" w:space="0" w:color="auto"/>
                    <w:right w:val="none" w:sz="0" w:space="0" w:color="auto"/>
                  </w:divBdr>
                </w:div>
              </w:divsChild>
            </w:div>
            <w:div w:id="1674718086">
              <w:marLeft w:val="0"/>
              <w:marRight w:val="0"/>
              <w:marTop w:val="0"/>
              <w:marBottom w:val="0"/>
              <w:divBdr>
                <w:top w:val="none" w:sz="0" w:space="0" w:color="auto"/>
                <w:left w:val="none" w:sz="0" w:space="0" w:color="auto"/>
                <w:bottom w:val="none" w:sz="0" w:space="0" w:color="auto"/>
                <w:right w:val="none" w:sz="0" w:space="0" w:color="auto"/>
              </w:divBdr>
              <w:divsChild>
                <w:div w:id="1059207885">
                  <w:marLeft w:val="0"/>
                  <w:marRight w:val="0"/>
                  <w:marTop w:val="0"/>
                  <w:marBottom w:val="0"/>
                  <w:divBdr>
                    <w:top w:val="none" w:sz="0" w:space="0" w:color="auto"/>
                    <w:left w:val="none" w:sz="0" w:space="0" w:color="auto"/>
                    <w:bottom w:val="none" w:sz="0" w:space="0" w:color="auto"/>
                    <w:right w:val="none" w:sz="0" w:space="0" w:color="auto"/>
                  </w:divBdr>
                </w:div>
              </w:divsChild>
            </w:div>
            <w:div w:id="1729111797">
              <w:marLeft w:val="0"/>
              <w:marRight w:val="0"/>
              <w:marTop w:val="0"/>
              <w:marBottom w:val="0"/>
              <w:divBdr>
                <w:top w:val="none" w:sz="0" w:space="0" w:color="auto"/>
                <w:left w:val="none" w:sz="0" w:space="0" w:color="auto"/>
                <w:bottom w:val="none" w:sz="0" w:space="0" w:color="auto"/>
                <w:right w:val="none" w:sz="0" w:space="0" w:color="auto"/>
              </w:divBdr>
              <w:divsChild>
                <w:div w:id="673580489">
                  <w:marLeft w:val="0"/>
                  <w:marRight w:val="0"/>
                  <w:marTop w:val="0"/>
                  <w:marBottom w:val="0"/>
                  <w:divBdr>
                    <w:top w:val="none" w:sz="0" w:space="0" w:color="auto"/>
                    <w:left w:val="none" w:sz="0" w:space="0" w:color="auto"/>
                    <w:bottom w:val="none" w:sz="0" w:space="0" w:color="auto"/>
                    <w:right w:val="none" w:sz="0" w:space="0" w:color="auto"/>
                  </w:divBdr>
                </w:div>
              </w:divsChild>
            </w:div>
            <w:div w:id="1742949930">
              <w:marLeft w:val="0"/>
              <w:marRight w:val="0"/>
              <w:marTop w:val="0"/>
              <w:marBottom w:val="0"/>
              <w:divBdr>
                <w:top w:val="none" w:sz="0" w:space="0" w:color="auto"/>
                <w:left w:val="none" w:sz="0" w:space="0" w:color="auto"/>
                <w:bottom w:val="none" w:sz="0" w:space="0" w:color="auto"/>
                <w:right w:val="none" w:sz="0" w:space="0" w:color="auto"/>
              </w:divBdr>
              <w:divsChild>
                <w:div w:id="907617325">
                  <w:marLeft w:val="0"/>
                  <w:marRight w:val="0"/>
                  <w:marTop w:val="0"/>
                  <w:marBottom w:val="0"/>
                  <w:divBdr>
                    <w:top w:val="none" w:sz="0" w:space="0" w:color="auto"/>
                    <w:left w:val="none" w:sz="0" w:space="0" w:color="auto"/>
                    <w:bottom w:val="none" w:sz="0" w:space="0" w:color="auto"/>
                    <w:right w:val="none" w:sz="0" w:space="0" w:color="auto"/>
                  </w:divBdr>
                </w:div>
              </w:divsChild>
            </w:div>
            <w:div w:id="1758362117">
              <w:marLeft w:val="0"/>
              <w:marRight w:val="0"/>
              <w:marTop w:val="0"/>
              <w:marBottom w:val="0"/>
              <w:divBdr>
                <w:top w:val="none" w:sz="0" w:space="0" w:color="auto"/>
                <w:left w:val="none" w:sz="0" w:space="0" w:color="auto"/>
                <w:bottom w:val="none" w:sz="0" w:space="0" w:color="auto"/>
                <w:right w:val="none" w:sz="0" w:space="0" w:color="auto"/>
              </w:divBdr>
              <w:divsChild>
                <w:div w:id="105934031">
                  <w:marLeft w:val="0"/>
                  <w:marRight w:val="0"/>
                  <w:marTop w:val="0"/>
                  <w:marBottom w:val="0"/>
                  <w:divBdr>
                    <w:top w:val="none" w:sz="0" w:space="0" w:color="auto"/>
                    <w:left w:val="none" w:sz="0" w:space="0" w:color="auto"/>
                    <w:bottom w:val="none" w:sz="0" w:space="0" w:color="auto"/>
                    <w:right w:val="none" w:sz="0" w:space="0" w:color="auto"/>
                  </w:divBdr>
                </w:div>
              </w:divsChild>
            </w:div>
            <w:div w:id="1764449649">
              <w:marLeft w:val="0"/>
              <w:marRight w:val="0"/>
              <w:marTop w:val="0"/>
              <w:marBottom w:val="0"/>
              <w:divBdr>
                <w:top w:val="none" w:sz="0" w:space="0" w:color="auto"/>
                <w:left w:val="none" w:sz="0" w:space="0" w:color="auto"/>
                <w:bottom w:val="none" w:sz="0" w:space="0" w:color="auto"/>
                <w:right w:val="none" w:sz="0" w:space="0" w:color="auto"/>
              </w:divBdr>
              <w:divsChild>
                <w:div w:id="580405993">
                  <w:marLeft w:val="0"/>
                  <w:marRight w:val="0"/>
                  <w:marTop w:val="0"/>
                  <w:marBottom w:val="0"/>
                  <w:divBdr>
                    <w:top w:val="none" w:sz="0" w:space="0" w:color="auto"/>
                    <w:left w:val="none" w:sz="0" w:space="0" w:color="auto"/>
                    <w:bottom w:val="none" w:sz="0" w:space="0" w:color="auto"/>
                    <w:right w:val="none" w:sz="0" w:space="0" w:color="auto"/>
                  </w:divBdr>
                </w:div>
              </w:divsChild>
            </w:div>
            <w:div w:id="1874296394">
              <w:marLeft w:val="0"/>
              <w:marRight w:val="0"/>
              <w:marTop w:val="0"/>
              <w:marBottom w:val="0"/>
              <w:divBdr>
                <w:top w:val="none" w:sz="0" w:space="0" w:color="auto"/>
                <w:left w:val="none" w:sz="0" w:space="0" w:color="auto"/>
                <w:bottom w:val="none" w:sz="0" w:space="0" w:color="auto"/>
                <w:right w:val="none" w:sz="0" w:space="0" w:color="auto"/>
              </w:divBdr>
              <w:divsChild>
                <w:div w:id="552737473">
                  <w:marLeft w:val="0"/>
                  <w:marRight w:val="0"/>
                  <w:marTop w:val="0"/>
                  <w:marBottom w:val="0"/>
                  <w:divBdr>
                    <w:top w:val="none" w:sz="0" w:space="0" w:color="auto"/>
                    <w:left w:val="none" w:sz="0" w:space="0" w:color="auto"/>
                    <w:bottom w:val="none" w:sz="0" w:space="0" w:color="auto"/>
                    <w:right w:val="none" w:sz="0" w:space="0" w:color="auto"/>
                  </w:divBdr>
                </w:div>
              </w:divsChild>
            </w:div>
            <w:div w:id="1886021946">
              <w:marLeft w:val="0"/>
              <w:marRight w:val="0"/>
              <w:marTop w:val="0"/>
              <w:marBottom w:val="0"/>
              <w:divBdr>
                <w:top w:val="none" w:sz="0" w:space="0" w:color="auto"/>
                <w:left w:val="none" w:sz="0" w:space="0" w:color="auto"/>
                <w:bottom w:val="none" w:sz="0" w:space="0" w:color="auto"/>
                <w:right w:val="none" w:sz="0" w:space="0" w:color="auto"/>
              </w:divBdr>
              <w:divsChild>
                <w:div w:id="705760226">
                  <w:marLeft w:val="0"/>
                  <w:marRight w:val="0"/>
                  <w:marTop w:val="0"/>
                  <w:marBottom w:val="0"/>
                  <w:divBdr>
                    <w:top w:val="none" w:sz="0" w:space="0" w:color="auto"/>
                    <w:left w:val="none" w:sz="0" w:space="0" w:color="auto"/>
                    <w:bottom w:val="none" w:sz="0" w:space="0" w:color="auto"/>
                    <w:right w:val="none" w:sz="0" w:space="0" w:color="auto"/>
                  </w:divBdr>
                </w:div>
              </w:divsChild>
            </w:div>
            <w:div w:id="1921062939">
              <w:marLeft w:val="0"/>
              <w:marRight w:val="0"/>
              <w:marTop w:val="0"/>
              <w:marBottom w:val="0"/>
              <w:divBdr>
                <w:top w:val="none" w:sz="0" w:space="0" w:color="auto"/>
                <w:left w:val="none" w:sz="0" w:space="0" w:color="auto"/>
                <w:bottom w:val="none" w:sz="0" w:space="0" w:color="auto"/>
                <w:right w:val="none" w:sz="0" w:space="0" w:color="auto"/>
              </w:divBdr>
              <w:divsChild>
                <w:div w:id="1449355728">
                  <w:marLeft w:val="0"/>
                  <w:marRight w:val="0"/>
                  <w:marTop w:val="0"/>
                  <w:marBottom w:val="0"/>
                  <w:divBdr>
                    <w:top w:val="none" w:sz="0" w:space="0" w:color="auto"/>
                    <w:left w:val="none" w:sz="0" w:space="0" w:color="auto"/>
                    <w:bottom w:val="none" w:sz="0" w:space="0" w:color="auto"/>
                    <w:right w:val="none" w:sz="0" w:space="0" w:color="auto"/>
                  </w:divBdr>
                </w:div>
              </w:divsChild>
            </w:div>
            <w:div w:id="1947542635">
              <w:marLeft w:val="0"/>
              <w:marRight w:val="0"/>
              <w:marTop w:val="0"/>
              <w:marBottom w:val="0"/>
              <w:divBdr>
                <w:top w:val="none" w:sz="0" w:space="0" w:color="auto"/>
                <w:left w:val="none" w:sz="0" w:space="0" w:color="auto"/>
                <w:bottom w:val="none" w:sz="0" w:space="0" w:color="auto"/>
                <w:right w:val="none" w:sz="0" w:space="0" w:color="auto"/>
              </w:divBdr>
              <w:divsChild>
                <w:div w:id="686637687">
                  <w:marLeft w:val="0"/>
                  <w:marRight w:val="0"/>
                  <w:marTop w:val="0"/>
                  <w:marBottom w:val="0"/>
                  <w:divBdr>
                    <w:top w:val="none" w:sz="0" w:space="0" w:color="auto"/>
                    <w:left w:val="none" w:sz="0" w:space="0" w:color="auto"/>
                    <w:bottom w:val="none" w:sz="0" w:space="0" w:color="auto"/>
                    <w:right w:val="none" w:sz="0" w:space="0" w:color="auto"/>
                  </w:divBdr>
                </w:div>
              </w:divsChild>
            </w:div>
            <w:div w:id="1965193989">
              <w:marLeft w:val="0"/>
              <w:marRight w:val="0"/>
              <w:marTop w:val="0"/>
              <w:marBottom w:val="0"/>
              <w:divBdr>
                <w:top w:val="none" w:sz="0" w:space="0" w:color="auto"/>
                <w:left w:val="none" w:sz="0" w:space="0" w:color="auto"/>
                <w:bottom w:val="none" w:sz="0" w:space="0" w:color="auto"/>
                <w:right w:val="none" w:sz="0" w:space="0" w:color="auto"/>
              </w:divBdr>
              <w:divsChild>
                <w:div w:id="1635329043">
                  <w:marLeft w:val="0"/>
                  <w:marRight w:val="0"/>
                  <w:marTop w:val="0"/>
                  <w:marBottom w:val="0"/>
                  <w:divBdr>
                    <w:top w:val="none" w:sz="0" w:space="0" w:color="auto"/>
                    <w:left w:val="none" w:sz="0" w:space="0" w:color="auto"/>
                    <w:bottom w:val="none" w:sz="0" w:space="0" w:color="auto"/>
                    <w:right w:val="none" w:sz="0" w:space="0" w:color="auto"/>
                  </w:divBdr>
                </w:div>
              </w:divsChild>
            </w:div>
            <w:div w:id="1972440014">
              <w:marLeft w:val="0"/>
              <w:marRight w:val="0"/>
              <w:marTop w:val="0"/>
              <w:marBottom w:val="0"/>
              <w:divBdr>
                <w:top w:val="none" w:sz="0" w:space="0" w:color="auto"/>
                <w:left w:val="none" w:sz="0" w:space="0" w:color="auto"/>
                <w:bottom w:val="none" w:sz="0" w:space="0" w:color="auto"/>
                <w:right w:val="none" w:sz="0" w:space="0" w:color="auto"/>
              </w:divBdr>
              <w:divsChild>
                <w:div w:id="1073893114">
                  <w:marLeft w:val="0"/>
                  <w:marRight w:val="0"/>
                  <w:marTop w:val="0"/>
                  <w:marBottom w:val="0"/>
                  <w:divBdr>
                    <w:top w:val="none" w:sz="0" w:space="0" w:color="auto"/>
                    <w:left w:val="none" w:sz="0" w:space="0" w:color="auto"/>
                    <w:bottom w:val="none" w:sz="0" w:space="0" w:color="auto"/>
                    <w:right w:val="none" w:sz="0" w:space="0" w:color="auto"/>
                  </w:divBdr>
                </w:div>
              </w:divsChild>
            </w:div>
            <w:div w:id="2013991731">
              <w:marLeft w:val="0"/>
              <w:marRight w:val="0"/>
              <w:marTop w:val="0"/>
              <w:marBottom w:val="0"/>
              <w:divBdr>
                <w:top w:val="none" w:sz="0" w:space="0" w:color="auto"/>
                <w:left w:val="none" w:sz="0" w:space="0" w:color="auto"/>
                <w:bottom w:val="none" w:sz="0" w:space="0" w:color="auto"/>
                <w:right w:val="none" w:sz="0" w:space="0" w:color="auto"/>
              </w:divBdr>
              <w:divsChild>
                <w:div w:id="6372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2511">
          <w:marLeft w:val="0"/>
          <w:marRight w:val="0"/>
          <w:marTop w:val="0"/>
          <w:marBottom w:val="0"/>
          <w:divBdr>
            <w:top w:val="none" w:sz="0" w:space="0" w:color="auto"/>
            <w:left w:val="none" w:sz="0" w:space="0" w:color="auto"/>
            <w:bottom w:val="none" w:sz="0" w:space="0" w:color="auto"/>
            <w:right w:val="none" w:sz="0" w:space="0" w:color="auto"/>
          </w:divBdr>
          <w:divsChild>
            <w:div w:id="995498040">
              <w:marLeft w:val="0"/>
              <w:marRight w:val="0"/>
              <w:marTop w:val="0"/>
              <w:marBottom w:val="0"/>
              <w:divBdr>
                <w:top w:val="none" w:sz="0" w:space="0" w:color="auto"/>
                <w:left w:val="none" w:sz="0" w:space="0" w:color="auto"/>
                <w:bottom w:val="none" w:sz="0" w:space="0" w:color="auto"/>
                <w:right w:val="none" w:sz="0" w:space="0" w:color="auto"/>
              </w:divBdr>
            </w:div>
          </w:divsChild>
        </w:div>
        <w:div w:id="842361656">
          <w:marLeft w:val="0"/>
          <w:marRight w:val="0"/>
          <w:marTop w:val="0"/>
          <w:marBottom w:val="0"/>
          <w:divBdr>
            <w:top w:val="none" w:sz="0" w:space="0" w:color="auto"/>
            <w:left w:val="none" w:sz="0" w:space="0" w:color="auto"/>
            <w:bottom w:val="none" w:sz="0" w:space="0" w:color="auto"/>
            <w:right w:val="none" w:sz="0" w:space="0" w:color="auto"/>
          </w:divBdr>
          <w:divsChild>
            <w:div w:id="945767470">
              <w:marLeft w:val="0"/>
              <w:marRight w:val="0"/>
              <w:marTop w:val="0"/>
              <w:marBottom w:val="0"/>
              <w:divBdr>
                <w:top w:val="none" w:sz="0" w:space="0" w:color="auto"/>
                <w:left w:val="none" w:sz="0" w:space="0" w:color="auto"/>
                <w:bottom w:val="none" w:sz="0" w:space="0" w:color="auto"/>
                <w:right w:val="none" w:sz="0" w:space="0" w:color="auto"/>
              </w:divBdr>
            </w:div>
          </w:divsChild>
        </w:div>
        <w:div w:id="903493488">
          <w:marLeft w:val="0"/>
          <w:marRight w:val="0"/>
          <w:marTop w:val="0"/>
          <w:marBottom w:val="0"/>
          <w:divBdr>
            <w:top w:val="none" w:sz="0" w:space="0" w:color="auto"/>
            <w:left w:val="none" w:sz="0" w:space="0" w:color="auto"/>
            <w:bottom w:val="none" w:sz="0" w:space="0" w:color="auto"/>
            <w:right w:val="none" w:sz="0" w:space="0" w:color="auto"/>
          </w:divBdr>
          <w:divsChild>
            <w:div w:id="100415106">
              <w:marLeft w:val="0"/>
              <w:marRight w:val="0"/>
              <w:marTop w:val="0"/>
              <w:marBottom w:val="0"/>
              <w:divBdr>
                <w:top w:val="none" w:sz="0" w:space="0" w:color="auto"/>
                <w:left w:val="none" w:sz="0" w:space="0" w:color="auto"/>
                <w:bottom w:val="none" w:sz="0" w:space="0" w:color="auto"/>
                <w:right w:val="none" w:sz="0" w:space="0" w:color="auto"/>
              </w:divBdr>
            </w:div>
            <w:div w:id="1277907427">
              <w:marLeft w:val="0"/>
              <w:marRight w:val="0"/>
              <w:marTop w:val="0"/>
              <w:marBottom w:val="0"/>
              <w:divBdr>
                <w:top w:val="none" w:sz="0" w:space="0" w:color="auto"/>
                <w:left w:val="none" w:sz="0" w:space="0" w:color="auto"/>
                <w:bottom w:val="none" w:sz="0" w:space="0" w:color="auto"/>
                <w:right w:val="none" w:sz="0" w:space="0" w:color="auto"/>
              </w:divBdr>
            </w:div>
          </w:divsChild>
        </w:div>
        <w:div w:id="919409527">
          <w:marLeft w:val="0"/>
          <w:marRight w:val="0"/>
          <w:marTop w:val="0"/>
          <w:marBottom w:val="0"/>
          <w:divBdr>
            <w:top w:val="none" w:sz="0" w:space="0" w:color="auto"/>
            <w:left w:val="none" w:sz="0" w:space="0" w:color="auto"/>
            <w:bottom w:val="none" w:sz="0" w:space="0" w:color="auto"/>
            <w:right w:val="none" w:sz="0" w:space="0" w:color="auto"/>
          </w:divBdr>
          <w:divsChild>
            <w:div w:id="695891447">
              <w:marLeft w:val="0"/>
              <w:marRight w:val="0"/>
              <w:marTop w:val="0"/>
              <w:marBottom w:val="0"/>
              <w:divBdr>
                <w:top w:val="none" w:sz="0" w:space="0" w:color="auto"/>
                <w:left w:val="none" w:sz="0" w:space="0" w:color="auto"/>
                <w:bottom w:val="none" w:sz="0" w:space="0" w:color="auto"/>
                <w:right w:val="none" w:sz="0" w:space="0" w:color="auto"/>
              </w:divBdr>
            </w:div>
          </w:divsChild>
        </w:div>
        <w:div w:id="920063515">
          <w:marLeft w:val="0"/>
          <w:marRight w:val="0"/>
          <w:marTop w:val="0"/>
          <w:marBottom w:val="0"/>
          <w:divBdr>
            <w:top w:val="none" w:sz="0" w:space="0" w:color="auto"/>
            <w:left w:val="none" w:sz="0" w:space="0" w:color="auto"/>
            <w:bottom w:val="none" w:sz="0" w:space="0" w:color="auto"/>
            <w:right w:val="none" w:sz="0" w:space="0" w:color="auto"/>
          </w:divBdr>
          <w:divsChild>
            <w:div w:id="1879122564">
              <w:marLeft w:val="0"/>
              <w:marRight w:val="0"/>
              <w:marTop w:val="0"/>
              <w:marBottom w:val="0"/>
              <w:divBdr>
                <w:top w:val="none" w:sz="0" w:space="0" w:color="auto"/>
                <w:left w:val="none" w:sz="0" w:space="0" w:color="auto"/>
                <w:bottom w:val="none" w:sz="0" w:space="0" w:color="auto"/>
                <w:right w:val="none" w:sz="0" w:space="0" w:color="auto"/>
              </w:divBdr>
            </w:div>
          </w:divsChild>
        </w:div>
        <w:div w:id="933707512">
          <w:marLeft w:val="0"/>
          <w:marRight w:val="0"/>
          <w:marTop w:val="0"/>
          <w:marBottom w:val="0"/>
          <w:divBdr>
            <w:top w:val="none" w:sz="0" w:space="0" w:color="auto"/>
            <w:left w:val="none" w:sz="0" w:space="0" w:color="auto"/>
            <w:bottom w:val="none" w:sz="0" w:space="0" w:color="auto"/>
            <w:right w:val="none" w:sz="0" w:space="0" w:color="auto"/>
          </w:divBdr>
          <w:divsChild>
            <w:div w:id="472793014">
              <w:marLeft w:val="0"/>
              <w:marRight w:val="0"/>
              <w:marTop w:val="0"/>
              <w:marBottom w:val="0"/>
              <w:divBdr>
                <w:top w:val="none" w:sz="0" w:space="0" w:color="auto"/>
                <w:left w:val="none" w:sz="0" w:space="0" w:color="auto"/>
                <w:bottom w:val="none" w:sz="0" w:space="0" w:color="auto"/>
                <w:right w:val="none" w:sz="0" w:space="0" w:color="auto"/>
              </w:divBdr>
            </w:div>
          </w:divsChild>
        </w:div>
        <w:div w:id="939490594">
          <w:marLeft w:val="0"/>
          <w:marRight w:val="0"/>
          <w:marTop w:val="0"/>
          <w:marBottom w:val="0"/>
          <w:divBdr>
            <w:top w:val="none" w:sz="0" w:space="0" w:color="auto"/>
            <w:left w:val="none" w:sz="0" w:space="0" w:color="auto"/>
            <w:bottom w:val="none" w:sz="0" w:space="0" w:color="auto"/>
            <w:right w:val="none" w:sz="0" w:space="0" w:color="auto"/>
          </w:divBdr>
          <w:divsChild>
            <w:div w:id="1026753451">
              <w:marLeft w:val="0"/>
              <w:marRight w:val="0"/>
              <w:marTop w:val="0"/>
              <w:marBottom w:val="0"/>
              <w:divBdr>
                <w:top w:val="none" w:sz="0" w:space="0" w:color="auto"/>
                <w:left w:val="none" w:sz="0" w:space="0" w:color="auto"/>
                <w:bottom w:val="none" w:sz="0" w:space="0" w:color="auto"/>
                <w:right w:val="none" w:sz="0" w:space="0" w:color="auto"/>
              </w:divBdr>
            </w:div>
          </w:divsChild>
        </w:div>
        <w:div w:id="945892286">
          <w:marLeft w:val="0"/>
          <w:marRight w:val="0"/>
          <w:marTop w:val="0"/>
          <w:marBottom w:val="0"/>
          <w:divBdr>
            <w:top w:val="none" w:sz="0" w:space="0" w:color="auto"/>
            <w:left w:val="none" w:sz="0" w:space="0" w:color="auto"/>
            <w:bottom w:val="none" w:sz="0" w:space="0" w:color="auto"/>
            <w:right w:val="none" w:sz="0" w:space="0" w:color="auto"/>
          </w:divBdr>
          <w:divsChild>
            <w:div w:id="2037534357">
              <w:marLeft w:val="0"/>
              <w:marRight w:val="0"/>
              <w:marTop w:val="0"/>
              <w:marBottom w:val="0"/>
              <w:divBdr>
                <w:top w:val="none" w:sz="0" w:space="0" w:color="auto"/>
                <w:left w:val="none" w:sz="0" w:space="0" w:color="auto"/>
                <w:bottom w:val="none" w:sz="0" w:space="0" w:color="auto"/>
                <w:right w:val="none" w:sz="0" w:space="0" w:color="auto"/>
              </w:divBdr>
            </w:div>
          </w:divsChild>
        </w:div>
        <w:div w:id="968168611">
          <w:marLeft w:val="0"/>
          <w:marRight w:val="0"/>
          <w:marTop w:val="0"/>
          <w:marBottom w:val="0"/>
          <w:divBdr>
            <w:top w:val="none" w:sz="0" w:space="0" w:color="auto"/>
            <w:left w:val="none" w:sz="0" w:space="0" w:color="auto"/>
            <w:bottom w:val="none" w:sz="0" w:space="0" w:color="auto"/>
            <w:right w:val="none" w:sz="0" w:space="0" w:color="auto"/>
          </w:divBdr>
          <w:divsChild>
            <w:div w:id="1961523834">
              <w:marLeft w:val="0"/>
              <w:marRight w:val="0"/>
              <w:marTop w:val="0"/>
              <w:marBottom w:val="0"/>
              <w:divBdr>
                <w:top w:val="none" w:sz="0" w:space="0" w:color="auto"/>
                <w:left w:val="none" w:sz="0" w:space="0" w:color="auto"/>
                <w:bottom w:val="none" w:sz="0" w:space="0" w:color="auto"/>
                <w:right w:val="none" w:sz="0" w:space="0" w:color="auto"/>
              </w:divBdr>
            </w:div>
          </w:divsChild>
        </w:div>
        <w:div w:id="1062293279">
          <w:marLeft w:val="0"/>
          <w:marRight w:val="0"/>
          <w:marTop w:val="0"/>
          <w:marBottom w:val="0"/>
          <w:divBdr>
            <w:top w:val="none" w:sz="0" w:space="0" w:color="auto"/>
            <w:left w:val="none" w:sz="0" w:space="0" w:color="auto"/>
            <w:bottom w:val="none" w:sz="0" w:space="0" w:color="auto"/>
            <w:right w:val="none" w:sz="0" w:space="0" w:color="auto"/>
          </w:divBdr>
        </w:div>
        <w:div w:id="1087270065">
          <w:marLeft w:val="0"/>
          <w:marRight w:val="0"/>
          <w:marTop w:val="0"/>
          <w:marBottom w:val="0"/>
          <w:divBdr>
            <w:top w:val="none" w:sz="0" w:space="0" w:color="auto"/>
            <w:left w:val="none" w:sz="0" w:space="0" w:color="auto"/>
            <w:bottom w:val="none" w:sz="0" w:space="0" w:color="auto"/>
            <w:right w:val="none" w:sz="0" w:space="0" w:color="auto"/>
          </w:divBdr>
          <w:divsChild>
            <w:div w:id="246505877">
              <w:marLeft w:val="0"/>
              <w:marRight w:val="0"/>
              <w:marTop w:val="0"/>
              <w:marBottom w:val="0"/>
              <w:divBdr>
                <w:top w:val="none" w:sz="0" w:space="0" w:color="auto"/>
                <w:left w:val="none" w:sz="0" w:space="0" w:color="auto"/>
                <w:bottom w:val="none" w:sz="0" w:space="0" w:color="auto"/>
                <w:right w:val="none" w:sz="0" w:space="0" w:color="auto"/>
              </w:divBdr>
            </w:div>
          </w:divsChild>
        </w:div>
        <w:div w:id="1146121368">
          <w:marLeft w:val="0"/>
          <w:marRight w:val="0"/>
          <w:marTop w:val="0"/>
          <w:marBottom w:val="0"/>
          <w:divBdr>
            <w:top w:val="none" w:sz="0" w:space="0" w:color="auto"/>
            <w:left w:val="none" w:sz="0" w:space="0" w:color="auto"/>
            <w:bottom w:val="none" w:sz="0" w:space="0" w:color="auto"/>
            <w:right w:val="none" w:sz="0" w:space="0" w:color="auto"/>
          </w:divBdr>
          <w:divsChild>
            <w:div w:id="1700550420">
              <w:marLeft w:val="0"/>
              <w:marRight w:val="0"/>
              <w:marTop w:val="0"/>
              <w:marBottom w:val="0"/>
              <w:divBdr>
                <w:top w:val="none" w:sz="0" w:space="0" w:color="auto"/>
                <w:left w:val="none" w:sz="0" w:space="0" w:color="auto"/>
                <w:bottom w:val="none" w:sz="0" w:space="0" w:color="auto"/>
                <w:right w:val="none" w:sz="0" w:space="0" w:color="auto"/>
              </w:divBdr>
            </w:div>
          </w:divsChild>
        </w:div>
        <w:div w:id="1174342146">
          <w:marLeft w:val="0"/>
          <w:marRight w:val="0"/>
          <w:marTop w:val="0"/>
          <w:marBottom w:val="0"/>
          <w:divBdr>
            <w:top w:val="none" w:sz="0" w:space="0" w:color="auto"/>
            <w:left w:val="none" w:sz="0" w:space="0" w:color="auto"/>
            <w:bottom w:val="none" w:sz="0" w:space="0" w:color="auto"/>
            <w:right w:val="none" w:sz="0" w:space="0" w:color="auto"/>
          </w:divBdr>
          <w:divsChild>
            <w:div w:id="1934124047">
              <w:marLeft w:val="0"/>
              <w:marRight w:val="0"/>
              <w:marTop w:val="0"/>
              <w:marBottom w:val="0"/>
              <w:divBdr>
                <w:top w:val="none" w:sz="0" w:space="0" w:color="auto"/>
                <w:left w:val="none" w:sz="0" w:space="0" w:color="auto"/>
                <w:bottom w:val="none" w:sz="0" w:space="0" w:color="auto"/>
                <w:right w:val="none" w:sz="0" w:space="0" w:color="auto"/>
              </w:divBdr>
            </w:div>
          </w:divsChild>
        </w:div>
        <w:div w:id="1179270424">
          <w:marLeft w:val="0"/>
          <w:marRight w:val="0"/>
          <w:marTop w:val="0"/>
          <w:marBottom w:val="0"/>
          <w:divBdr>
            <w:top w:val="none" w:sz="0" w:space="0" w:color="auto"/>
            <w:left w:val="none" w:sz="0" w:space="0" w:color="auto"/>
            <w:bottom w:val="none" w:sz="0" w:space="0" w:color="auto"/>
            <w:right w:val="none" w:sz="0" w:space="0" w:color="auto"/>
          </w:divBdr>
          <w:divsChild>
            <w:div w:id="2024017262">
              <w:marLeft w:val="0"/>
              <w:marRight w:val="0"/>
              <w:marTop w:val="0"/>
              <w:marBottom w:val="0"/>
              <w:divBdr>
                <w:top w:val="none" w:sz="0" w:space="0" w:color="auto"/>
                <w:left w:val="none" w:sz="0" w:space="0" w:color="auto"/>
                <w:bottom w:val="none" w:sz="0" w:space="0" w:color="auto"/>
                <w:right w:val="none" w:sz="0" w:space="0" w:color="auto"/>
              </w:divBdr>
            </w:div>
          </w:divsChild>
        </w:div>
        <w:div w:id="1208107018">
          <w:marLeft w:val="0"/>
          <w:marRight w:val="0"/>
          <w:marTop w:val="0"/>
          <w:marBottom w:val="0"/>
          <w:divBdr>
            <w:top w:val="none" w:sz="0" w:space="0" w:color="auto"/>
            <w:left w:val="none" w:sz="0" w:space="0" w:color="auto"/>
            <w:bottom w:val="none" w:sz="0" w:space="0" w:color="auto"/>
            <w:right w:val="none" w:sz="0" w:space="0" w:color="auto"/>
          </w:divBdr>
          <w:divsChild>
            <w:div w:id="1493716369">
              <w:marLeft w:val="0"/>
              <w:marRight w:val="0"/>
              <w:marTop w:val="0"/>
              <w:marBottom w:val="0"/>
              <w:divBdr>
                <w:top w:val="none" w:sz="0" w:space="0" w:color="auto"/>
                <w:left w:val="none" w:sz="0" w:space="0" w:color="auto"/>
                <w:bottom w:val="none" w:sz="0" w:space="0" w:color="auto"/>
                <w:right w:val="none" w:sz="0" w:space="0" w:color="auto"/>
              </w:divBdr>
            </w:div>
          </w:divsChild>
        </w:div>
        <w:div w:id="1244218312">
          <w:marLeft w:val="0"/>
          <w:marRight w:val="0"/>
          <w:marTop w:val="0"/>
          <w:marBottom w:val="0"/>
          <w:divBdr>
            <w:top w:val="none" w:sz="0" w:space="0" w:color="auto"/>
            <w:left w:val="none" w:sz="0" w:space="0" w:color="auto"/>
            <w:bottom w:val="none" w:sz="0" w:space="0" w:color="auto"/>
            <w:right w:val="none" w:sz="0" w:space="0" w:color="auto"/>
          </w:divBdr>
          <w:divsChild>
            <w:div w:id="1713579212">
              <w:marLeft w:val="0"/>
              <w:marRight w:val="0"/>
              <w:marTop w:val="0"/>
              <w:marBottom w:val="0"/>
              <w:divBdr>
                <w:top w:val="none" w:sz="0" w:space="0" w:color="auto"/>
                <w:left w:val="none" w:sz="0" w:space="0" w:color="auto"/>
                <w:bottom w:val="none" w:sz="0" w:space="0" w:color="auto"/>
                <w:right w:val="none" w:sz="0" w:space="0" w:color="auto"/>
              </w:divBdr>
            </w:div>
          </w:divsChild>
        </w:div>
        <w:div w:id="1288465975">
          <w:marLeft w:val="0"/>
          <w:marRight w:val="0"/>
          <w:marTop w:val="0"/>
          <w:marBottom w:val="0"/>
          <w:divBdr>
            <w:top w:val="none" w:sz="0" w:space="0" w:color="auto"/>
            <w:left w:val="none" w:sz="0" w:space="0" w:color="auto"/>
            <w:bottom w:val="none" w:sz="0" w:space="0" w:color="auto"/>
            <w:right w:val="none" w:sz="0" w:space="0" w:color="auto"/>
          </w:divBdr>
          <w:divsChild>
            <w:div w:id="395513282">
              <w:marLeft w:val="0"/>
              <w:marRight w:val="0"/>
              <w:marTop w:val="0"/>
              <w:marBottom w:val="0"/>
              <w:divBdr>
                <w:top w:val="none" w:sz="0" w:space="0" w:color="auto"/>
                <w:left w:val="none" w:sz="0" w:space="0" w:color="auto"/>
                <w:bottom w:val="none" w:sz="0" w:space="0" w:color="auto"/>
                <w:right w:val="none" w:sz="0" w:space="0" w:color="auto"/>
              </w:divBdr>
            </w:div>
          </w:divsChild>
        </w:div>
        <w:div w:id="1325621726">
          <w:marLeft w:val="0"/>
          <w:marRight w:val="0"/>
          <w:marTop w:val="0"/>
          <w:marBottom w:val="0"/>
          <w:divBdr>
            <w:top w:val="none" w:sz="0" w:space="0" w:color="auto"/>
            <w:left w:val="none" w:sz="0" w:space="0" w:color="auto"/>
            <w:bottom w:val="none" w:sz="0" w:space="0" w:color="auto"/>
            <w:right w:val="none" w:sz="0" w:space="0" w:color="auto"/>
          </w:divBdr>
          <w:divsChild>
            <w:div w:id="1193493014">
              <w:marLeft w:val="0"/>
              <w:marRight w:val="0"/>
              <w:marTop w:val="0"/>
              <w:marBottom w:val="0"/>
              <w:divBdr>
                <w:top w:val="none" w:sz="0" w:space="0" w:color="auto"/>
                <w:left w:val="none" w:sz="0" w:space="0" w:color="auto"/>
                <w:bottom w:val="none" w:sz="0" w:space="0" w:color="auto"/>
                <w:right w:val="none" w:sz="0" w:space="0" w:color="auto"/>
              </w:divBdr>
            </w:div>
          </w:divsChild>
        </w:div>
        <w:div w:id="1337459319">
          <w:marLeft w:val="0"/>
          <w:marRight w:val="0"/>
          <w:marTop w:val="0"/>
          <w:marBottom w:val="0"/>
          <w:divBdr>
            <w:top w:val="none" w:sz="0" w:space="0" w:color="auto"/>
            <w:left w:val="none" w:sz="0" w:space="0" w:color="auto"/>
            <w:bottom w:val="none" w:sz="0" w:space="0" w:color="auto"/>
            <w:right w:val="none" w:sz="0" w:space="0" w:color="auto"/>
          </w:divBdr>
          <w:divsChild>
            <w:div w:id="1308516611">
              <w:marLeft w:val="0"/>
              <w:marRight w:val="0"/>
              <w:marTop w:val="0"/>
              <w:marBottom w:val="0"/>
              <w:divBdr>
                <w:top w:val="none" w:sz="0" w:space="0" w:color="auto"/>
                <w:left w:val="none" w:sz="0" w:space="0" w:color="auto"/>
                <w:bottom w:val="none" w:sz="0" w:space="0" w:color="auto"/>
                <w:right w:val="none" w:sz="0" w:space="0" w:color="auto"/>
              </w:divBdr>
            </w:div>
            <w:div w:id="1673994348">
              <w:marLeft w:val="0"/>
              <w:marRight w:val="0"/>
              <w:marTop w:val="0"/>
              <w:marBottom w:val="0"/>
              <w:divBdr>
                <w:top w:val="none" w:sz="0" w:space="0" w:color="auto"/>
                <w:left w:val="none" w:sz="0" w:space="0" w:color="auto"/>
                <w:bottom w:val="none" w:sz="0" w:space="0" w:color="auto"/>
                <w:right w:val="none" w:sz="0" w:space="0" w:color="auto"/>
              </w:divBdr>
            </w:div>
          </w:divsChild>
        </w:div>
        <w:div w:id="1348408468">
          <w:marLeft w:val="0"/>
          <w:marRight w:val="0"/>
          <w:marTop w:val="0"/>
          <w:marBottom w:val="0"/>
          <w:divBdr>
            <w:top w:val="none" w:sz="0" w:space="0" w:color="auto"/>
            <w:left w:val="none" w:sz="0" w:space="0" w:color="auto"/>
            <w:bottom w:val="none" w:sz="0" w:space="0" w:color="auto"/>
            <w:right w:val="none" w:sz="0" w:space="0" w:color="auto"/>
          </w:divBdr>
          <w:divsChild>
            <w:div w:id="99839606">
              <w:marLeft w:val="0"/>
              <w:marRight w:val="0"/>
              <w:marTop w:val="0"/>
              <w:marBottom w:val="0"/>
              <w:divBdr>
                <w:top w:val="none" w:sz="0" w:space="0" w:color="auto"/>
                <w:left w:val="none" w:sz="0" w:space="0" w:color="auto"/>
                <w:bottom w:val="none" w:sz="0" w:space="0" w:color="auto"/>
                <w:right w:val="none" w:sz="0" w:space="0" w:color="auto"/>
              </w:divBdr>
            </w:div>
          </w:divsChild>
        </w:div>
        <w:div w:id="1370298673">
          <w:marLeft w:val="0"/>
          <w:marRight w:val="0"/>
          <w:marTop w:val="0"/>
          <w:marBottom w:val="0"/>
          <w:divBdr>
            <w:top w:val="none" w:sz="0" w:space="0" w:color="auto"/>
            <w:left w:val="none" w:sz="0" w:space="0" w:color="auto"/>
            <w:bottom w:val="none" w:sz="0" w:space="0" w:color="auto"/>
            <w:right w:val="none" w:sz="0" w:space="0" w:color="auto"/>
          </w:divBdr>
          <w:divsChild>
            <w:div w:id="1433552476">
              <w:marLeft w:val="0"/>
              <w:marRight w:val="0"/>
              <w:marTop w:val="0"/>
              <w:marBottom w:val="0"/>
              <w:divBdr>
                <w:top w:val="none" w:sz="0" w:space="0" w:color="auto"/>
                <w:left w:val="none" w:sz="0" w:space="0" w:color="auto"/>
                <w:bottom w:val="none" w:sz="0" w:space="0" w:color="auto"/>
                <w:right w:val="none" w:sz="0" w:space="0" w:color="auto"/>
              </w:divBdr>
            </w:div>
          </w:divsChild>
        </w:div>
        <w:div w:id="1409688777">
          <w:marLeft w:val="0"/>
          <w:marRight w:val="0"/>
          <w:marTop w:val="0"/>
          <w:marBottom w:val="0"/>
          <w:divBdr>
            <w:top w:val="none" w:sz="0" w:space="0" w:color="auto"/>
            <w:left w:val="none" w:sz="0" w:space="0" w:color="auto"/>
            <w:bottom w:val="none" w:sz="0" w:space="0" w:color="auto"/>
            <w:right w:val="none" w:sz="0" w:space="0" w:color="auto"/>
          </w:divBdr>
          <w:divsChild>
            <w:div w:id="2043557030">
              <w:marLeft w:val="0"/>
              <w:marRight w:val="0"/>
              <w:marTop w:val="0"/>
              <w:marBottom w:val="0"/>
              <w:divBdr>
                <w:top w:val="none" w:sz="0" w:space="0" w:color="auto"/>
                <w:left w:val="none" w:sz="0" w:space="0" w:color="auto"/>
                <w:bottom w:val="none" w:sz="0" w:space="0" w:color="auto"/>
                <w:right w:val="none" w:sz="0" w:space="0" w:color="auto"/>
              </w:divBdr>
            </w:div>
          </w:divsChild>
        </w:div>
        <w:div w:id="1446658816">
          <w:marLeft w:val="0"/>
          <w:marRight w:val="0"/>
          <w:marTop w:val="0"/>
          <w:marBottom w:val="0"/>
          <w:divBdr>
            <w:top w:val="none" w:sz="0" w:space="0" w:color="auto"/>
            <w:left w:val="none" w:sz="0" w:space="0" w:color="auto"/>
            <w:bottom w:val="none" w:sz="0" w:space="0" w:color="auto"/>
            <w:right w:val="none" w:sz="0" w:space="0" w:color="auto"/>
          </w:divBdr>
          <w:divsChild>
            <w:div w:id="1438405406">
              <w:marLeft w:val="0"/>
              <w:marRight w:val="0"/>
              <w:marTop w:val="0"/>
              <w:marBottom w:val="0"/>
              <w:divBdr>
                <w:top w:val="none" w:sz="0" w:space="0" w:color="auto"/>
                <w:left w:val="none" w:sz="0" w:space="0" w:color="auto"/>
                <w:bottom w:val="none" w:sz="0" w:space="0" w:color="auto"/>
                <w:right w:val="none" w:sz="0" w:space="0" w:color="auto"/>
              </w:divBdr>
            </w:div>
          </w:divsChild>
        </w:div>
        <w:div w:id="1457915690">
          <w:marLeft w:val="0"/>
          <w:marRight w:val="0"/>
          <w:marTop w:val="0"/>
          <w:marBottom w:val="0"/>
          <w:divBdr>
            <w:top w:val="none" w:sz="0" w:space="0" w:color="auto"/>
            <w:left w:val="none" w:sz="0" w:space="0" w:color="auto"/>
            <w:bottom w:val="none" w:sz="0" w:space="0" w:color="auto"/>
            <w:right w:val="none" w:sz="0" w:space="0" w:color="auto"/>
          </w:divBdr>
          <w:divsChild>
            <w:div w:id="1201629841">
              <w:marLeft w:val="0"/>
              <w:marRight w:val="0"/>
              <w:marTop w:val="0"/>
              <w:marBottom w:val="0"/>
              <w:divBdr>
                <w:top w:val="none" w:sz="0" w:space="0" w:color="auto"/>
                <w:left w:val="none" w:sz="0" w:space="0" w:color="auto"/>
                <w:bottom w:val="none" w:sz="0" w:space="0" w:color="auto"/>
                <w:right w:val="none" w:sz="0" w:space="0" w:color="auto"/>
              </w:divBdr>
            </w:div>
            <w:div w:id="1345520005">
              <w:marLeft w:val="0"/>
              <w:marRight w:val="0"/>
              <w:marTop w:val="0"/>
              <w:marBottom w:val="0"/>
              <w:divBdr>
                <w:top w:val="none" w:sz="0" w:space="0" w:color="auto"/>
                <w:left w:val="none" w:sz="0" w:space="0" w:color="auto"/>
                <w:bottom w:val="none" w:sz="0" w:space="0" w:color="auto"/>
                <w:right w:val="none" w:sz="0" w:space="0" w:color="auto"/>
              </w:divBdr>
            </w:div>
          </w:divsChild>
        </w:div>
        <w:div w:id="1486585724">
          <w:marLeft w:val="0"/>
          <w:marRight w:val="0"/>
          <w:marTop w:val="0"/>
          <w:marBottom w:val="0"/>
          <w:divBdr>
            <w:top w:val="none" w:sz="0" w:space="0" w:color="auto"/>
            <w:left w:val="none" w:sz="0" w:space="0" w:color="auto"/>
            <w:bottom w:val="none" w:sz="0" w:space="0" w:color="auto"/>
            <w:right w:val="none" w:sz="0" w:space="0" w:color="auto"/>
          </w:divBdr>
          <w:divsChild>
            <w:div w:id="576669827">
              <w:marLeft w:val="0"/>
              <w:marRight w:val="0"/>
              <w:marTop w:val="0"/>
              <w:marBottom w:val="0"/>
              <w:divBdr>
                <w:top w:val="none" w:sz="0" w:space="0" w:color="auto"/>
                <w:left w:val="none" w:sz="0" w:space="0" w:color="auto"/>
                <w:bottom w:val="none" w:sz="0" w:space="0" w:color="auto"/>
                <w:right w:val="none" w:sz="0" w:space="0" w:color="auto"/>
              </w:divBdr>
            </w:div>
          </w:divsChild>
        </w:div>
        <w:div w:id="1504474042">
          <w:marLeft w:val="0"/>
          <w:marRight w:val="0"/>
          <w:marTop w:val="0"/>
          <w:marBottom w:val="0"/>
          <w:divBdr>
            <w:top w:val="none" w:sz="0" w:space="0" w:color="auto"/>
            <w:left w:val="none" w:sz="0" w:space="0" w:color="auto"/>
            <w:bottom w:val="none" w:sz="0" w:space="0" w:color="auto"/>
            <w:right w:val="none" w:sz="0" w:space="0" w:color="auto"/>
          </w:divBdr>
          <w:divsChild>
            <w:div w:id="1343893867">
              <w:marLeft w:val="0"/>
              <w:marRight w:val="0"/>
              <w:marTop w:val="0"/>
              <w:marBottom w:val="0"/>
              <w:divBdr>
                <w:top w:val="none" w:sz="0" w:space="0" w:color="auto"/>
                <w:left w:val="none" w:sz="0" w:space="0" w:color="auto"/>
                <w:bottom w:val="none" w:sz="0" w:space="0" w:color="auto"/>
                <w:right w:val="none" w:sz="0" w:space="0" w:color="auto"/>
              </w:divBdr>
            </w:div>
          </w:divsChild>
        </w:div>
        <w:div w:id="1507212426">
          <w:marLeft w:val="0"/>
          <w:marRight w:val="0"/>
          <w:marTop w:val="0"/>
          <w:marBottom w:val="0"/>
          <w:divBdr>
            <w:top w:val="none" w:sz="0" w:space="0" w:color="auto"/>
            <w:left w:val="none" w:sz="0" w:space="0" w:color="auto"/>
            <w:bottom w:val="none" w:sz="0" w:space="0" w:color="auto"/>
            <w:right w:val="none" w:sz="0" w:space="0" w:color="auto"/>
          </w:divBdr>
          <w:divsChild>
            <w:div w:id="341392654">
              <w:marLeft w:val="0"/>
              <w:marRight w:val="0"/>
              <w:marTop w:val="0"/>
              <w:marBottom w:val="0"/>
              <w:divBdr>
                <w:top w:val="none" w:sz="0" w:space="0" w:color="auto"/>
                <w:left w:val="none" w:sz="0" w:space="0" w:color="auto"/>
                <w:bottom w:val="none" w:sz="0" w:space="0" w:color="auto"/>
                <w:right w:val="none" w:sz="0" w:space="0" w:color="auto"/>
              </w:divBdr>
            </w:div>
          </w:divsChild>
        </w:div>
        <w:div w:id="1533761560">
          <w:marLeft w:val="0"/>
          <w:marRight w:val="0"/>
          <w:marTop w:val="0"/>
          <w:marBottom w:val="0"/>
          <w:divBdr>
            <w:top w:val="none" w:sz="0" w:space="0" w:color="auto"/>
            <w:left w:val="none" w:sz="0" w:space="0" w:color="auto"/>
            <w:bottom w:val="none" w:sz="0" w:space="0" w:color="auto"/>
            <w:right w:val="none" w:sz="0" w:space="0" w:color="auto"/>
          </w:divBdr>
          <w:divsChild>
            <w:div w:id="475026524">
              <w:marLeft w:val="0"/>
              <w:marRight w:val="0"/>
              <w:marTop w:val="0"/>
              <w:marBottom w:val="0"/>
              <w:divBdr>
                <w:top w:val="none" w:sz="0" w:space="0" w:color="auto"/>
                <w:left w:val="none" w:sz="0" w:space="0" w:color="auto"/>
                <w:bottom w:val="none" w:sz="0" w:space="0" w:color="auto"/>
                <w:right w:val="none" w:sz="0" w:space="0" w:color="auto"/>
              </w:divBdr>
            </w:div>
            <w:div w:id="1141121669">
              <w:marLeft w:val="0"/>
              <w:marRight w:val="0"/>
              <w:marTop w:val="0"/>
              <w:marBottom w:val="0"/>
              <w:divBdr>
                <w:top w:val="none" w:sz="0" w:space="0" w:color="auto"/>
                <w:left w:val="none" w:sz="0" w:space="0" w:color="auto"/>
                <w:bottom w:val="none" w:sz="0" w:space="0" w:color="auto"/>
                <w:right w:val="none" w:sz="0" w:space="0" w:color="auto"/>
              </w:divBdr>
            </w:div>
            <w:div w:id="1389259332">
              <w:marLeft w:val="0"/>
              <w:marRight w:val="0"/>
              <w:marTop w:val="0"/>
              <w:marBottom w:val="0"/>
              <w:divBdr>
                <w:top w:val="none" w:sz="0" w:space="0" w:color="auto"/>
                <w:left w:val="none" w:sz="0" w:space="0" w:color="auto"/>
                <w:bottom w:val="none" w:sz="0" w:space="0" w:color="auto"/>
                <w:right w:val="none" w:sz="0" w:space="0" w:color="auto"/>
              </w:divBdr>
            </w:div>
            <w:div w:id="1615672342">
              <w:marLeft w:val="0"/>
              <w:marRight w:val="0"/>
              <w:marTop w:val="0"/>
              <w:marBottom w:val="0"/>
              <w:divBdr>
                <w:top w:val="none" w:sz="0" w:space="0" w:color="auto"/>
                <w:left w:val="none" w:sz="0" w:space="0" w:color="auto"/>
                <w:bottom w:val="none" w:sz="0" w:space="0" w:color="auto"/>
                <w:right w:val="none" w:sz="0" w:space="0" w:color="auto"/>
              </w:divBdr>
            </w:div>
            <w:div w:id="1734618014">
              <w:marLeft w:val="0"/>
              <w:marRight w:val="0"/>
              <w:marTop w:val="0"/>
              <w:marBottom w:val="0"/>
              <w:divBdr>
                <w:top w:val="none" w:sz="0" w:space="0" w:color="auto"/>
                <w:left w:val="none" w:sz="0" w:space="0" w:color="auto"/>
                <w:bottom w:val="none" w:sz="0" w:space="0" w:color="auto"/>
                <w:right w:val="none" w:sz="0" w:space="0" w:color="auto"/>
              </w:divBdr>
            </w:div>
            <w:div w:id="2036153294">
              <w:marLeft w:val="0"/>
              <w:marRight w:val="0"/>
              <w:marTop w:val="0"/>
              <w:marBottom w:val="0"/>
              <w:divBdr>
                <w:top w:val="none" w:sz="0" w:space="0" w:color="auto"/>
                <w:left w:val="none" w:sz="0" w:space="0" w:color="auto"/>
                <w:bottom w:val="none" w:sz="0" w:space="0" w:color="auto"/>
                <w:right w:val="none" w:sz="0" w:space="0" w:color="auto"/>
              </w:divBdr>
            </w:div>
          </w:divsChild>
        </w:div>
        <w:div w:id="1538161491">
          <w:marLeft w:val="0"/>
          <w:marRight w:val="0"/>
          <w:marTop w:val="0"/>
          <w:marBottom w:val="0"/>
          <w:divBdr>
            <w:top w:val="none" w:sz="0" w:space="0" w:color="auto"/>
            <w:left w:val="none" w:sz="0" w:space="0" w:color="auto"/>
            <w:bottom w:val="none" w:sz="0" w:space="0" w:color="auto"/>
            <w:right w:val="none" w:sz="0" w:space="0" w:color="auto"/>
          </w:divBdr>
          <w:divsChild>
            <w:div w:id="781220175">
              <w:marLeft w:val="0"/>
              <w:marRight w:val="0"/>
              <w:marTop w:val="0"/>
              <w:marBottom w:val="0"/>
              <w:divBdr>
                <w:top w:val="none" w:sz="0" w:space="0" w:color="auto"/>
                <w:left w:val="none" w:sz="0" w:space="0" w:color="auto"/>
                <w:bottom w:val="none" w:sz="0" w:space="0" w:color="auto"/>
                <w:right w:val="none" w:sz="0" w:space="0" w:color="auto"/>
              </w:divBdr>
            </w:div>
            <w:div w:id="1728725212">
              <w:marLeft w:val="0"/>
              <w:marRight w:val="0"/>
              <w:marTop w:val="0"/>
              <w:marBottom w:val="0"/>
              <w:divBdr>
                <w:top w:val="none" w:sz="0" w:space="0" w:color="auto"/>
                <w:left w:val="none" w:sz="0" w:space="0" w:color="auto"/>
                <w:bottom w:val="none" w:sz="0" w:space="0" w:color="auto"/>
                <w:right w:val="none" w:sz="0" w:space="0" w:color="auto"/>
              </w:divBdr>
            </w:div>
          </w:divsChild>
        </w:div>
        <w:div w:id="1552379996">
          <w:marLeft w:val="0"/>
          <w:marRight w:val="0"/>
          <w:marTop w:val="0"/>
          <w:marBottom w:val="0"/>
          <w:divBdr>
            <w:top w:val="none" w:sz="0" w:space="0" w:color="auto"/>
            <w:left w:val="none" w:sz="0" w:space="0" w:color="auto"/>
            <w:bottom w:val="none" w:sz="0" w:space="0" w:color="auto"/>
            <w:right w:val="none" w:sz="0" w:space="0" w:color="auto"/>
          </w:divBdr>
          <w:divsChild>
            <w:div w:id="1398473447">
              <w:marLeft w:val="0"/>
              <w:marRight w:val="0"/>
              <w:marTop w:val="0"/>
              <w:marBottom w:val="0"/>
              <w:divBdr>
                <w:top w:val="none" w:sz="0" w:space="0" w:color="auto"/>
                <w:left w:val="none" w:sz="0" w:space="0" w:color="auto"/>
                <w:bottom w:val="none" w:sz="0" w:space="0" w:color="auto"/>
                <w:right w:val="none" w:sz="0" w:space="0" w:color="auto"/>
              </w:divBdr>
            </w:div>
          </w:divsChild>
        </w:div>
        <w:div w:id="1623657506">
          <w:marLeft w:val="0"/>
          <w:marRight w:val="0"/>
          <w:marTop w:val="0"/>
          <w:marBottom w:val="0"/>
          <w:divBdr>
            <w:top w:val="none" w:sz="0" w:space="0" w:color="auto"/>
            <w:left w:val="none" w:sz="0" w:space="0" w:color="auto"/>
            <w:bottom w:val="none" w:sz="0" w:space="0" w:color="auto"/>
            <w:right w:val="none" w:sz="0" w:space="0" w:color="auto"/>
          </w:divBdr>
          <w:divsChild>
            <w:div w:id="489978834">
              <w:marLeft w:val="0"/>
              <w:marRight w:val="0"/>
              <w:marTop w:val="0"/>
              <w:marBottom w:val="0"/>
              <w:divBdr>
                <w:top w:val="none" w:sz="0" w:space="0" w:color="auto"/>
                <w:left w:val="none" w:sz="0" w:space="0" w:color="auto"/>
                <w:bottom w:val="none" w:sz="0" w:space="0" w:color="auto"/>
                <w:right w:val="none" w:sz="0" w:space="0" w:color="auto"/>
              </w:divBdr>
            </w:div>
          </w:divsChild>
        </w:div>
        <w:div w:id="1637485339">
          <w:marLeft w:val="0"/>
          <w:marRight w:val="0"/>
          <w:marTop w:val="0"/>
          <w:marBottom w:val="0"/>
          <w:divBdr>
            <w:top w:val="none" w:sz="0" w:space="0" w:color="auto"/>
            <w:left w:val="none" w:sz="0" w:space="0" w:color="auto"/>
            <w:bottom w:val="none" w:sz="0" w:space="0" w:color="auto"/>
            <w:right w:val="none" w:sz="0" w:space="0" w:color="auto"/>
          </w:divBdr>
          <w:divsChild>
            <w:div w:id="1376003007">
              <w:marLeft w:val="0"/>
              <w:marRight w:val="0"/>
              <w:marTop w:val="0"/>
              <w:marBottom w:val="0"/>
              <w:divBdr>
                <w:top w:val="none" w:sz="0" w:space="0" w:color="auto"/>
                <w:left w:val="none" w:sz="0" w:space="0" w:color="auto"/>
                <w:bottom w:val="none" w:sz="0" w:space="0" w:color="auto"/>
                <w:right w:val="none" w:sz="0" w:space="0" w:color="auto"/>
              </w:divBdr>
            </w:div>
          </w:divsChild>
        </w:div>
        <w:div w:id="1642266939">
          <w:marLeft w:val="0"/>
          <w:marRight w:val="0"/>
          <w:marTop w:val="0"/>
          <w:marBottom w:val="0"/>
          <w:divBdr>
            <w:top w:val="none" w:sz="0" w:space="0" w:color="auto"/>
            <w:left w:val="none" w:sz="0" w:space="0" w:color="auto"/>
            <w:bottom w:val="none" w:sz="0" w:space="0" w:color="auto"/>
            <w:right w:val="none" w:sz="0" w:space="0" w:color="auto"/>
          </w:divBdr>
          <w:divsChild>
            <w:div w:id="88429436">
              <w:marLeft w:val="0"/>
              <w:marRight w:val="0"/>
              <w:marTop w:val="0"/>
              <w:marBottom w:val="0"/>
              <w:divBdr>
                <w:top w:val="none" w:sz="0" w:space="0" w:color="auto"/>
                <w:left w:val="none" w:sz="0" w:space="0" w:color="auto"/>
                <w:bottom w:val="none" w:sz="0" w:space="0" w:color="auto"/>
                <w:right w:val="none" w:sz="0" w:space="0" w:color="auto"/>
              </w:divBdr>
            </w:div>
            <w:div w:id="1778864184">
              <w:marLeft w:val="0"/>
              <w:marRight w:val="0"/>
              <w:marTop w:val="0"/>
              <w:marBottom w:val="0"/>
              <w:divBdr>
                <w:top w:val="none" w:sz="0" w:space="0" w:color="auto"/>
                <w:left w:val="none" w:sz="0" w:space="0" w:color="auto"/>
                <w:bottom w:val="none" w:sz="0" w:space="0" w:color="auto"/>
                <w:right w:val="none" w:sz="0" w:space="0" w:color="auto"/>
              </w:divBdr>
            </w:div>
          </w:divsChild>
        </w:div>
        <w:div w:id="1665627350">
          <w:marLeft w:val="0"/>
          <w:marRight w:val="0"/>
          <w:marTop w:val="0"/>
          <w:marBottom w:val="0"/>
          <w:divBdr>
            <w:top w:val="none" w:sz="0" w:space="0" w:color="auto"/>
            <w:left w:val="none" w:sz="0" w:space="0" w:color="auto"/>
            <w:bottom w:val="none" w:sz="0" w:space="0" w:color="auto"/>
            <w:right w:val="none" w:sz="0" w:space="0" w:color="auto"/>
          </w:divBdr>
          <w:divsChild>
            <w:div w:id="2109344294">
              <w:marLeft w:val="0"/>
              <w:marRight w:val="0"/>
              <w:marTop w:val="0"/>
              <w:marBottom w:val="0"/>
              <w:divBdr>
                <w:top w:val="none" w:sz="0" w:space="0" w:color="auto"/>
                <w:left w:val="none" w:sz="0" w:space="0" w:color="auto"/>
                <w:bottom w:val="none" w:sz="0" w:space="0" w:color="auto"/>
                <w:right w:val="none" w:sz="0" w:space="0" w:color="auto"/>
              </w:divBdr>
            </w:div>
          </w:divsChild>
        </w:div>
        <w:div w:id="1679456532">
          <w:marLeft w:val="0"/>
          <w:marRight w:val="0"/>
          <w:marTop w:val="0"/>
          <w:marBottom w:val="0"/>
          <w:divBdr>
            <w:top w:val="none" w:sz="0" w:space="0" w:color="auto"/>
            <w:left w:val="none" w:sz="0" w:space="0" w:color="auto"/>
            <w:bottom w:val="none" w:sz="0" w:space="0" w:color="auto"/>
            <w:right w:val="none" w:sz="0" w:space="0" w:color="auto"/>
          </w:divBdr>
        </w:div>
        <w:div w:id="1683243624">
          <w:marLeft w:val="-75"/>
          <w:marRight w:val="0"/>
          <w:marTop w:val="30"/>
          <w:marBottom w:val="30"/>
          <w:divBdr>
            <w:top w:val="none" w:sz="0" w:space="0" w:color="auto"/>
            <w:left w:val="none" w:sz="0" w:space="0" w:color="auto"/>
            <w:bottom w:val="none" w:sz="0" w:space="0" w:color="auto"/>
            <w:right w:val="none" w:sz="0" w:space="0" w:color="auto"/>
          </w:divBdr>
          <w:divsChild>
            <w:div w:id="103771701">
              <w:marLeft w:val="0"/>
              <w:marRight w:val="0"/>
              <w:marTop w:val="0"/>
              <w:marBottom w:val="0"/>
              <w:divBdr>
                <w:top w:val="none" w:sz="0" w:space="0" w:color="auto"/>
                <w:left w:val="none" w:sz="0" w:space="0" w:color="auto"/>
                <w:bottom w:val="none" w:sz="0" w:space="0" w:color="auto"/>
                <w:right w:val="none" w:sz="0" w:space="0" w:color="auto"/>
              </w:divBdr>
              <w:divsChild>
                <w:div w:id="1455171053">
                  <w:marLeft w:val="0"/>
                  <w:marRight w:val="0"/>
                  <w:marTop w:val="0"/>
                  <w:marBottom w:val="0"/>
                  <w:divBdr>
                    <w:top w:val="none" w:sz="0" w:space="0" w:color="auto"/>
                    <w:left w:val="none" w:sz="0" w:space="0" w:color="auto"/>
                    <w:bottom w:val="none" w:sz="0" w:space="0" w:color="auto"/>
                    <w:right w:val="none" w:sz="0" w:space="0" w:color="auto"/>
                  </w:divBdr>
                </w:div>
              </w:divsChild>
            </w:div>
            <w:div w:id="247807193">
              <w:marLeft w:val="0"/>
              <w:marRight w:val="0"/>
              <w:marTop w:val="0"/>
              <w:marBottom w:val="0"/>
              <w:divBdr>
                <w:top w:val="none" w:sz="0" w:space="0" w:color="auto"/>
                <w:left w:val="none" w:sz="0" w:space="0" w:color="auto"/>
                <w:bottom w:val="none" w:sz="0" w:space="0" w:color="auto"/>
                <w:right w:val="none" w:sz="0" w:space="0" w:color="auto"/>
              </w:divBdr>
              <w:divsChild>
                <w:div w:id="2126271811">
                  <w:marLeft w:val="0"/>
                  <w:marRight w:val="0"/>
                  <w:marTop w:val="0"/>
                  <w:marBottom w:val="0"/>
                  <w:divBdr>
                    <w:top w:val="none" w:sz="0" w:space="0" w:color="auto"/>
                    <w:left w:val="none" w:sz="0" w:space="0" w:color="auto"/>
                    <w:bottom w:val="none" w:sz="0" w:space="0" w:color="auto"/>
                    <w:right w:val="none" w:sz="0" w:space="0" w:color="auto"/>
                  </w:divBdr>
                </w:div>
              </w:divsChild>
            </w:div>
            <w:div w:id="260339106">
              <w:marLeft w:val="0"/>
              <w:marRight w:val="0"/>
              <w:marTop w:val="0"/>
              <w:marBottom w:val="0"/>
              <w:divBdr>
                <w:top w:val="none" w:sz="0" w:space="0" w:color="auto"/>
                <w:left w:val="none" w:sz="0" w:space="0" w:color="auto"/>
                <w:bottom w:val="none" w:sz="0" w:space="0" w:color="auto"/>
                <w:right w:val="none" w:sz="0" w:space="0" w:color="auto"/>
              </w:divBdr>
              <w:divsChild>
                <w:div w:id="145780234">
                  <w:marLeft w:val="0"/>
                  <w:marRight w:val="0"/>
                  <w:marTop w:val="0"/>
                  <w:marBottom w:val="0"/>
                  <w:divBdr>
                    <w:top w:val="none" w:sz="0" w:space="0" w:color="auto"/>
                    <w:left w:val="none" w:sz="0" w:space="0" w:color="auto"/>
                    <w:bottom w:val="none" w:sz="0" w:space="0" w:color="auto"/>
                    <w:right w:val="none" w:sz="0" w:space="0" w:color="auto"/>
                  </w:divBdr>
                </w:div>
              </w:divsChild>
            </w:div>
            <w:div w:id="290062585">
              <w:marLeft w:val="0"/>
              <w:marRight w:val="0"/>
              <w:marTop w:val="0"/>
              <w:marBottom w:val="0"/>
              <w:divBdr>
                <w:top w:val="none" w:sz="0" w:space="0" w:color="auto"/>
                <w:left w:val="none" w:sz="0" w:space="0" w:color="auto"/>
                <w:bottom w:val="none" w:sz="0" w:space="0" w:color="auto"/>
                <w:right w:val="none" w:sz="0" w:space="0" w:color="auto"/>
              </w:divBdr>
              <w:divsChild>
                <w:div w:id="248582112">
                  <w:marLeft w:val="0"/>
                  <w:marRight w:val="0"/>
                  <w:marTop w:val="0"/>
                  <w:marBottom w:val="0"/>
                  <w:divBdr>
                    <w:top w:val="none" w:sz="0" w:space="0" w:color="auto"/>
                    <w:left w:val="none" w:sz="0" w:space="0" w:color="auto"/>
                    <w:bottom w:val="none" w:sz="0" w:space="0" w:color="auto"/>
                    <w:right w:val="none" w:sz="0" w:space="0" w:color="auto"/>
                  </w:divBdr>
                </w:div>
              </w:divsChild>
            </w:div>
            <w:div w:id="325256112">
              <w:marLeft w:val="0"/>
              <w:marRight w:val="0"/>
              <w:marTop w:val="0"/>
              <w:marBottom w:val="0"/>
              <w:divBdr>
                <w:top w:val="none" w:sz="0" w:space="0" w:color="auto"/>
                <w:left w:val="none" w:sz="0" w:space="0" w:color="auto"/>
                <w:bottom w:val="none" w:sz="0" w:space="0" w:color="auto"/>
                <w:right w:val="none" w:sz="0" w:space="0" w:color="auto"/>
              </w:divBdr>
              <w:divsChild>
                <w:div w:id="1364986451">
                  <w:marLeft w:val="0"/>
                  <w:marRight w:val="0"/>
                  <w:marTop w:val="0"/>
                  <w:marBottom w:val="0"/>
                  <w:divBdr>
                    <w:top w:val="none" w:sz="0" w:space="0" w:color="auto"/>
                    <w:left w:val="none" w:sz="0" w:space="0" w:color="auto"/>
                    <w:bottom w:val="none" w:sz="0" w:space="0" w:color="auto"/>
                    <w:right w:val="none" w:sz="0" w:space="0" w:color="auto"/>
                  </w:divBdr>
                </w:div>
              </w:divsChild>
            </w:div>
            <w:div w:id="671030563">
              <w:marLeft w:val="0"/>
              <w:marRight w:val="0"/>
              <w:marTop w:val="0"/>
              <w:marBottom w:val="0"/>
              <w:divBdr>
                <w:top w:val="none" w:sz="0" w:space="0" w:color="auto"/>
                <w:left w:val="none" w:sz="0" w:space="0" w:color="auto"/>
                <w:bottom w:val="none" w:sz="0" w:space="0" w:color="auto"/>
                <w:right w:val="none" w:sz="0" w:space="0" w:color="auto"/>
              </w:divBdr>
              <w:divsChild>
                <w:div w:id="522785100">
                  <w:marLeft w:val="0"/>
                  <w:marRight w:val="0"/>
                  <w:marTop w:val="0"/>
                  <w:marBottom w:val="0"/>
                  <w:divBdr>
                    <w:top w:val="none" w:sz="0" w:space="0" w:color="auto"/>
                    <w:left w:val="none" w:sz="0" w:space="0" w:color="auto"/>
                    <w:bottom w:val="none" w:sz="0" w:space="0" w:color="auto"/>
                    <w:right w:val="none" w:sz="0" w:space="0" w:color="auto"/>
                  </w:divBdr>
                </w:div>
                <w:div w:id="551576130">
                  <w:marLeft w:val="0"/>
                  <w:marRight w:val="0"/>
                  <w:marTop w:val="0"/>
                  <w:marBottom w:val="0"/>
                  <w:divBdr>
                    <w:top w:val="none" w:sz="0" w:space="0" w:color="auto"/>
                    <w:left w:val="none" w:sz="0" w:space="0" w:color="auto"/>
                    <w:bottom w:val="none" w:sz="0" w:space="0" w:color="auto"/>
                    <w:right w:val="none" w:sz="0" w:space="0" w:color="auto"/>
                  </w:divBdr>
                </w:div>
              </w:divsChild>
            </w:div>
            <w:div w:id="738403681">
              <w:marLeft w:val="0"/>
              <w:marRight w:val="0"/>
              <w:marTop w:val="0"/>
              <w:marBottom w:val="0"/>
              <w:divBdr>
                <w:top w:val="none" w:sz="0" w:space="0" w:color="auto"/>
                <w:left w:val="none" w:sz="0" w:space="0" w:color="auto"/>
                <w:bottom w:val="none" w:sz="0" w:space="0" w:color="auto"/>
                <w:right w:val="none" w:sz="0" w:space="0" w:color="auto"/>
              </w:divBdr>
              <w:divsChild>
                <w:div w:id="886180622">
                  <w:marLeft w:val="0"/>
                  <w:marRight w:val="0"/>
                  <w:marTop w:val="0"/>
                  <w:marBottom w:val="0"/>
                  <w:divBdr>
                    <w:top w:val="none" w:sz="0" w:space="0" w:color="auto"/>
                    <w:left w:val="none" w:sz="0" w:space="0" w:color="auto"/>
                    <w:bottom w:val="none" w:sz="0" w:space="0" w:color="auto"/>
                    <w:right w:val="none" w:sz="0" w:space="0" w:color="auto"/>
                  </w:divBdr>
                </w:div>
              </w:divsChild>
            </w:div>
            <w:div w:id="742607522">
              <w:marLeft w:val="0"/>
              <w:marRight w:val="0"/>
              <w:marTop w:val="0"/>
              <w:marBottom w:val="0"/>
              <w:divBdr>
                <w:top w:val="none" w:sz="0" w:space="0" w:color="auto"/>
                <w:left w:val="none" w:sz="0" w:space="0" w:color="auto"/>
                <w:bottom w:val="none" w:sz="0" w:space="0" w:color="auto"/>
                <w:right w:val="none" w:sz="0" w:space="0" w:color="auto"/>
              </w:divBdr>
              <w:divsChild>
                <w:div w:id="619579484">
                  <w:marLeft w:val="0"/>
                  <w:marRight w:val="0"/>
                  <w:marTop w:val="0"/>
                  <w:marBottom w:val="0"/>
                  <w:divBdr>
                    <w:top w:val="none" w:sz="0" w:space="0" w:color="auto"/>
                    <w:left w:val="none" w:sz="0" w:space="0" w:color="auto"/>
                    <w:bottom w:val="none" w:sz="0" w:space="0" w:color="auto"/>
                    <w:right w:val="none" w:sz="0" w:space="0" w:color="auto"/>
                  </w:divBdr>
                </w:div>
              </w:divsChild>
            </w:div>
            <w:div w:id="903030070">
              <w:marLeft w:val="0"/>
              <w:marRight w:val="0"/>
              <w:marTop w:val="0"/>
              <w:marBottom w:val="0"/>
              <w:divBdr>
                <w:top w:val="none" w:sz="0" w:space="0" w:color="auto"/>
                <w:left w:val="none" w:sz="0" w:space="0" w:color="auto"/>
                <w:bottom w:val="none" w:sz="0" w:space="0" w:color="auto"/>
                <w:right w:val="none" w:sz="0" w:space="0" w:color="auto"/>
              </w:divBdr>
              <w:divsChild>
                <w:div w:id="2143617352">
                  <w:marLeft w:val="0"/>
                  <w:marRight w:val="0"/>
                  <w:marTop w:val="0"/>
                  <w:marBottom w:val="0"/>
                  <w:divBdr>
                    <w:top w:val="none" w:sz="0" w:space="0" w:color="auto"/>
                    <w:left w:val="none" w:sz="0" w:space="0" w:color="auto"/>
                    <w:bottom w:val="none" w:sz="0" w:space="0" w:color="auto"/>
                    <w:right w:val="none" w:sz="0" w:space="0" w:color="auto"/>
                  </w:divBdr>
                </w:div>
              </w:divsChild>
            </w:div>
            <w:div w:id="942691053">
              <w:marLeft w:val="0"/>
              <w:marRight w:val="0"/>
              <w:marTop w:val="0"/>
              <w:marBottom w:val="0"/>
              <w:divBdr>
                <w:top w:val="none" w:sz="0" w:space="0" w:color="auto"/>
                <w:left w:val="none" w:sz="0" w:space="0" w:color="auto"/>
                <w:bottom w:val="none" w:sz="0" w:space="0" w:color="auto"/>
                <w:right w:val="none" w:sz="0" w:space="0" w:color="auto"/>
              </w:divBdr>
              <w:divsChild>
                <w:div w:id="2018463654">
                  <w:marLeft w:val="0"/>
                  <w:marRight w:val="0"/>
                  <w:marTop w:val="0"/>
                  <w:marBottom w:val="0"/>
                  <w:divBdr>
                    <w:top w:val="none" w:sz="0" w:space="0" w:color="auto"/>
                    <w:left w:val="none" w:sz="0" w:space="0" w:color="auto"/>
                    <w:bottom w:val="none" w:sz="0" w:space="0" w:color="auto"/>
                    <w:right w:val="none" w:sz="0" w:space="0" w:color="auto"/>
                  </w:divBdr>
                </w:div>
              </w:divsChild>
            </w:div>
            <w:div w:id="980503969">
              <w:marLeft w:val="0"/>
              <w:marRight w:val="0"/>
              <w:marTop w:val="0"/>
              <w:marBottom w:val="0"/>
              <w:divBdr>
                <w:top w:val="none" w:sz="0" w:space="0" w:color="auto"/>
                <w:left w:val="none" w:sz="0" w:space="0" w:color="auto"/>
                <w:bottom w:val="none" w:sz="0" w:space="0" w:color="auto"/>
                <w:right w:val="none" w:sz="0" w:space="0" w:color="auto"/>
              </w:divBdr>
              <w:divsChild>
                <w:div w:id="2142527333">
                  <w:marLeft w:val="0"/>
                  <w:marRight w:val="0"/>
                  <w:marTop w:val="0"/>
                  <w:marBottom w:val="0"/>
                  <w:divBdr>
                    <w:top w:val="none" w:sz="0" w:space="0" w:color="auto"/>
                    <w:left w:val="none" w:sz="0" w:space="0" w:color="auto"/>
                    <w:bottom w:val="none" w:sz="0" w:space="0" w:color="auto"/>
                    <w:right w:val="none" w:sz="0" w:space="0" w:color="auto"/>
                  </w:divBdr>
                </w:div>
              </w:divsChild>
            </w:div>
            <w:div w:id="1193376741">
              <w:marLeft w:val="0"/>
              <w:marRight w:val="0"/>
              <w:marTop w:val="0"/>
              <w:marBottom w:val="0"/>
              <w:divBdr>
                <w:top w:val="none" w:sz="0" w:space="0" w:color="auto"/>
                <w:left w:val="none" w:sz="0" w:space="0" w:color="auto"/>
                <w:bottom w:val="none" w:sz="0" w:space="0" w:color="auto"/>
                <w:right w:val="none" w:sz="0" w:space="0" w:color="auto"/>
              </w:divBdr>
              <w:divsChild>
                <w:div w:id="156193603">
                  <w:marLeft w:val="0"/>
                  <w:marRight w:val="0"/>
                  <w:marTop w:val="0"/>
                  <w:marBottom w:val="0"/>
                  <w:divBdr>
                    <w:top w:val="none" w:sz="0" w:space="0" w:color="auto"/>
                    <w:left w:val="none" w:sz="0" w:space="0" w:color="auto"/>
                    <w:bottom w:val="none" w:sz="0" w:space="0" w:color="auto"/>
                    <w:right w:val="none" w:sz="0" w:space="0" w:color="auto"/>
                  </w:divBdr>
                </w:div>
              </w:divsChild>
            </w:div>
            <w:div w:id="1221137326">
              <w:marLeft w:val="0"/>
              <w:marRight w:val="0"/>
              <w:marTop w:val="0"/>
              <w:marBottom w:val="0"/>
              <w:divBdr>
                <w:top w:val="none" w:sz="0" w:space="0" w:color="auto"/>
                <w:left w:val="none" w:sz="0" w:space="0" w:color="auto"/>
                <w:bottom w:val="none" w:sz="0" w:space="0" w:color="auto"/>
                <w:right w:val="none" w:sz="0" w:space="0" w:color="auto"/>
              </w:divBdr>
              <w:divsChild>
                <w:div w:id="300043681">
                  <w:marLeft w:val="0"/>
                  <w:marRight w:val="0"/>
                  <w:marTop w:val="0"/>
                  <w:marBottom w:val="0"/>
                  <w:divBdr>
                    <w:top w:val="none" w:sz="0" w:space="0" w:color="auto"/>
                    <w:left w:val="none" w:sz="0" w:space="0" w:color="auto"/>
                    <w:bottom w:val="none" w:sz="0" w:space="0" w:color="auto"/>
                    <w:right w:val="none" w:sz="0" w:space="0" w:color="auto"/>
                  </w:divBdr>
                </w:div>
              </w:divsChild>
            </w:div>
            <w:div w:id="1327898123">
              <w:marLeft w:val="0"/>
              <w:marRight w:val="0"/>
              <w:marTop w:val="0"/>
              <w:marBottom w:val="0"/>
              <w:divBdr>
                <w:top w:val="none" w:sz="0" w:space="0" w:color="auto"/>
                <w:left w:val="none" w:sz="0" w:space="0" w:color="auto"/>
                <w:bottom w:val="none" w:sz="0" w:space="0" w:color="auto"/>
                <w:right w:val="none" w:sz="0" w:space="0" w:color="auto"/>
              </w:divBdr>
              <w:divsChild>
                <w:div w:id="1856648942">
                  <w:marLeft w:val="0"/>
                  <w:marRight w:val="0"/>
                  <w:marTop w:val="0"/>
                  <w:marBottom w:val="0"/>
                  <w:divBdr>
                    <w:top w:val="none" w:sz="0" w:space="0" w:color="auto"/>
                    <w:left w:val="none" w:sz="0" w:space="0" w:color="auto"/>
                    <w:bottom w:val="none" w:sz="0" w:space="0" w:color="auto"/>
                    <w:right w:val="none" w:sz="0" w:space="0" w:color="auto"/>
                  </w:divBdr>
                </w:div>
              </w:divsChild>
            </w:div>
            <w:div w:id="1501311832">
              <w:marLeft w:val="0"/>
              <w:marRight w:val="0"/>
              <w:marTop w:val="0"/>
              <w:marBottom w:val="0"/>
              <w:divBdr>
                <w:top w:val="none" w:sz="0" w:space="0" w:color="auto"/>
                <w:left w:val="none" w:sz="0" w:space="0" w:color="auto"/>
                <w:bottom w:val="none" w:sz="0" w:space="0" w:color="auto"/>
                <w:right w:val="none" w:sz="0" w:space="0" w:color="auto"/>
              </w:divBdr>
              <w:divsChild>
                <w:div w:id="1491218704">
                  <w:marLeft w:val="0"/>
                  <w:marRight w:val="0"/>
                  <w:marTop w:val="0"/>
                  <w:marBottom w:val="0"/>
                  <w:divBdr>
                    <w:top w:val="none" w:sz="0" w:space="0" w:color="auto"/>
                    <w:left w:val="none" w:sz="0" w:space="0" w:color="auto"/>
                    <w:bottom w:val="none" w:sz="0" w:space="0" w:color="auto"/>
                    <w:right w:val="none" w:sz="0" w:space="0" w:color="auto"/>
                  </w:divBdr>
                </w:div>
              </w:divsChild>
            </w:div>
            <w:div w:id="1535577115">
              <w:marLeft w:val="0"/>
              <w:marRight w:val="0"/>
              <w:marTop w:val="0"/>
              <w:marBottom w:val="0"/>
              <w:divBdr>
                <w:top w:val="none" w:sz="0" w:space="0" w:color="auto"/>
                <w:left w:val="none" w:sz="0" w:space="0" w:color="auto"/>
                <w:bottom w:val="none" w:sz="0" w:space="0" w:color="auto"/>
                <w:right w:val="none" w:sz="0" w:space="0" w:color="auto"/>
              </w:divBdr>
              <w:divsChild>
                <w:div w:id="1341354681">
                  <w:marLeft w:val="0"/>
                  <w:marRight w:val="0"/>
                  <w:marTop w:val="0"/>
                  <w:marBottom w:val="0"/>
                  <w:divBdr>
                    <w:top w:val="none" w:sz="0" w:space="0" w:color="auto"/>
                    <w:left w:val="none" w:sz="0" w:space="0" w:color="auto"/>
                    <w:bottom w:val="none" w:sz="0" w:space="0" w:color="auto"/>
                    <w:right w:val="none" w:sz="0" w:space="0" w:color="auto"/>
                  </w:divBdr>
                </w:div>
              </w:divsChild>
            </w:div>
            <w:div w:id="1672178121">
              <w:marLeft w:val="0"/>
              <w:marRight w:val="0"/>
              <w:marTop w:val="0"/>
              <w:marBottom w:val="0"/>
              <w:divBdr>
                <w:top w:val="none" w:sz="0" w:space="0" w:color="auto"/>
                <w:left w:val="none" w:sz="0" w:space="0" w:color="auto"/>
                <w:bottom w:val="none" w:sz="0" w:space="0" w:color="auto"/>
                <w:right w:val="none" w:sz="0" w:space="0" w:color="auto"/>
              </w:divBdr>
              <w:divsChild>
                <w:div w:id="571744981">
                  <w:marLeft w:val="0"/>
                  <w:marRight w:val="0"/>
                  <w:marTop w:val="0"/>
                  <w:marBottom w:val="0"/>
                  <w:divBdr>
                    <w:top w:val="none" w:sz="0" w:space="0" w:color="auto"/>
                    <w:left w:val="none" w:sz="0" w:space="0" w:color="auto"/>
                    <w:bottom w:val="none" w:sz="0" w:space="0" w:color="auto"/>
                    <w:right w:val="none" w:sz="0" w:space="0" w:color="auto"/>
                  </w:divBdr>
                </w:div>
                <w:div w:id="1231505632">
                  <w:marLeft w:val="0"/>
                  <w:marRight w:val="0"/>
                  <w:marTop w:val="0"/>
                  <w:marBottom w:val="0"/>
                  <w:divBdr>
                    <w:top w:val="none" w:sz="0" w:space="0" w:color="auto"/>
                    <w:left w:val="none" w:sz="0" w:space="0" w:color="auto"/>
                    <w:bottom w:val="none" w:sz="0" w:space="0" w:color="auto"/>
                    <w:right w:val="none" w:sz="0" w:space="0" w:color="auto"/>
                  </w:divBdr>
                </w:div>
              </w:divsChild>
            </w:div>
            <w:div w:id="1748460450">
              <w:marLeft w:val="0"/>
              <w:marRight w:val="0"/>
              <w:marTop w:val="0"/>
              <w:marBottom w:val="0"/>
              <w:divBdr>
                <w:top w:val="none" w:sz="0" w:space="0" w:color="auto"/>
                <w:left w:val="none" w:sz="0" w:space="0" w:color="auto"/>
                <w:bottom w:val="none" w:sz="0" w:space="0" w:color="auto"/>
                <w:right w:val="none" w:sz="0" w:space="0" w:color="auto"/>
              </w:divBdr>
              <w:divsChild>
                <w:div w:id="1539657776">
                  <w:marLeft w:val="0"/>
                  <w:marRight w:val="0"/>
                  <w:marTop w:val="0"/>
                  <w:marBottom w:val="0"/>
                  <w:divBdr>
                    <w:top w:val="none" w:sz="0" w:space="0" w:color="auto"/>
                    <w:left w:val="none" w:sz="0" w:space="0" w:color="auto"/>
                    <w:bottom w:val="none" w:sz="0" w:space="0" w:color="auto"/>
                    <w:right w:val="none" w:sz="0" w:space="0" w:color="auto"/>
                  </w:divBdr>
                </w:div>
              </w:divsChild>
            </w:div>
            <w:div w:id="1817645077">
              <w:marLeft w:val="0"/>
              <w:marRight w:val="0"/>
              <w:marTop w:val="0"/>
              <w:marBottom w:val="0"/>
              <w:divBdr>
                <w:top w:val="none" w:sz="0" w:space="0" w:color="auto"/>
                <w:left w:val="none" w:sz="0" w:space="0" w:color="auto"/>
                <w:bottom w:val="none" w:sz="0" w:space="0" w:color="auto"/>
                <w:right w:val="none" w:sz="0" w:space="0" w:color="auto"/>
              </w:divBdr>
              <w:divsChild>
                <w:div w:id="162398257">
                  <w:marLeft w:val="0"/>
                  <w:marRight w:val="0"/>
                  <w:marTop w:val="0"/>
                  <w:marBottom w:val="0"/>
                  <w:divBdr>
                    <w:top w:val="none" w:sz="0" w:space="0" w:color="auto"/>
                    <w:left w:val="none" w:sz="0" w:space="0" w:color="auto"/>
                    <w:bottom w:val="none" w:sz="0" w:space="0" w:color="auto"/>
                    <w:right w:val="none" w:sz="0" w:space="0" w:color="auto"/>
                  </w:divBdr>
                </w:div>
                <w:div w:id="1255550419">
                  <w:marLeft w:val="0"/>
                  <w:marRight w:val="0"/>
                  <w:marTop w:val="0"/>
                  <w:marBottom w:val="0"/>
                  <w:divBdr>
                    <w:top w:val="none" w:sz="0" w:space="0" w:color="auto"/>
                    <w:left w:val="none" w:sz="0" w:space="0" w:color="auto"/>
                    <w:bottom w:val="none" w:sz="0" w:space="0" w:color="auto"/>
                    <w:right w:val="none" w:sz="0" w:space="0" w:color="auto"/>
                  </w:divBdr>
                </w:div>
                <w:div w:id="1566724701">
                  <w:marLeft w:val="0"/>
                  <w:marRight w:val="0"/>
                  <w:marTop w:val="0"/>
                  <w:marBottom w:val="0"/>
                  <w:divBdr>
                    <w:top w:val="none" w:sz="0" w:space="0" w:color="auto"/>
                    <w:left w:val="none" w:sz="0" w:space="0" w:color="auto"/>
                    <w:bottom w:val="none" w:sz="0" w:space="0" w:color="auto"/>
                    <w:right w:val="none" w:sz="0" w:space="0" w:color="auto"/>
                  </w:divBdr>
                </w:div>
              </w:divsChild>
            </w:div>
            <w:div w:id="1954631457">
              <w:marLeft w:val="0"/>
              <w:marRight w:val="0"/>
              <w:marTop w:val="0"/>
              <w:marBottom w:val="0"/>
              <w:divBdr>
                <w:top w:val="none" w:sz="0" w:space="0" w:color="auto"/>
                <w:left w:val="none" w:sz="0" w:space="0" w:color="auto"/>
                <w:bottom w:val="none" w:sz="0" w:space="0" w:color="auto"/>
                <w:right w:val="none" w:sz="0" w:space="0" w:color="auto"/>
              </w:divBdr>
              <w:divsChild>
                <w:div w:id="222061331">
                  <w:marLeft w:val="0"/>
                  <w:marRight w:val="0"/>
                  <w:marTop w:val="0"/>
                  <w:marBottom w:val="0"/>
                  <w:divBdr>
                    <w:top w:val="none" w:sz="0" w:space="0" w:color="auto"/>
                    <w:left w:val="none" w:sz="0" w:space="0" w:color="auto"/>
                    <w:bottom w:val="none" w:sz="0" w:space="0" w:color="auto"/>
                    <w:right w:val="none" w:sz="0" w:space="0" w:color="auto"/>
                  </w:divBdr>
                </w:div>
              </w:divsChild>
            </w:div>
            <w:div w:id="1964731507">
              <w:marLeft w:val="0"/>
              <w:marRight w:val="0"/>
              <w:marTop w:val="0"/>
              <w:marBottom w:val="0"/>
              <w:divBdr>
                <w:top w:val="none" w:sz="0" w:space="0" w:color="auto"/>
                <w:left w:val="none" w:sz="0" w:space="0" w:color="auto"/>
                <w:bottom w:val="none" w:sz="0" w:space="0" w:color="auto"/>
                <w:right w:val="none" w:sz="0" w:space="0" w:color="auto"/>
              </w:divBdr>
              <w:divsChild>
                <w:div w:id="1854294695">
                  <w:marLeft w:val="0"/>
                  <w:marRight w:val="0"/>
                  <w:marTop w:val="0"/>
                  <w:marBottom w:val="0"/>
                  <w:divBdr>
                    <w:top w:val="none" w:sz="0" w:space="0" w:color="auto"/>
                    <w:left w:val="none" w:sz="0" w:space="0" w:color="auto"/>
                    <w:bottom w:val="none" w:sz="0" w:space="0" w:color="auto"/>
                    <w:right w:val="none" w:sz="0" w:space="0" w:color="auto"/>
                  </w:divBdr>
                </w:div>
              </w:divsChild>
            </w:div>
            <w:div w:id="2059013268">
              <w:marLeft w:val="0"/>
              <w:marRight w:val="0"/>
              <w:marTop w:val="0"/>
              <w:marBottom w:val="0"/>
              <w:divBdr>
                <w:top w:val="none" w:sz="0" w:space="0" w:color="auto"/>
                <w:left w:val="none" w:sz="0" w:space="0" w:color="auto"/>
                <w:bottom w:val="none" w:sz="0" w:space="0" w:color="auto"/>
                <w:right w:val="none" w:sz="0" w:space="0" w:color="auto"/>
              </w:divBdr>
              <w:divsChild>
                <w:div w:id="1405910728">
                  <w:marLeft w:val="0"/>
                  <w:marRight w:val="0"/>
                  <w:marTop w:val="0"/>
                  <w:marBottom w:val="0"/>
                  <w:divBdr>
                    <w:top w:val="none" w:sz="0" w:space="0" w:color="auto"/>
                    <w:left w:val="none" w:sz="0" w:space="0" w:color="auto"/>
                    <w:bottom w:val="none" w:sz="0" w:space="0" w:color="auto"/>
                    <w:right w:val="none" w:sz="0" w:space="0" w:color="auto"/>
                  </w:divBdr>
                </w:div>
              </w:divsChild>
            </w:div>
            <w:div w:id="2084721192">
              <w:marLeft w:val="0"/>
              <w:marRight w:val="0"/>
              <w:marTop w:val="0"/>
              <w:marBottom w:val="0"/>
              <w:divBdr>
                <w:top w:val="none" w:sz="0" w:space="0" w:color="auto"/>
                <w:left w:val="none" w:sz="0" w:space="0" w:color="auto"/>
                <w:bottom w:val="none" w:sz="0" w:space="0" w:color="auto"/>
                <w:right w:val="none" w:sz="0" w:space="0" w:color="auto"/>
              </w:divBdr>
              <w:divsChild>
                <w:div w:id="143857061">
                  <w:marLeft w:val="0"/>
                  <w:marRight w:val="0"/>
                  <w:marTop w:val="0"/>
                  <w:marBottom w:val="0"/>
                  <w:divBdr>
                    <w:top w:val="none" w:sz="0" w:space="0" w:color="auto"/>
                    <w:left w:val="none" w:sz="0" w:space="0" w:color="auto"/>
                    <w:bottom w:val="none" w:sz="0" w:space="0" w:color="auto"/>
                    <w:right w:val="none" w:sz="0" w:space="0" w:color="auto"/>
                  </w:divBdr>
                </w:div>
              </w:divsChild>
            </w:div>
            <w:div w:id="2137213136">
              <w:marLeft w:val="0"/>
              <w:marRight w:val="0"/>
              <w:marTop w:val="0"/>
              <w:marBottom w:val="0"/>
              <w:divBdr>
                <w:top w:val="none" w:sz="0" w:space="0" w:color="auto"/>
                <w:left w:val="none" w:sz="0" w:space="0" w:color="auto"/>
                <w:bottom w:val="none" w:sz="0" w:space="0" w:color="auto"/>
                <w:right w:val="none" w:sz="0" w:space="0" w:color="auto"/>
              </w:divBdr>
              <w:divsChild>
                <w:div w:id="8330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58996">
          <w:marLeft w:val="0"/>
          <w:marRight w:val="0"/>
          <w:marTop w:val="0"/>
          <w:marBottom w:val="0"/>
          <w:divBdr>
            <w:top w:val="none" w:sz="0" w:space="0" w:color="auto"/>
            <w:left w:val="none" w:sz="0" w:space="0" w:color="auto"/>
            <w:bottom w:val="none" w:sz="0" w:space="0" w:color="auto"/>
            <w:right w:val="none" w:sz="0" w:space="0" w:color="auto"/>
          </w:divBdr>
        </w:div>
        <w:div w:id="1759405146">
          <w:marLeft w:val="0"/>
          <w:marRight w:val="0"/>
          <w:marTop w:val="0"/>
          <w:marBottom w:val="0"/>
          <w:divBdr>
            <w:top w:val="none" w:sz="0" w:space="0" w:color="auto"/>
            <w:left w:val="none" w:sz="0" w:space="0" w:color="auto"/>
            <w:bottom w:val="none" w:sz="0" w:space="0" w:color="auto"/>
            <w:right w:val="none" w:sz="0" w:space="0" w:color="auto"/>
          </w:divBdr>
        </w:div>
        <w:div w:id="1827432683">
          <w:marLeft w:val="0"/>
          <w:marRight w:val="0"/>
          <w:marTop w:val="0"/>
          <w:marBottom w:val="0"/>
          <w:divBdr>
            <w:top w:val="none" w:sz="0" w:space="0" w:color="auto"/>
            <w:left w:val="none" w:sz="0" w:space="0" w:color="auto"/>
            <w:bottom w:val="none" w:sz="0" w:space="0" w:color="auto"/>
            <w:right w:val="none" w:sz="0" w:space="0" w:color="auto"/>
          </w:divBdr>
          <w:divsChild>
            <w:div w:id="790172986">
              <w:marLeft w:val="0"/>
              <w:marRight w:val="0"/>
              <w:marTop w:val="0"/>
              <w:marBottom w:val="0"/>
              <w:divBdr>
                <w:top w:val="none" w:sz="0" w:space="0" w:color="auto"/>
                <w:left w:val="none" w:sz="0" w:space="0" w:color="auto"/>
                <w:bottom w:val="none" w:sz="0" w:space="0" w:color="auto"/>
                <w:right w:val="none" w:sz="0" w:space="0" w:color="auto"/>
              </w:divBdr>
            </w:div>
            <w:div w:id="1501698916">
              <w:marLeft w:val="0"/>
              <w:marRight w:val="0"/>
              <w:marTop w:val="0"/>
              <w:marBottom w:val="0"/>
              <w:divBdr>
                <w:top w:val="none" w:sz="0" w:space="0" w:color="auto"/>
                <w:left w:val="none" w:sz="0" w:space="0" w:color="auto"/>
                <w:bottom w:val="none" w:sz="0" w:space="0" w:color="auto"/>
                <w:right w:val="none" w:sz="0" w:space="0" w:color="auto"/>
              </w:divBdr>
            </w:div>
          </w:divsChild>
        </w:div>
        <w:div w:id="1924023931">
          <w:marLeft w:val="0"/>
          <w:marRight w:val="0"/>
          <w:marTop w:val="0"/>
          <w:marBottom w:val="0"/>
          <w:divBdr>
            <w:top w:val="none" w:sz="0" w:space="0" w:color="auto"/>
            <w:left w:val="none" w:sz="0" w:space="0" w:color="auto"/>
            <w:bottom w:val="none" w:sz="0" w:space="0" w:color="auto"/>
            <w:right w:val="none" w:sz="0" w:space="0" w:color="auto"/>
          </w:divBdr>
          <w:divsChild>
            <w:div w:id="607079452">
              <w:marLeft w:val="0"/>
              <w:marRight w:val="0"/>
              <w:marTop w:val="0"/>
              <w:marBottom w:val="0"/>
              <w:divBdr>
                <w:top w:val="none" w:sz="0" w:space="0" w:color="auto"/>
                <w:left w:val="none" w:sz="0" w:space="0" w:color="auto"/>
                <w:bottom w:val="none" w:sz="0" w:space="0" w:color="auto"/>
                <w:right w:val="none" w:sz="0" w:space="0" w:color="auto"/>
              </w:divBdr>
            </w:div>
          </w:divsChild>
        </w:div>
        <w:div w:id="1940329217">
          <w:marLeft w:val="0"/>
          <w:marRight w:val="0"/>
          <w:marTop w:val="0"/>
          <w:marBottom w:val="0"/>
          <w:divBdr>
            <w:top w:val="none" w:sz="0" w:space="0" w:color="auto"/>
            <w:left w:val="none" w:sz="0" w:space="0" w:color="auto"/>
            <w:bottom w:val="none" w:sz="0" w:space="0" w:color="auto"/>
            <w:right w:val="none" w:sz="0" w:space="0" w:color="auto"/>
          </w:divBdr>
          <w:divsChild>
            <w:div w:id="700397114">
              <w:marLeft w:val="0"/>
              <w:marRight w:val="0"/>
              <w:marTop w:val="0"/>
              <w:marBottom w:val="0"/>
              <w:divBdr>
                <w:top w:val="none" w:sz="0" w:space="0" w:color="auto"/>
                <w:left w:val="none" w:sz="0" w:space="0" w:color="auto"/>
                <w:bottom w:val="none" w:sz="0" w:space="0" w:color="auto"/>
                <w:right w:val="none" w:sz="0" w:space="0" w:color="auto"/>
              </w:divBdr>
            </w:div>
          </w:divsChild>
        </w:div>
        <w:div w:id="1943293730">
          <w:marLeft w:val="0"/>
          <w:marRight w:val="0"/>
          <w:marTop w:val="0"/>
          <w:marBottom w:val="0"/>
          <w:divBdr>
            <w:top w:val="none" w:sz="0" w:space="0" w:color="auto"/>
            <w:left w:val="none" w:sz="0" w:space="0" w:color="auto"/>
            <w:bottom w:val="none" w:sz="0" w:space="0" w:color="auto"/>
            <w:right w:val="none" w:sz="0" w:space="0" w:color="auto"/>
          </w:divBdr>
          <w:divsChild>
            <w:div w:id="1569681949">
              <w:marLeft w:val="0"/>
              <w:marRight w:val="0"/>
              <w:marTop w:val="0"/>
              <w:marBottom w:val="0"/>
              <w:divBdr>
                <w:top w:val="none" w:sz="0" w:space="0" w:color="auto"/>
                <w:left w:val="none" w:sz="0" w:space="0" w:color="auto"/>
                <w:bottom w:val="none" w:sz="0" w:space="0" w:color="auto"/>
                <w:right w:val="none" w:sz="0" w:space="0" w:color="auto"/>
              </w:divBdr>
            </w:div>
          </w:divsChild>
        </w:div>
        <w:div w:id="1952928591">
          <w:marLeft w:val="0"/>
          <w:marRight w:val="0"/>
          <w:marTop w:val="0"/>
          <w:marBottom w:val="0"/>
          <w:divBdr>
            <w:top w:val="none" w:sz="0" w:space="0" w:color="auto"/>
            <w:left w:val="none" w:sz="0" w:space="0" w:color="auto"/>
            <w:bottom w:val="none" w:sz="0" w:space="0" w:color="auto"/>
            <w:right w:val="none" w:sz="0" w:space="0" w:color="auto"/>
          </w:divBdr>
          <w:divsChild>
            <w:div w:id="1207984922">
              <w:marLeft w:val="0"/>
              <w:marRight w:val="0"/>
              <w:marTop w:val="0"/>
              <w:marBottom w:val="0"/>
              <w:divBdr>
                <w:top w:val="none" w:sz="0" w:space="0" w:color="auto"/>
                <w:left w:val="none" w:sz="0" w:space="0" w:color="auto"/>
                <w:bottom w:val="none" w:sz="0" w:space="0" w:color="auto"/>
                <w:right w:val="none" w:sz="0" w:space="0" w:color="auto"/>
              </w:divBdr>
            </w:div>
          </w:divsChild>
        </w:div>
        <w:div w:id="1964727131">
          <w:marLeft w:val="0"/>
          <w:marRight w:val="0"/>
          <w:marTop w:val="0"/>
          <w:marBottom w:val="0"/>
          <w:divBdr>
            <w:top w:val="none" w:sz="0" w:space="0" w:color="auto"/>
            <w:left w:val="none" w:sz="0" w:space="0" w:color="auto"/>
            <w:bottom w:val="none" w:sz="0" w:space="0" w:color="auto"/>
            <w:right w:val="none" w:sz="0" w:space="0" w:color="auto"/>
          </w:divBdr>
          <w:divsChild>
            <w:div w:id="644625845">
              <w:marLeft w:val="0"/>
              <w:marRight w:val="0"/>
              <w:marTop w:val="0"/>
              <w:marBottom w:val="0"/>
              <w:divBdr>
                <w:top w:val="none" w:sz="0" w:space="0" w:color="auto"/>
                <w:left w:val="none" w:sz="0" w:space="0" w:color="auto"/>
                <w:bottom w:val="none" w:sz="0" w:space="0" w:color="auto"/>
                <w:right w:val="none" w:sz="0" w:space="0" w:color="auto"/>
              </w:divBdr>
            </w:div>
          </w:divsChild>
        </w:div>
        <w:div w:id="2004235041">
          <w:marLeft w:val="0"/>
          <w:marRight w:val="0"/>
          <w:marTop w:val="0"/>
          <w:marBottom w:val="0"/>
          <w:divBdr>
            <w:top w:val="none" w:sz="0" w:space="0" w:color="auto"/>
            <w:left w:val="none" w:sz="0" w:space="0" w:color="auto"/>
            <w:bottom w:val="none" w:sz="0" w:space="0" w:color="auto"/>
            <w:right w:val="none" w:sz="0" w:space="0" w:color="auto"/>
          </w:divBdr>
          <w:divsChild>
            <w:div w:id="679742004">
              <w:marLeft w:val="0"/>
              <w:marRight w:val="0"/>
              <w:marTop w:val="0"/>
              <w:marBottom w:val="0"/>
              <w:divBdr>
                <w:top w:val="none" w:sz="0" w:space="0" w:color="auto"/>
                <w:left w:val="none" w:sz="0" w:space="0" w:color="auto"/>
                <w:bottom w:val="none" w:sz="0" w:space="0" w:color="auto"/>
                <w:right w:val="none" w:sz="0" w:space="0" w:color="auto"/>
              </w:divBdr>
            </w:div>
          </w:divsChild>
        </w:div>
        <w:div w:id="2054695366">
          <w:marLeft w:val="0"/>
          <w:marRight w:val="0"/>
          <w:marTop w:val="0"/>
          <w:marBottom w:val="0"/>
          <w:divBdr>
            <w:top w:val="none" w:sz="0" w:space="0" w:color="auto"/>
            <w:left w:val="none" w:sz="0" w:space="0" w:color="auto"/>
            <w:bottom w:val="none" w:sz="0" w:space="0" w:color="auto"/>
            <w:right w:val="none" w:sz="0" w:space="0" w:color="auto"/>
          </w:divBdr>
          <w:divsChild>
            <w:div w:id="735474102">
              <w:marLeft w:val="0"/>
              <w:marRight w:val="0"/>
              <w:marTop w:val="0"/>
              <w:marBottom w:val="0"/>
              <w:divBdr>
                <w:top w:val="none" w:sz="0" w:space="0" w:color="auto"/>
                <w:left w:val="none" w:sz="0" w:space="0" w:color="auto"/>
                <w:bottom w:val="none" w:sz="0" w:space="0" w:color="auto"/>
                <w:right w:val="none" w:sz="0" w:space="0" w:color="auto"/>
              </w:divBdr>
            </w:div>
          </w:divsChild>
        </w:div>
        <w:div w:id="2066954435">
          <w:marLeft w:val="0"/>
          <w:marRight w:val="0"/>
          <w:marTop w:val="0"/>
          <w:marBottom w:val="0"/>
          <w:divBdr>
            <w:top w:val="none" w:sz="0" w:space="0" w:color="auto"/>
            <w:left w:val="none" w:sz="0" w:space="0" w:color="auto"/>
            <w:bottom w:val="none" w:sz="0" w:space="0" w:color="auto"/>
            <w:right w:val="none" w:sz="0" w:space="0" w:color="auto"/>
          </w:divBdr>
          <w:divsChild>
            <w:div w:id="759135541">
              <w:marLeft w:val="0"/>
              <w:marRight w:val="0"/>
              <w:marTop w:val="0"/>
              <w:marBottom w:val="0"/>
              <w:divBdr>
                <w:top w:val="none" w:sz="0" w:space="0" w:color="auto"/>
                <w:left w:val="none" w:sz="0" w:space="0" w:color="auto"/>
                <w:bottom w:val="none" w:sz="0" w:space="0" w:color="auto"/>
                <w:right w:val="none" w:sz="0" w:space="0" w:color="auto"/>
              </w:divBdr>
            </w:div>
          </w:divsChild>
        </w:div>
        <w:div w:id="2140369744">
          <w:marLeft w:val="-75"/>
          <w:marRight w:val="0"/>
          <w:marTop w:val="30"/>
          <w:marBottom w:val="30"/>
          <w:divBdr>
            <w:top w:val="none" w:sz="0" w:space="0" w:color="auto"/>
            <w:left w:val="none" w:sz="0" w:space="0" w:color="auto"/>
            <w:bottom w:val="none" w:sz="0" w:space="0" w:color="auto"/>
            <w:right w:val="none" w:sz="0" w:space="0" w:color="auto"/>
          </w:divBdr>
          <w:divsChild>
            <w:div w:id="131555651">
              <w:marLeft w:val="0"/>
              <w:marRight w:val="0"/>
              <w:marTop w:val="0"/>
              <w:marBottom w:val="0"/>
              <w:divBdr>
                <w:top w:val="none" w:sz="0" w:space="0" w:color="auto"/>
                <w:left w:val="none" w:sz="0" w:space="0" w:color="auto"/>
                <w:bottom w:val="none" w:sz="0" w:space="0" w:color="auto"/>
                <w:right w:val="none" w:sz="0" w:space="0" w:color="auto"/>
              </w:divBdr>
              <w:divsChild>
                <w:div w:id="47726673">
                  <w:marLeft w:val="0"/>
                  <w:marRight w:val="0"/>
                  <w:marTop w:val="0"/>
                  <w:marBottom w:val="0"/>
                  <w:divBdr>
                    <w:top w:val="none" w:sz="0" w:space="0" w:color="auto"/>
                    <w:left w:val="none" w:sz="0" w:space="0" w:color="auto"/>
                    <w:bottom w:val="none" w:sz="0" w:space="0" w:color="auto"/>
                    <w:right w:val="none" w:sz="0" w:space="0" w:color="auto"/>
                  </w:divBdr>
                </w:div>
              </w:divsChild>
            </w:div>
            <w:div w:id="139546295">
              <w:marLeft w:val="0"/>
              <w:marRight w:val="0"/>
              <w:marTop w:val="0"/>
              <w:marBottom w:val="0"/>
              <w:divBdr>
                <w:top w:val="none" w:sz="0" w:space="0" w:color="auto"/>
                <w:left w:val="none" w:sz="0" w:space="0" w:color="auto"/>
                <w:bottom w:val="none" w:sz="0" w:space="0" w:color="auto"/>
                <w:right w:val="none" w:sz="0" w:space="0" w:color="auto"/>
              </w:divBdr>
              <w:divsChild>
                <w:div w:id="1963994239">
                  <w:marLeft w:val="0"/>
                  <w:marRight w:val="0"/>
                  <w:marTop w:val="0"/>
                  <w:marBottom w:val="0"/>
                  <w:divBdr>
                    <w:top w:val="none" w:sz="0" w:space="0" w:color="auto"/>
                    <w:left w:val="none" w:sz="0" w:space="0" w:color="auto"/>
                    <w:bottom w:val="none" w:sz="0" w:space="0" w:color="auto"/>
                    <w:right w:val="none" w:sz="0" w:space="0" w:color="auto"/>
                  </w:divBdr>
                </w:div>
              </w:divsChild>
            </w:div>
            <w:div w:id="179466297">
              <w:marLeft w:val="0"/>
              <w:marRight w:val="0"/>
              <w:marTop w:val="0"/>
              <w:marBottom w:val="0"/>
              <w:divBdr>
                <w:top w:val="none" w:sz="0" w:space="0" w:color="auto"/>
                <w:left w:val="none" w:sz="0" w:space="0" w:color="auto"/>
                <w:bottom w:val="none" w:sz="0" w:space="0" w:color="auto"/>
                <w:right w:val="none" w:sz="0" w:space="0" w:color="auto"/>
              </w:divBdr>
              <w:divsChild>
                <w:div w:id="795567989">
                  <w:marLeft w:val="0"/>
                  <w:marRight w:val="0"/>
                  <w:marTop w:val="0"/>
                  <w:marBottom w:val="0"/>
                  <w:divBdr>
                    <w:top w:val="none" w:sz="0" w:space="0" w:color="auto"/>
                    <w:left w:val="none" w:sz="0" w:space="0" w:color="auto"/>
                    <w:bottom w:val="none" w:sz="0" w:space="0" w:color="auto"/>
                    <w:right w:val="none" w:sz="0" w:space="0" w:color="auto"/>
                  </w:divBdr>
                </w:div>
              </w:divsChild>
            </w:div>
            <w:div w:id="361635475">
              <w:marLeft w:val="0"/>
              <w:marRight w:val="0"/>
              <w:marTop w:val="0"/>
              <w:marBottom w:val="0"/>
              <w:divBdr>
                <w:top w:val="none" w:sz="0" w:space="0" w:color="auto"/>
                <w:left w:val="none" w:sz="0" w:space="0" w:color="auto"/>
                <w:bottom w:val="none" w:sz="0" w:space="0" w:color="auto"/>
                <w:right w:val="none" w:sz="0" w:space="0" w:color="auto"/>
              </w:divBdr>
              <w:divsChild>
                <w:div w:id="131944090">
                  <w:marLeft w:val="0"/>
                  <w:marRight w:val="0"/>
                  <w:marTop w:val="0"/>
                  <w:marBottom w:val="0"/>
                  <w:divBdr>
                    <w:top w:val="none" w:sz="0" w:space="0" w:color="auto"/>
                    <w:left w:val="none" w:sz="0" w:space="0" w:color="auto"/>
                    <w:bottom w:val="none" w:sz="0" w:space="0" w:color="auto"/>
                    <w:right w:val="none" w:sz="0" w:space="0" w:color="auto"/>
                  </w:divBdr>
                </w:div>
              </w:divsChild>
            </w:div>
            <w:div w:id="363596600">
              <w:marLeft w:val="0"/>
              <w:marRight w:val="0"/>
              <w:marTop w:val="0"/>
              <w:marBottom w:val="0"/>
              <w:divBdr>
                <w:top w:val="none" w:sz="0" w:space="0" w:color="auto"/>
                <w:left w:val="none" w:sz="0" w:space="0" w:color="auto"/>
                <w:bottom w:val="none" w:sz="0" w:space="0" w:color="auto"/>
                <w:right w:val="none" w:sz="0" w:space="0" w:color="auto"/>
              </w:divBdr>
              <w:divsChild>
                <w:div w:id="416175838">
                  <w:marLeft w:val="0"/>
                  <w:marRight w:val="0"/>
                  <w:marTop w:val="0"/>
                  <w:marBottom w:val="0"/>
                  <w:divBdr>
                    <w:top w:val="none" w:sz="0" w:space="0" w:color="auto"/>
                    <w:left w:val="none" w:sz="0" w:space="0" w:color="auto"/>
                    <w:bottom w:val="none" w:sz="0" w:space="0" w:color="auto"/>
                    <w:right w:val="none" w:sz="0" w:space="0" w:color="auto"/>
                  </w:divBdr>
                </w:div>
              </w:divsChild>
            </w:div>
            <w:div w:id="503056671">
              <w:marLeft w:val="0"/>
              <w:marRight w:val="0"/>
              <w:marTop w:val="0"/>
              <w:marBottom w:val="0"/>
              <w:divBdr>
                <w:top w:val="none" w:sz="0" w:space="0" w:color="auto"/>
                <w:left w:val="none" w:sz="0" w:space="0" w:color="auto"/>
                <w:bottom w:val="none" w:sz="0" w:space="0" w:color="auto"/>
                <w:right w:val="none" w:sz="0" w:space="0" w:color="auto"/>
              </w:divBdr>
              <w:divsChild>
                <w:div w:id="662053731">
                  <w:marLeft w:val="0"/>
                  <w:marRight w:val="0"/>
                  <w:marTop w:val="0"/>
                  <w:marBottom w:val="0"/>
                  <w:divBdr>
                    <w:top w:val="none" w:sz="0" w:space="0" w:color="auto"/>
                    <w:left w:val="none" w:sz="0" w:space="0" w:color="auto"/>
                    <w:bottom w:val="none" w:sz="0" w:space="0" w:color="auto"/>
                    <w:right w:val="none" w:sz="0" w:space="0" w:color="auto"/>
                  </w:divBdr>
                </w:div>
              </w:divsChild>
            </w:div>
            <w:div w:id="576086871">
              <w:marLeft w:val="0"/>
              <w:marRight w:val="0"/>
              <w:marTop w:val="0"/>
              <w:marBottom w:val="0"/>
              <w:divBdr>
                <w:top w:val="none" w:sz="0" w:space="0" w:color="auto"/>
                <w:left w:val="none" w:sz="0" w:space="0" w:color="auto"/>
                <w:bottom w:val="none" w:sz="0" w:space="0" w:color="auto"/>
                <w:right w:val="none" w:sz="0" w:space="0" w:color="auto"/>
              </w:divBdr>
              <w:divsChild>
                <w:div w:id="1004480986">
                  <w:marLeft w:val="0"/>
                  <w:marRight w:val="0"/>
                  <w:marTop w:val="0"/>
                  <w:marBottom w:val="0"/>
                  <w:divBdr>
                    <w:top w:val="none" w:sz="0" w:space="0" w:color="auto"/>
                    <w:left w:val="none" w:sz="0" w:space="0" w:color="auto"/>
                    <w:bottom w:val="none" w:sz="0" w:space="0" w:color="auto"/>
                    <w:right w:val="none" w:sz="0" w:space="0" w:color="auto"/>
                  </w:divBdr>
                </w:div>
              </w:divsChild>
            </w:div>
            <w:div w:id="598373203">
              <w:marLeft w:val="0"/>
              <w:marRight w:val="0"/>
              <w:marTop w:val="0"/>
              <w:marBottom w:val="0"/>
              <w:divBdr>
                <w:top w:val="none" w:sz="0" w:space="0" w:color="auto"/>
                <w:left w:val="none" w:sz="0" w:space="0" w:color="auto"/>
                <w:bottom w:val="none" w:sz="0" w:space="0" w:color="auto"/>
                <w:right w:val="none" w:sz="0" w:space="0" w:color="auto"/>
              </w:divBdr>
              <w:divsChild>
                <w:div w:id="1181893658">
                  <w:marLeft w:val="0"/>
                  <w:marRight w:val="0"/>
                  <w:marTop w:val="0"/>
                  <w:marBottom w:val="0"/>
                  <w:divBdr>
                    <w:top w:val="none" w:sz="0" w:space="0" w:color="auto"/>
                    <w:left w:val="none" w:sz="0" w:space="0" w:color="auto"/>
                    <w:bottom w:val="none" w:sz="0" w:space="0" w:color="auto"/>
                    <w:right w:val="none" w:sz="0" w:space="0" w:color="auto"/>
                  </w:divBdr>
                </w:div>
              </w:divsChild>
            </w:div>
            <w:div w:id="602767052">
              <w:marLeft w:val="0"/>
              <w:marRight w:val="0"/>
              <w:marTop w:val="0"/>
              <w:marBottom w:val="0"/>
              <w:divBdr>
                <w:top w:val="none" w:sz="0" w:space="0" w:color="auto"/>
                <w:left w:val="none" w:sz="0" w:space="0" w:color="auto"/>
                <w:bottom w:val="none" w:sz="0" w:space="0" w:color="auto"/>
                <w:right w:val="none" w:sz="0" w:space="0" w:color="auto"/>
              </w:divBdr>
              <w:divsChild>
                <w:div w:id="1733307433">
                  <w:marLeft w:val="0"/>
                  <w:marRight w:val="0"/>
                  <w:marTop w:val="0"/>
                  <w:marBottom w:val="0"/>
                  <w:divBdr>
                    <w:top w:val="none" w:sz="0" w:space="0" w:color="auto"/>
                    <w:left w:val="none" w:sz="0" w:space="0" w:color="auto"/>
                    <w:bottom w:val="none" w:sz="0" w:space="0" w:color="auto"/>
                    <w:right w:val="none" w:sz="0" w:space="0" w:color="auto"/>
                  </w:divBdr>
                </w:div>
              </w:divsChild>
            </w:div>
            <w:div w:id="810365604">
              <w:marLeft w:val="0"/>
              <w:marRight w:val="0"/>
              <w:marTop w:val="0"/>
              <w:marBottom w:val="0"/>
              <w:divBdr>
                <w:top w:val="none" w:sz="0" w:space="0" w:color="auto"/>
                <w:left w:val="none" w:sz="0" w:space="0" w:color="auto"/>
                <w:bottom w:val="none" w:sz="0" w:space="0" w:color="auto"/>
                <w:right w:val="none" w:sz="0" w:space="0" w:color="auto"/>
              </w:divBdr>
              <w:divsChild>
                <w:div w:id="983582916">
                  <w:marLeft w:val="0"/>
                  <w:marRight w:val="0"/>
                  <w:marTop w:val="0"/>
                  <w:marBottom w:val="0"/>
                  <w:divBdr>
                    <w:top w:val="none" w:sz="0" w:space="0" w:color="auto"/>
                    <w:left w:val="none" w:sz="0" w:space="0" w:color="auto"/>
                    <w:bottom w:val="none" w:sz="0" w:space="0" w:color="auto"/>
                    <w:right w:val="none" w:sz="0" w:space="0" w:color="auto"/>
                  </w:divBdr>
                </w:div>
              </w:divsChild>
            </w:div>
            <w:div w:id="848376895">
              <w:marLeft w:val="0"/>
              <w:marRight w:val="0"/>
              <w:marTop w:val="0"/>
              <w:marBottom w:val="0"/>
              <w:divBdr>
                <w:top w:val="none" w:sz="0" w:space="0" w:color="auto"/>
                <w:left w:val="none" w:sz="0" w:space="0" w:color="auto"/>
                <w:bottom w:val="none" w:sz="0" w:space="0" w:color="auto"/>
                <w:right w:val="none" w:sz="0" w:space="0" w:color="auto"/>
              </w:divBdr>
              <w:divsChild>
                <w:div w:id="96751613">
                  <w:marLeft w:val="0"/>
                  <w:marRight w:val="0"/>
                  <w:marTop w:val="0"/>
                  <w:marBottom w:val="0"/>
                  <w:divBdr>
                    <w:top w:val="none" w:sz="0" w:space="0" w:color="auto"/>
                    <w:left w:val="none" w:sz="0" w:space="0" w:color="auto"/>
                    <w:bottom w:val="none" w:sz="0" w:space="0" w:color="auto"/>
                    <w:right w:val="none" w:sz="0" w:space="0" w:color="auto"/>
                  </w:divBdr>
                </w:div>
              </w:divsChild>
            </w:div>
            <w:div w:id="1002077872">
              <w:marLeft w:val="0"/>
              <w:marRight w:val="0"/>
              <w:marTop w:val="0"/>
              <w:marBottom w:val="0"/>
              <w:divBdr>
                <w:top w:val="none" w:sz="0" w:space="0" w:color="auto"/>
                <w:left w:val="none" w:sz="0" w:space="0" w:color="auto"/>
                <w:bottom w:val="none" w:sz="0" w:space="0" w:color="auto"/>
                <w:right w:val="none" w:sz="0" w:space="0" w:color="auto"/>
              </w:divBdr>
              <w:divsChild>
                <w:div w:id="1787239281">
                  <w:marLeft w:val="0"/>
                  <w:marRight w:val="0"/>
                  <w:marTop w:val="0"/>
                  <w:marBottom w:val="0"/>
                  <w:divBdr>
                    <w:top w:val="none" w:sz="0" w:space="0" w:color="auto"/>
                    <w:left w:val="none" w:sz="0" w:space="0" w:color="auto"/>
                    <w:bottom w:val="none" w:sz="0" w:space="0" w:color="auto"/>
                    <w:right w:val="none" w:sz="0" w:space="0" w:color="auto"/>
                  </w:divBdr>
                </w:div>
              </w:divsChild>
            </w:div>
            <w:div w:id="1023170027">
              <w:marLeft w:val="0"/>
              <w:marRight w:val="0"/>
              <w:marTop w:val="0"/>
              <w:marBottom w:val="0"/>
              <w:divBdr>
                <w:top w:val="none" w:sz="0" w:space="0" w:color="auto"/>
                <w:left w:val="none" w:sz="0" w:space="0" w:color="auto"/>
                <w:bottom w:val="none" w:sz="0" w:space="0" w:color="auto"/>
                <w:right w:val="none" w:sz="0" w:space="0" w:color="auto"/>
              </w:divBdr>
              <w:divsChild>
                <w:div w:id="1399209136">
                  <w:marLeft w:val="0"/>
                  <w:marRight w:val="0"/>
                  <w:marTop w:val="0"/>
                  <w:marBottom w:val="0"/>
                  <w:divBdr>
                    <w:top w:val="none" w:sz="0" w:space="0" w:color="auto"/>
                    <w:left w:val="none" w:sz="0" w:space="0" w:color="auto"/>
                    <w:bottom w:val="none" w:sz="0" w:space="0" w:color="auto"/>
                    <w:right w:val="none" w:sz="0" w:space="0" w:color="auto"/>
                  </w:divBdr>
                </w:div>
              </w:divsChild>
            </w:div>
            <w:div w:id="1391803823">
              <w:marLeft w:val="0"/>
              <w:marRight w:val="0"/>
              <w:marTop w:val="0"/>
              <w:marBottom w:val="0"/>
              <w:divBdr>
                <w:top w:val="none" w:sz="0" w:space="0" w:color="auto"/>
                <w:left w:val="none" w:sz="0" w:space="0" w:color="auto"/>
                <w:bottom w:val="none" w:sz="0" w:space="0" w:color="auto"/>
                <w:right w:val="none" w:sz="0" w:space="0" w:color="auto"/>
              </w:divBdr>
              <w:divsChild>
                <w:div w:id="606815009">
                  <w:marLeft w:val="0"/>
                  <w:marRight w:val="0"/>
                  <w:marTop w:val="0"/>
                  <w:marBottom w:val="0"/>
                  <w:divBdr>
                    <w:top w:val="none" w:sz="0" w:space="0" w:color="auto"/>
                    <w:left w:val="none" w:sz="0" w:space="0" w:color="auto"/>
                    <w:bottom w:val="none" w:sz="0" w:space="0" w:color="auto"/>
                    <w:right w:val="none" w:sz="0" w:space="0" w:color="auto"/>
                  </w:divBdr>
                </w:div>
              </w:divsChild>
            </w:div>
            <w:div w:id="1550528305">
              <w:marLeft w:val="0"/>
              <w:marRight w:val="0"/>
              <w:marTop w:val="0"/>
              <w:marBottom w:val="0"/>
              <w:divBdr>
                <w:top w:val="none" w:sz="0" w:space="0" w:color="auto"/>
                <w:left w:val="none" w:sz="0" w:space="0" w:color="auto"/>
                <w:bottom w:val="none" w:sz="0" w:space="0" w:color="auto"/>
                <w:right w:val="none" w:sz="0" w:space="0" w:color="auto"/>
              </w:divBdr>
              <w:divsChild>
                <w:div w:id="302933535">
                  <w:marLeft w:val="0"/>
                  <w:marRight w:val="0"/>
                  <w:marTop w:val="0"/>
                  <w:marBottom w:val="0"/>
                  <w:divBdr>
                    <w:top w:val="none" w:sz="0" w:space="0" w:color="auto"/>
                    <w:left w:val="none" w:sz="0" w:space="0" w:color="auto"/>
                    <w:bottom w:val="none" w:sz="0" w:space="0" w:color="auto"/>
                    <w:right w:val="none" w:sz="0" w:space="0" w:color="auto"/>
                  </w:divBdr>
                </w:div>
              </w:divsChild>
            </w:div>
            <w:div w:id="1573466348">
              <w:marLeft w:val="0"/>
              <w:marRight w:val="0"/>
              <w:marTop w:val="0"/>
              <w:marBottom w:val="0"/>
              <w:divBdr>
                <w:top w:val="none" w:sz="0" w:space="0" w:color="auto"/>
                <w:left w:val="none" w:sz="0" w:space="0" w:color="auto"/>
                <w:bottom w:val="none" w:sz="0" w:space="0" w:color="auto"/>
                <w:right w:val="none" w:sz="0" w:space="0" w:color="auto"/>
              </w:divBdr>
              <w:divsChild>
                <w:div w:id="1840463799">
                  <w:marLeft w:val="0"/>
                  <w:marRight w:val="0"/>
                  <w:marTop w:val="0"/>
                  <w:marBottom w:val="0"/>
                  <w:divBdr>
                    <w:top w:val="none" w:sz="0" w:space="0" w:color="auto"/>
                    <w:left w:val="none" w:sz="0" w:space="0" w:color="auto"/>
                    <w:bottom w:val="none" w:sz="0" w:space="0" w:color="auto"/>
                    <w:right w:val="none" w:sz="0" w:space="0" w:color="auto"/>
                  </w:divBdr>
                </w:div>
              </w:divsChild>
            </w:div>
            <w:div w:id="1591545003">
              <w:marLeft w:val="0"/>
              <w:marRight w:val="0"/>
              <w:marTop w:val="0"/>
              <w:marBottom w:val="0"/>
              <w:divBdr>
                <w:top w:val="none" w:sz="0" w:space="0" w:color="auto"/>
                <w:left w:val="none" w:sz="0" w:space="0" w:color="auto"/>
                <w:bottom w:val="none" w:sz="0" w:space="0" w:color="auto"/>
                <w:right w:val="none" w:sz="0" w:space="0" w:color="auto"/>
              </w:divBdr>
              <w:divsChild>
                <w:div w:id="1355423178">
                  <w:marLeft w:val="0"/>
                  <w:marRight w:val="0"/>
                  <w:marTop w:val="0"/>
                  <w:marBottom w:val="0"/>
                  <w:divBdr>
                    <w:top w:val="none" w:sz="0" w:space="0" w:color="auto"/>
                    <w:left w:val="none" w:sz="0" w:space="0" w:color="auto"/>
                    <w:bottom w:val="none" w:sz="0" w:space="0" w:color="auto"/>
                    <w:right w:val="none" w:sz="0" w:space="0" w:color="auto"/>
                  </w:divBdr>
                </w:div>
              </w:divsChild>
            </w:div>
            <w:div w:id="1664122475">
              <w:marLeft w:val="0"/>
              <w:marRight w:val="0"/>
              <w:marTop w:val="0"/>
              <w:marBottom w:val="0"/>
              <w:divBdr>
                <w:top w:val="none" w:sz="0" w:space="0" w:color="auto"/>
                <w:left w:val="none" w:sz="0" w:space="0" w:color="auto"/>
                <w:bottom w:val="none" w:sz="0" w:space="0" w:color="auto"/>
                <w:right w:val="none" w:sz="0" w:space="0" w:color="auto"/>
              </w:divBdr>
              <w:divsChild>
                <w:div w:id="82070179">
                  <w:marLeft w:val="0"/>
                  <w:marRight w:val="0"/>
                  <w:marTop w:val="0"/>
                  <w:marBottom w:val="0"/>
                  <w:divBdr>
                    <w:top w:val="none" w:sz="0" w:space="0" w:color="auto"/>
                    <w:left w:val="none" w:sz="0" w:space="0" w:color="auto"/>
                    <w:bottom w:val="none" w:sz="0" w:space="0" w:color="auto"/>
                    <w:right w:val="none" w:sz="0" w:space="0" w:color="auto"/>
                  </w:divBdr>
                </w:div>
              </w:divsChild>
            </w:div>
            <w:div w:id="1666128792">
              <w:marLeft w:val="0"/>
              <w:marRight w:val="0"/>
              <w:marTop w:val="0"/>
              <w:marBottom w:val="0"/>
              <w:divBdr>
                <w:top w:val="none" w:sz="0" w:space="0" w:color="auto"/>
                <w:left w:val="none" w:sz="0" w:space="0" w:color="auto"/>
                <w:bottom w:val="none" w:sz="0" w:space="0" w:color="auto"/>
                <w:right w:val="none" w:sz="0" w:space="0" w:color="auto"/>
              </w:divBdr>
              <w:divsChild>
                <w:div w:id="1712917017">
                  <w:marLeft w:val="0"/>
                  <w:marRight w:val="0"/>
                  <w:marTop w:val="0"/>
                  <w:marBottom w:val="0"/>
                  <w:divBdr>
                    <w:top w:val="none" w:sz="0" w:space="0" w:color="auto"/>
                    <w:left w:val="none" w:sz="0" w:space="0" w:color="auto"/>
                    <w:bottom w:val="none" w:sz="0" w:space="0" w:color="auto"/>
                    <w:right w:val="none" w:sz="0" w:space="0" w:color="auto"/>
                  </w:divBdr>
                </w:div>
              </w:divsChild>
            </w:div>
            <w:div w:id="1688293352">
              <w:marLeft w:val="0"/>
              <w:marRight w:val="0"/>
              <w:marTop w:val="0"/>
              <w:marBottom w:val="0"/>
              <w:divBdr>
                <w:top w:val="none" w:sz="0" w:space="0" w:color="auto"/>
                <w:left w:val="none" w:sz="0" w:space="0" w:color="auto"/>
                <w:bottom w:val="none" w:sz="0" w:space="0" w:color="auto"/>
                <w:right w:val="none" w:sz="0" w:space="0" w:color="auto"/>
              </w:divBdr>
              <w:divsChild>
                <w:div w:id="760838015">
                  <w:marLeft w:val="0"/>
                  <w:marRight w:val="0"/>
                  <w:marTop w:val="0"/>
                  <w:marBottom w:val="0"/>
                  <w:divBdr>
                    <w:top w:val="none" w:sz="0" w:space="0" w:color="auto"/>
                    <w:left w:val="none" w:sz="0" w:space="0" w:color="auto"/>
                    <w:bottom w:val="none" w:sz="0" w:space="0" w:color="auto"/>
                    <w:right w:val="none" w:sz="0" w:space="0" w:color="auto"/>
                  </w:divBdr>
                </w:div>
              </w:divsChild>
            </w:div>
            <w:div w:id="1877891817">
              <w:marLeft w:val="0"/>
              <w:marRight w:val="0"/>
              <w:marTop w:val="0"/>
              <w:marBottom w:val="0"/>
              <w:divBdr>
                <w:top w:val="none" w:sz="0" w:space="0" w:color="auto"/>
                <w:left w:val="none" w:sz="0" w:space="0" w:color="auto"/>
                <w:bottom w:val="none" w:sz="0" w:space="0" w:color="auto"/>
                <w:right w:val="none" w:sz="0" w:space="0" w:color="auto"/>
              </w:divBdr>
              <w:divsChild>
                <w:div w:id="135611787">
                  <w:marLeft w:val="0"/>
                  <w:marRight w:val="0"/>
                  <w:marTop w:val="0"/>
                  <w:marBottom w:val="0"/>
                  <w:divBdr>
                    <w:top w:val="none" w:sz="0" w:space="0" w:color="auto"/>
                    <w:left w:val="none" w:sz="0" w:space="0" w:color="auto"/>
                    <w:bottom w:val="none" w:sz="0" w:space="0" w:color="auto"/>
                    <w:right w:val="none" w:sz="0" w:space="0" w:color="auto"/>
                  </w:divBdr>
                </w:div>
                <w:div w:id="320738149">
                  <w:marLeft w:val="0"/>
                  <w:marRight w:val="0"/>
                  <w:marTop w:val="0"/>
                  <w:marBottom w:val="0"/>
                  <w:divBdr>
                    <w:top w:val="none" w:sz="0" w:space="0" w:color="auto"/>
                    <w:left w:val="none" w:sz="0" w:space="0" w:color="auto"/>
                    <w:bottom w:val="none" w:sz="0" w:space="0" w:color="auto"/>
                    <w:right w:val="none" w:sz="0" w:space="0" w:color="auto"/>
                  </w:divBdr>
                </w:div>
              </w:divsChild>
            </w:div>
            <w:div w:id="1956018485">
              <w:marLeft w:val="0"/>
              <w:marRight w:val="0"/>
              <w:marTop w:val="0"/>
              <w:marBottom w:val="0"/>
              <w:divBdr>
                <w:top w:val="none" w:sz="0" w:space="0" w:color="auto"/>
                <w:left w:val="none" w:sz="0" w:space="0" w:color="auto"/>
                <w:bottom w:val="none" w:sz="0" w:space="0" w:color="auto"/>
                <w:right w:val="none" w:sz="0" w:space="0" w:color="auto"/>
              </w:divBdr>
              <w:divsChild>
                <w:div w:id="1564829546">
                  <w:marLeft w:val="0"/>
                  <w:marRight w:val="0"/>
                  <w:marTop w:val="0"/>
                  <w:marBottom w:val="0"/>
                  <w:divBdr>
                    <w:top w:val="none" w:sz="0" w:space="0" w:color="auto"/>
                    <w:left w:val="none" w:sz="0" w:space="0" w:color="auto"/>
                    <w:bottom w:val="none" w:sz="0" w:space="0" w:color="auto"/>
                    <w:right w:val="none" w:sz="0" w:space="0" w:color="auto"/>
                  </w:divBdr>
                </w:div>
              </w:divsChild>
            </w:div>
            <w:div w:id="1999192351">
              <w:marLeft w:val="0"/>
              <w:marRight w:val="0"/>
              <w:marTop w:val="0"/>
              <w:marBottom w:val="0"/>
              <w:divBdr>
                <w:top w:val="none" w:sz="0" w:space="0" w:color="auto"/>
                <w:left w:val="none" w:sz="0" w:space="0" w:color="auto"/>
                <w:bottom w:val="none" w:sz="0" w:space="0" w:color="auto"/>
                <w:right w:val="none" w:sz="0" w:space="0" w:color="auto"/>
              </w:divBdr>
              <w:divsChild>
                <w:div w:id="360470557">
                  <w:marLeft w:val="0"/>
                  <w:marRight w:val="0"/>
                  <w:marTop w:val="0"/>
                  <w:marBottom w:val="0"/>
                  <w:divBdr>
                    <w:top w:val="none" w:sz="0" w:space="0" w:color="auto"/>
                    <w:left w:val="none" w:sz="0" w:space="0" w:color="auto"/>
                    <w:bottom w:val="none" w:sz="0" w:space="0" w:color="auto"/>
                    <w:right w:val="none" w:sz="0" w:space="0" w:color="auto"/>
                  </w:divBdr>
                </w:div>
              </w:divsChild>
            </w:div>
            <w:div w:id="2045591685">
              <w:marLeft w:val="0"/>
              <w:marRight w:val="0"/>
              <w:marTop w:val="0"/>
              <w:marBottom w:val="0"/>
              <w:divBdr>
                <w:top w:val="none" w:sz="0" w:space="0" w:color="auto"/>
                <w:left w:val="none" w:sz="0" w:space="0" w:color="auto"/>
                <w:bottom w:val="none" w:sz="0" w:space="0" w:color="auto"/>
                <w:right w:val="none" w:sz="0" w:space="0" w:color="auto"/>
              </w:divBdr>
              <w:divsChild>
                <w:div w:id="213178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62081">
          <w:marLeft w:val="0"/>
          <w:marRight w:val="0"/>
          <w:marTop w:val="0"/>
          <w:marBottom w:val="0"/>
          <w:divBdr>
            <w:top w:val="none" w:sz="0" w:space="0" w:color="auto"/>
            <w:left w:val="none" w:sz="0" w:space="0" w:color="auto"/>
            <w:bottom w:val="none" w:sz="0" w:space="0" w:color="auto"/>
            <w:right w:val="none" w:sz="0" w:space="0" w:color="auto"/>
          </w:divBdr>
          <w:divsChild>
            <w:div w:id="21994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0872">
      <w:bodyDiv w:val="1"/>
      <w:marLeft w:val="0"/>
      <w:marRight w:val="0"/>
      <w:marTop w:val="0"/>
      <w:marBottom w:val="0"/>
      <w:divBdr>
        <w:top w:val="none" w:sz="0" w:space="0" w:color="auto"/>
        <w:left w:val="none" w:sz="0" w:space="0" w:color="auto"/>
        <w:bottom w:val="none" w:sz="0" w:space="0" w:color="auto"/>
        <w:right w:val="none" w:sz="0" w:space="0" w:color="auto"/>
      </w:divBdr>
    </w:div>
    <w:div w:id="1993020332">
      <w:bodyDiv w:val="1"/>
      <w:marLeft w:val="0"/>
      <w:marRight w:val="0"/>
      <w:marTop w:val="0"/>
      <w:marBottom w:val="0"/>
      <w:divBdr>
        <w:top w:val="none" w:sz="0" w:space="0" w:color="auto"/>
        <w:left w:val="none" w:sz="0" w:space="0" w:color="auto"/>
        <w:bottom w:val="none" w:sz="0" w:space="0" w:color="auto"/>
        <w:right w:val="none" w:sz="0" w:space="0" w:color="auto"/>
      </w:divBdr>
      <w:divsChild>
        <w:div w:id="85853544">
          <w:marLeft w:val="0"/>
          <w:marRight w:val="0"/>
          <w:marTop w:val="0"/>
          <w:marBottom w:val="0"/>
          <w:divBdr>
            <w:top w:val="none" w:sz="0" w:space="0" w:color="auto"/>
            <w:left w:val="none" w:sz="0" w:space="0" w:color="auto"/>
            <w:bottom w:val="none" w:sz="0" w:space="0" w:color="auto"/>
            <w:right w:val="none" w:sz="0" w:space="0" w:color="auto"/>
          </w:divBdr>
        </w:div>
        <w:div w:id="139079460">
          <w:marLeft w:val="0"/>
          <w:marRight w:val="0"/>
          <w:marTop w:val="0"/>
          <w:marBottom w:val="0"/>
          <w:divBdr>
            <w:top w:val="none" w:sz="0" w:space="0" w:color="auto"/>
            <w:left w:val="none" w:sz="0" w:space="0" w:color="auto"/>
            <w:bottom w:val="none" w:sz="0" w:space="0" w:color="auto"/>
            <w:right w:val="none" w:sz="0" w:space="0" w:color="auto"/>
          </w:divBdr>
        </w:div>
        <w:div w:id="227155613">
          <w:marLeft w:val="0"/>
          <w:marRight w:val="0"/>
          <w:marTop w:val="0"/>
          <w:marBottom w:val="0"/>
          <w:divBdr>
            <w:top w:val="none" w:sz="0" w:space="0" w:color="auto"/>
            <w:left w:val="none" w:sz="0" w:space="0" w:color="auto"/>
            <w:bottom w:val="none" w:sz="0" w:space="0" w:color="auto"/>
            <w:right w:val="none" w:sz="0" w:space="0" w:color="auto"/>
          </w:divBdr>
        </w:div>
        <w:div w:id="393941286">
          <w:marLeft w:val="0"/>
          <w:marRight w:val="0"/>
          <w:marTop w:val="0"/>
          <w:marBottom w:val="0"/>
          <w:divBdr>
            <w:top w:val="none" w:sz="0" w:space="0" w:color="auto"/>
            <w:left w:val="none" w:sz="0" w:space="0" w:color="auto"/>
            <w:bottom w:val="none" w:sz="0" w:space="0" w:color="auto"/>
            <w:right w:val="none" w:sz="0" w:space="0" w:color="auto"/>
          </w:divBdr>
        </w:div>
        <w:div w:id="693699502">
          <w:marLeft w:val="0"/>
          <w:marRight w:val="0"/>
          <w:marTop w:val="0"/>
          <w:marBottom w:val="0"/>
          <w:divBdr>
            <w:top w:val="none" w:sz="0" w:space="0" w:color="auto"/>
            <w:left w:val="none" w:sz="0" w:space="0" w:color="auto"/>
            <w:bottom w:val="none" w:sz="0" w:space="0" w:color="auto"/>
            <w:right w:val="none" w:sz="0" w:space="0" w:color="auto"/>
          </w:divBdr>
        </w:div>
        <w:div w:id="756562475">
          <w:marLeft w:val="0"/>
          <w:marRight w:val="0"/>
          <w:marTop w:val="0"/>
          <w:marBottom w:val="0"/>
          <w:divBdr>
            <w:top w:val="none" w:sz="0" w:space="0" w:color="auto"/>
            <w:left w:val="none" w:sz="0" w:space="0" w:color="auto"/>
            <w:bottom w:val="none" w:sz="0" w:space="0" w:color="auto"/>
            <w:right w:val="none" w:sz="0" w:space="0" w:color="auto"/>
          </w:divBdr>
        </w:div>
        <w:div w:id="826820319">
          <w:marLeft w:val="0"/>
          <w:marRight w:val="0"/>
          <w:marTop w:val="0"/>
          <w:marBottom w:val="0"/>
          <w:divBdr>
            <w:top w:val="none" w:sz="0" w:space="0" w:color="auto"/>
            <w:left w:val="none" w:sz="0" w:space="0" w:color="auto"/>
            <w:bottom w:val="none" w:sz="0" w:space="0" w:color="auto"/>
            <w:right w:val="none" w:sz="0" w:space="0" w:color="auto"/>
          </w:divBdr>
        </w:div>
        <w:div w:id="859129264">
          <w:marLeft w:val="0"/>
          <w:marRight w:val="0"/>
          <w:marTop w:val="0"/>
          <w:marBottom w:val="0"/>
          <w:divBdr>
            <w:top w:val="none" w:sz="0" w:space="0" w:color="auto"/>
            <w:left w:val="none" w:sz="0" w:space="0" w:color="auto"/>
            <w:bottom w:val="none" w:sz="0" w:space="0" w:color="auto"/>
            <w:right w:val="none" w:sz="0" w:space="0" w:color="auto"/>
          </w:divBdr>
        </w:div>
        <w:div w:id="1348563078">
          <w:marLeft w:val="0"/>
          <w:marRight w:val="0"/>
          <w:marTop w:val="0"/>
          <w:marBottom w:val="0"/>
          <w:divBdr>
            <w:top w:val="none" w:sz="0" w:space="0" w:color="auto"/>
            <w:left w:val="none" w:sz="0" w:space="0" w:color="auto"/>
            <w:bottom w:val="none" w:sz="0" w:space="0" w:color="auto"/>
            <w:right w:val="none" w:sz="0" w:space="0" w:color="auto"/>
          </w:divBdr>
        </w:div>
        <w:div w:id="1732190984">
          <w:marLeft w:val="0"/>
          <w:marRight w:val="0"/>
          <w:marTop w:val="0"/>
          <w:marBottom w:val="0"/>
          <w:divBdr>
            <w:top w:val="none" w:sz="0" w:space="0" w:color="auto"/>
            <w:left w:val="none" w:sz="0" w:space="0" w:color="auto"/>
            <w:bottom w:val="none" w:sz="0" w:space="0" w:color="auto"/>
            <w:right w:val="none" w:sz="0" w:space="0" w:color="auto"/>
          </w:divBdr>
        </w:div>
        <w:div w:id="1850682627">
          <w:marLeft w:val="0"/>
          <w:marRight w:val="0"/>
          <w:marTop w:val="0"/>
          <w:marBottom w:val="0"/>
          <w:divBdr>
            <w:top w:val="none" w:sz="0" w:space="0" w:color="auto"/>
            <w:left w:val="none" w:sz="0" w:space="0" w:color="auto"/>
            <w:bottom w:val="none" w:sz="0" w:space="0" w:color="auto"/>
            <w:right w:val="none" w:sz="0" w:space="0" w:color="auto"/>
          </w:divBdr>
        </w:div>
        <w:div w:id="1857766809">
          <w:marLeft w:val="0"/>
          <w:marRight w:val="0"/>
          <w:marTop w:val="0"/>
          <w:marBottom w:val="0"/>
          <w:divBdr>
            <w:top w:val="none" w:sz="0" w:space="0" w:color="auto"/>
            <w:left w:val="none" w:sz="0" w:space="0" w:color="auto"/>
            <w:bottom w:val="none" w:sz="0" w:space="0" w:color="auto"/>
            <w:right w:val="none" w:sz="0" w:space="0" w:color="auto"/>
          </w:divBdr>
        </w:div>
        <w:div w:id="1867210283">
          <w:marLeft w:val="0"/>
          <w:marRight w:val="0"/>
          <w:marTop w:val="0"/>
          <w:marBottom w:val="0"/>
          <w:divBdr>
            <w:top w:val="none" w:sz="0" w:space="0" w:color="auto"/>
            <w:left w:val="none" w:sz="0" w:space="0" w:color="auto"/>
            <w:bottom w:val="none" w:sz="0" w:space="0" w:color="auto"/>
            <w:right w:val="none" w:sz="0" w:space="0" w:color="auto"/>
          </w:divBdr>
        </w:div>
        <w:div w:id="1881238398">
          <w:marLeft w:val="0"/>
          <w:marRight w:val="0"/>
          <w:marTop w:val="0"/>
          <w:marBottom w:val="0"/>
          <w:divBdr>
            <w:top w:val="none" w:sz="0" w:space="0" w:color="auto"/>
            <w:left w:val="none" w:sz="0" w:space="0" w:color="auto"/>
            <w:bottom w:val="none" w:sz="0" w:space="0" w:color="auto"/>
            <w:right w:val="none" w:sz="0" w:space="0" w:color="auto"/>
          </w:divBdr>
        </w:div>
        <w:div w:id="1899978410">
          <w:marLeft w:val="0"/>
          <w:marRight w:val="0"/>
          <w:marTop w:val="0"/>
          <w:marBottom w:val="0"/>
          <w:divBdr>
            <w:top w:val="none" w:sz="0" w:space="0" w:color="auto"/>
            <w:left w:val="none" w:sz="0" w:space="0" w:color="auto"/>
            <w:bottom w:val="none" w:sz="0" w:space="0" w:color="auto"/>
            <w:right w:val="none" w:sz="0" w:space="0" w:color="auto"/>
          </w:divBdr>
        </w:div>
        <w:div w:id="1972319423">
          <w:marLeft w:val="0"/>
          <w:marRight w:val="0"/>
          <w:marTop w:val="0"/>
          <w:marBottom w:val="0"/>
          <w:divBdr>
            <w:top w:val="none" w:sz="0" w:space="0" w:color="auto"/>
            <w:left w:val="none" w:sz="0" w:space="0" w:color="auto"/>
            <w:bottom w:val="none" w:sz="0" w:space="0" w:color="auto"/>
            <w:right w:val="none" w:sz="0" w:space="0" w:color="auto"/>
          </w:divBdr>
        </w:div>
        <w:div w:id="2035615210">
          <w:marLeft w:val="0"/>
          <w:marRight w:val="0"/>
          <w:marTop w:val="0"/>
          <w:marBottom w:val="0"/>
          <w:divBdr>
            <w:top w:val="none" w:sz="0" w:space="0" w:color="auto"/>
            <w:left w:val="none" w:sz="0" w:space="0" w:color="auto"/>
            <w:bottom w:val="none" w:sz="0" w:space="0" w:color="auto"/>
            <w:right w:val="none" w:sz="0" w:space="0" w:color="auto"/>
          </w:divBdr>
        </w:div>
        <w:div w:id="2092122349">
          <w:marLeft w:val="0"/>
          <w:marRight w:val="0"/>
          <w:marTop w:val="0"/>
          <w:marBottom w:val="0"/>
          <w:divBdr>
            <w:top w:val="none" w:sz="0" w:space="0" w:color="auto"/>
            <w:left w:val="none" w:sz="0" w:space="0" w:color="auto"/>
            <w:bottom w:val="none" w:sz="0" w:space="0" w:color="auto"/>
            <w:right w:val="none" w:sz="0" w:space="0" w:color="auto"/>
          </w:divBdr>
        </w:div>
        <w:div w:id="2112356672">
          <w:marLeft w:val="0"/>
          <w:marRight w:val="0"/>
          <w:marTop w:val="0"/>
          <w:marBottom w:val="0"/>
          <w:divBdr>
            <w:top w:val="none" w:sz="0" w:space="0" w:color="auto"/>
            <w:left w:val="none" w:sz="0" w:space="0" w:color="auto"/>
            <w:bottom w:val="none" w:sz="0" w:space="0" w:color="auto"/>
            <w:right w:val="none" w:sz="0" w:space="0" w:color="auto"/>
          </w:divBdr>
        </w:div>
      </w:divsChild>
    </w:div>
    <w:div w:id="20280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4.xml"/><Relationship Id="rId42" Type="http://schemas.openxmlformats.org/officeDocument/2006/relationships/header" Target="header12.xml"/><Relationship Id="rId47" Type="http://schemas.openxmlformats.org/officeDocument/2006/relationships/footer" Target="footer7.xml"/><Relationship Id="rId63" Type="http://schemas.openxmlformats.org/officeDocument/2006/relationships/image" Target="media/image4.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3.tmp"/><Relationship Id="rId11" Type="http://schemas.openxmlformats.org/officeDocument/2006/relationships/hyperlink" Target="https://www.ncleg.gov/EnactedLegislation/Statutes/HTML/BySection/Chapter_115C/GS_115C-83.15.html" TargetMode="Externa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hyperlink" Target="https://www.ncleg.gov/EnactedLegislation/Statutes/HTML/BySection/Chapter_115C/GS_115C-105.37.html" TargetMode="External"/><Relationship Id="rId40" Type="http://schemas.openxmlformats.org/officeDocument/2006/relationships/hyperlink" Target="https://www.ncleg.gov/enactedlegislation/statutes/pdf/bysection/chapter_115c/gs_115c-218.94.pdf" TargetMode="External"/><Relationship Id="rId45" Type="http://schemas.openxmlformats.org/officeDocument/2006/relationships/header" Target="header14.xml"/><Relationship Id="rId53" Type="http://schemas.openxmlformats.org/officeDocument/2006/relationships/footer" Target="footer9.xml"/><Relationship Id="rId58" Type="http://schemas.openxmlformats.org/officeDocument/2006/relationships/header" Target="header22.xml"/><Relationship Id="rId66" Type="http://schemas.openxmlformats.org/officeDocument/2006/relationships/header" Target="header26.xml"/><Relationship Id="rId5" Type="http://schemas.openxmlformats.org/officeDocument/2006/relationships/numbering" Target="numbering.xml"/><Relationship Id="rId61" Type="http://schemas.openxmlformats.org/officeDocument/2006/relationships/footer" Target="footer12.xml"/><Relationship Id="rId19" Type="http://schemas.openxmlformats.org/officeDocument/2006/relationships/header" Target="header2.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image" Target="media/image1.tmp"/><Relationship Id="rId30" Type="http://schemas.openxmlformats.org/officeDocument/2006/relationships/hyperlink" Target="http://reports.oah.state.nc.us/ncac/title%2016%20-%20education/chapter%2006%20-%20elementary%20and%20secondary%20education/subchapter%20g/16%20ncac%2006g%20.0314.pdf" TargetMode="External"/><Relationship Id="rId35" Type="http://schemas.openxmlformats.org/officeDocument/2006/relationships/footer" Target="footer5.xml"/><Relationship Id="rId43" Type="http://schemas.openxmlformats.org/officeDocument/2006/relationships/header" Target="header13.xml"/><Relationship Id="rId48" Type="http://schemas.openxmlformats.org/officeDocument/2006/relationships/header" Target="header16.xml"/><Relationship Id="rId56" Type="http://schemas.openxmlformats.org/officeDocument/2006/relationships/hyperlink" Target="http://accrpt.tops.ncsu.edu/essa_ltg/ltg.html" TargetMode="External"/><Relationship Id="rId64" Type="http://schemas.openxmlformats.org/officeDocument/2006/relationships/header" Target="header24.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yperlink" Target="https://www.ncleg.gov/EnactedLegislation/Statutes/HTML/BySection/Chapter_115C/GS_115C-83.16.html" TargetMode="External"/><Relationship Id="rId17" Type="http://schemas.openxmlformats.org/officeDocument/2006/relationships/hyperlink" Target="https://www.ncleg.gov/EnactedLegislation/Statutes/PDF/BySection/Chapter_115C/GS_115C-83.15.pdf" TargetMode="External"/><Relationship Id="rId25" Type="http://schemas.openxmlformats.org/officeDocument/2006/relationships/header" Target="header7.xml"/><Relationship Id="rId33" Type="http://schemas.openxmlformats.org/officeDocument/2006/relationships/header" Target="header9.xml"/><Relationship Id="rId38" Type="http://schemas.openxmlformats.org/officeDocument/2006/relationships/hyperlink" Target="https://www.ncleg.gov/EnactedLegislation/Statutes/HTML/BySection/Chapter_115C/GS_115C-105.37A.html" TargetMode="External"/><Relationship Id="rId46" Type="http://schemas.openxmlformats.org/officeDocument/2006/relationships/header" Target="header15.xml"/><Relationship Id="rId59" Type="http://schemas.openxmlformats.org/officeDocument/2006/relationships/header" Target="header23.xml"/><Relationship Id="rId67" Type="http://schemas.openxmlformats.org/officeDocument/2006/relationships/footer" Target="footer13.xml"/><Relationship Id="rId20" Type="http://schemas.openxmlformats.org/officeDocument/2006/relationships/header" Target="header3.xml"/><Relationship Id="rId41" Type="http://schemas.openxmlformats.org/officeDocument/2006/relationships/header" Target="header11.xml"/><Relationship Id="rId54" Type="http://schemas.openxmlformats.org/officeDocument/2006/relationships/header" Target="header20.xml"/><Relationship Id="rId62" Type="http://schemas.openxmlformats.org/officeDocument/2006/relationships/hyperlink" Target="https://www.dpi.nc.gov/districts-schools/federal-program-monitoring/every-student-succeeds-act-ess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2.tmp"/><Relationship Id="rId36" Type="http://schemas.openxmlformats.org/officeDocument/2006/relationships/hyperlink" Target="https://www.dpi.nc.gov/2024-25-cohort-graduation-rate/download?attachment" TargetMode="External"/><Relationship Id="rId49" Type="http://schemas.openxmlformats.org/officeDocument/2006/relationships/header" Target="header17.xml"/><Relationship Id="rId57" Type="http://schemas.openxmlformats.org/officeDocument/2006/relationships/header" Target="header21.xml"/><Relationship Id="rId10" Type="http://schemas.openxmlformats.org/officeDocument/2006/relationships/endnotes" Target="endnotes.xml"/><Relationship Id="rId31" Type="http://schemas.openxmlformats.org/officeDocument/2006/relationships/hyperlink" Target="https://www.dpi.nc.gov/alternative-schools-modified-accountability-system-manual-0/download?attachment" TargetMode="External"/><Relationship Id="rId44" Type="http://schemas.openxmlformats.org/officeDocument/2006/relationships/footer" Target="footer6.xml"/><Relationship Id="rId52" Type="http://schemas.openxmlformats.org/officeDocument/2006/relationships/header" Target="header19.xml"/><Relationship Id="rId60" Type="http://schemas.openxmlformats.org/officeDocument/2006/relationships/footer" Target="footer11.xml"/><Relationship Id="rId65" Type="http://schemas.openxmlformats.org/officeDocument/2006/relationships/header" Target="header2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cleg.gov/EnactedLegislation/Statutes/HTML/BySection/Chapter_115C/GS_115C-83.16.html" TargetMode="External"/><Relationship Id="rId18" Type="http://schemas.openxmlformats.org/officeDocument/2006/relationships/hyperlink" Target="https://www.dpi.nc.gov/documents/accountability/policyoperations/required-testing-chart" TargetMode="External"/><Relationship Id="rId39" Type="http://schemas.openxmlformats.org/officeDocument/2006/relationships/hyperlink" Target="https://www.ncleg.gov/EnactedLegislation/Statutes/HTML/BySection/Chapter_115C/GS_115C-105.39A.html" TargetMode="External"/><Relationship Id="rId34" Type="http://schemas.openxmlformats.org/officeDocument/2006/relationships/header" Target="header10.xml"/><Relationship Id="rId50" Type="http://schemas.openxmlformats.org/officeDocument/2006/relationships/footer" Target="footer8.xml"/><Relationship Id="rId55"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ime.Denny\AppData\Local\Packages\Microsoft.MicrosoftEdge_8wekyb3d8bbwe\TempState\Downloads\dpi-report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2B66DB46E4FC45BF3F9B2ADE44C0F3" ma:contentTypeVersion="18" ma:contentTypeDescription="Create a new document." ma:contentTypeScope="" ma:versionID="84fcec3abb1a9a7b9926747e364af606">
  <xsd:schema xmlns:xsd="http://www.w3.org/2001/XMLSchema" xmlns:xs="http://www.w3.org/2001/XMLSchema" xmlns:p="http://schemas.microsoft.com/office/2006/metadata/properties" xmlns:ns1="http://schemas.microsoft.com/sharepoint/v3" xmlns:ns2="bdcac3b1-8134-4685-9628-ed5981d1506c" xmlns:ns3="9eb9d2d6-3b32-48da-b080-b6b04fe49947" targetNamespace="http://schemas.microsoft.com/office/2006/metadata/properties" ma:root="true" ma:fieldsID="73e3fbcc585d44fd3ec5d22f039b1d6e" ns1:_="" ns2:_="" ns3:_="">
    <xsd:import namespace="http://schemas.microsoft.com/sharepoint/v3"/>
    <xsd:import namespace="bdcac3b1-8134-4685-9628-ed5981d1506c"/>
    <xsd:import namespace="9eb9d2d6-3b32-48da-b080-b6b04fe49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ac3b1-8134-4685-9628-ed5981d15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9d2d6-3b32-48da-b080-b6b04fe499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54e9509-e8c6-468d-9bd6-6f75593a1c21}" ma:internalName="TaxCatchAll" ma:showField="CatchAllData" ma:web="9eb9d2d6-3b32-48da-b080-b6b04fe49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dcac3b1-8134-4685-9628-ed5981d1506c">
      <Terms xmlns="http://schemas.microsoft.com/office/infopath/2007/PartnerControls"/>
    </lcf76f155ced4ddcb4097134ff3c332f>
    <TaxCatchAll xmlns="9eb9d2d6-3b32-48da-b080-b6b04fe49947" xsi:nil="true"/>
  </documentManagement>
</p:properties>
</file>

<file path=customXml/itemProps1.xml><?xml version="1.0" encoding="utf-8"?>
<ds:datastoreItem xmlns:ds="http://schemas.openxmlformats.org/officeDocument/2006/customXml" ds:itemID="{1CD30204-0554-4EB8-B912-FD2580737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cac3b1-8134-4685-9628-ed5981d1506c"/>
    <ds:schemaRef ds:uri="9eb9d2d6-3b32-48da-b080-b6b04fe4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E5DDE-C1C5-4A40-8C16-A7F61919544E}">
  <ds:schemaRefs>
    <ds:schemaRef ds:uri="http://schemas.openxmlformats.org/officeDocument/2006/bibliography"/>
  </ds:schemaRefs>
</ds:datastoreItem>
</file>

<file path=customXml/itemProps3.xml><?xml version="1.0" encoding="utf-8"?>
<ds:datastoreItem xmlns:ds="http://schemas.openxmlformats.org/officeDocument/2006/customXml" ds:itemID="{6EEACE0D-C69E-41C6-92CD-3C4812962FC8}">
  <ds:schemaRefs>
    <ds:schemaRef ds:uri="http://schemas.microsoft.com/sharepoint/v3/contenttype/forms"/>
  </ds:schemaRefs>
</ds:datastoreItem>
</file>

<file path=customXml/itemProps4.xml><?xml version="1.0" encoding="utf-8"?>
<ds:datastoreItem xmlns:ds="http://schemas.openxmlformats.org/officeDocument/2006/customXml" ds:itemID="{C1ABB89B-6357-44E6-A141-0FE7CACE0A48}">
  <ds:schemaRefs>
    <ds:schemaRef ds:uri="http://schemas.microsoft.com/office/2006/metadata/properties"/>
    <ds:schemaRef ds:uri="http://schemas.microsoft.com/office/infopath/2007/PartnerControls"/>
    <ds:schemaRef ds:uri="http://schemas.microsoft.com/sharepoint/v3"/>
    <ds:schemaRef ds:uri="bdcac3b1-8134-4685-9628-ed5981d1506c"/>
    <ds:schemaRef ds:uri="9eb9d2d6-3b32-48da-b080-b6b04fe49947"/>
  </ds:schemaRefs>
</ds:datastoreItem>
</file>

<file path=docProps/app.xml><?xml version="1.0" encoding="utf-8"?>
<Properties xmlns="http://schemas.openxmlformats.org/officeDocument/2006/extended-properties" xmlns:vt="http://schemas.openxmlformats.org/officeDocument/2006/docPropsVTypes">
  <Template>dpi-reporttemplate (1)</Template>
  <TotalTime>10</TotalTime>
  <Pages>85</Pages>
  <Words>26244</Words>
  <Characters>149592</Characters>
  <Application>Microsoft Office Word</Application>
  <DocSecurity>8</DocSecurity>
  <Lines>1246</Lines>
  <Paragraphs>350</Paragraphs>
  <ScaleCrop>false</ScaleCrop>
  <Company>North Carolina Department of Public Instruction</Company>
  <LinksUpToDate>false</LinksUpToDate>
  <CharactersWithSpaces>175486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DPISchoolGradeTechnicalGuide2025-26</dc:title>
  <dc:subject/>
  <dc:creator>NCDPI Office of Accountability</dc:creator>
  <cp:keywords/>
  <cp:lastModifiedBy>Jaime Denny</cp:lastModifiedBy>
  <cp:revision>11</cp:revision>
  <cp:lastPrinted>2026-05-05T07:25:00Z</cp:lastPrinted>
  <dcterms:created xsi:type="dcterms:W3CDTF">2026-08-31T13:00:00Z</dcterms:created>
  <dcterms:modified xsi:type="dcterms:W3CDTF">2026-08-31T13:09:00Z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0x0101003F2B66DB46E4FC45BF3F9B2ADE44C0F3</vt:lpwstr>
  </property>
  <property fmtid="{D5CDD505-2E9C-101B-9397-08002B2CF9AE}" pid="3" name="MediaServiceImageTags">
    <vt:lpwstr/>
  </property>
  <property fmtid="{D5CDD505-2E9C-101B-9397-08002B2CF9AE}" pid="4" name="_ExtendedDescription">
    <vt:lpwstr/>
  </property>
</Properties>
</file>