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F1D09" w14:textId="13E33709" w:rsidR="0000568F" w:rsidRPr="007A7B04" w:rsidRDefault="006B27FA">
      <w:r w:rsidRPr="007A7B04">
        <w:t>The Community Eligibility Provision (CEP) is a non-pricing meal service</w:t>
      </w:r>
      <w:r w:rsidR="003D74AC" w:rsidRPr="007A7B04">
        <w:t xml:space="preserve"> program </w:t>
      </w:r>
      <w:r w:rsidRPr="007A7B04">
        <w:t>that allows schools and school districts who participate in the National School Lunch Program (NSLP) to serve breakfast and lunch at no cost to all enrolled students regardless of economic status. (</w:t>
      </w:r>
      <w:r w:rsidRPr="007A7B04">
        <w:rPr>
          <w:i/>
          <w:iCs/>
        </w:rPr>
        <w:t>Healthy, Hunger Free Kids Act 2010</w:t>
      </w:r>
      <w:r w:rsidRPr="007A7B04">
        <w:t>)</w:t>
      </w:r>
      <w:r w:rsidR="00CA1FF4" w:rsidRPr="007A7B04">
        <w:t xml:space="preserve"> </w:t>
      </w:r>
    </w:p>
    <w:p w14:paraId="02DC7161" w14:textId="472D19AB" w:rsidR="003B60DB" w:rsidRPr="007A7B04" w:rsidRDefault="003B60DB" w:rsidP="00691932">
      <w:r w:rsidRPr="007A7B04">
        <w:rPr>
          <w:b/>
          <w:bCs/>
        </w:rPr>
        <w:t>Benefits</w:t>
      </w:r>
      <w:r w:rsidRPr="007A7B04">
        <w:t xml:space="preserve">: </w:t>
      </w:r>
      <w:proofErr w:type="gramStart"/>
      <w:r w:rsidRPr="007A7B04">
        <w:t>No cost</w:t>
      </w:r>
      <w:proofErr w:type="gramEnd"/>
      <w:r w:rsidRPr="007A7B04">
        <w:t xml:space="preserve"> meals for all enrolled students, no household meal applications, no unpaid meal charges, reduced administrative burden, streamline</w:t>
      </w:r>
      <w:r w:rsidR="008869FA" w:rsidRPr="007A7B04">
        <w:t>d</w:t>
      </w:r>
      <w:r w:rsidRPr="007A7B04">
        <w:t xml:space="preserve"> meal service, reduce</w:t>
      </w:r>
      <w:r w:rsidR="008869FA" w:rsidRPr="007A7B04">
        <w:t>d</w:t>
      </w:r>
      <w:r w:rsidRPr="007A7B04">
        <w:t xml:space="preserve"> social stigma</w:t>
      </w:r>
      <w:r w:rsidR="00DA53D1" w:rsidRPr="007A7B04">
        <w:t>.</w:t>
      </w:r>
    </w:p>
    <w:p w14:paraId="0C2D1D96" w14:textId="77777777" w:rsidR="00DA53D1" w:rsidRPr="007A7B04" w:rsidRDefault="00DA53D1" w:rsidP="00DA53D1">
      <w:r w:rsidRPr="007A7B04">
        <w:rPr>
          <w:b/>
          <w:bCs/>
        </w:rPr>
        <w:t>Requirements:</w:t>
      </w:r>
      <w:r w:rsidRPr="007A7B04">
        <w:t xml:space="preserve"> Those participating in CEP must </w:t>
      </w:r>
    </w:p>
    <w:p w14:paraId="39D4C0B6" w14:textId="10FF841E" w:rsidR="00DA53D1" w:rsidRPr="007A7B04" w:rsidRDefault="000378F0" w:rsidP="00DA53D1">
      <w:pPr>
        <w:pStyle w:val="ListParagraph"/>
        <w:numPr>
          <w:ilvl w:val="0"/>
          <w:numId w:val="1"/>
        </w:numPr>
      </w:pPr>
      <w:r>
        <w:t>Provide</w:t>
      </w:r>
      <w:r w:rsidR="00DA53D1" w:rsidRPr="007A7B04">
        <w:t xml:space="preserve"> breakfast and lunch </w:t>
      </w:r>
      <w:proofErr w:type="gramStart"/>
      <w:r w:rsidR="00DA53D1" w:rsidRPr="007A7B04">
        <w:t>to</w:t>
      </w:r>
      <w:proofErr w:type="gramEnd"/>
      <w:r w:rsidR="00DA53D1" w:rsidRPr="007A7B04">
        <w:t xml:space="preserve"> </w:t>
      </w:r>
      <w:r w:rsidR="00EE0D1A">
        <w:t>all participating</w:t>
      </w:r>
      <w:r w:rsidR="00DA53D1" w:rsidRPr="007A7B04">
        <w:t xml:space="preserve"> students </w:t>
      </w:r>
      <w:r w:rsidR="003C6429">
        <w:t>at no charge</w:t>
      </w:r>
    </w:p>
    <w:p w14:paraId="31F1C8F4" w14:textId="77777777" w:rsidR="00DA53D1" w:rsidRPr="007A7B04" w:rsidRDefault="00DA53D1" w:rsidP="00DA53D1">
      <w:pPr>
        <w:pStyle w:val="ListParagraph"/>
        <w:numPr>
          <w:ilvl w:val="0"/>
          <w:numId w:val="1"/>
        </w:numPr>
      </w:pPr>
      <w:r w:rsidRPr="007A7B04">
        <w:t>Maintain a count of reimbursable meals served to students daily</w:t>
      </w:r>
    </w:p>
    <w:p w14:paraId="23B71361" w14:textId="77777777" w:rsidR="00DA53D1" w:rsidRPr="007A7B04" w:rsidRDefault="00DA53D1" w:rsidP="00DA53D1">
      <w:pPr>
        <w:pStyle w:val="ListParagraph"/>
        <w:numPr>
          <w:ilvl w:val="0"/>
          <w:numId w:val="1"/>
        </w:numPr>
      </w:pPr>
      <w:r w:rsidRPr="007A7B04">
        <w:t>Cover the costs of providing no cost meals to all enrolled students that exceed the Federal reimbursement locally with non-federal funds</w:t>
      </w:r>
    </w:p>
    <w:p w14:paraId="4EB40371" w14:textId="5B21CEAF" w:rsidR="009755F9" w:rsidRPr="007A7B04" w:rsidRDefault="00DA53D1" w:rsidP="009755F9">
      <w:pPr>
        <w:pStyle w:val="ListParagraph"/>
        <w:numPr>
          <w:ilvl w:val="0"/>
          <w:numId w:val="1"/>
        </w:numPr>
      </w:pPr>
      <w:r w:rsidRPr="007A7B04">
        <w:t>Comply with all program requirements</w:t>
      </w:r>
    </w:p>
    <w:p w14:paraId="697C9684" w14:textId="1C46A29F" w:rsidR="00AB33B1" w:rsidRPr="007A7B04" w:rsidRDefault="00AB2C89" w:rsidP="009755F9">
      <w:pPr>
        <w:pStyle w:val="ListParagraph"/>
        <w:numPr>
          <w:ilvl w:val="0"/>
          <w:numId w:val="1"/>
        </w:numPr>
      </w:pPr>
      <w:r>
        <w:t>No</w:t>
      </w:r>
      <w:r w:rsidR="00604658" w:rsidRPr="007A7B04">
        <w:t xml:space="preserve"> collect</w:t>
      </w:r>
      <w:r>
        <w:t>ion of</w:t>
      </w:r>
      <w:r w:rsidR="00604658" w:rsidRPr="007A7B04">
        <w:t xml:space="preserve"> </w:t>
      </w:r>
      <w:r w:rsidR="00AB33B1" w:rsidRPr="007A7B04">
        <w:t>free and reduced priced household meal applications form</w:t>
      </w:r>
      <w:r w:rsidR="00604658" w:rsidRPr="007A7B04">
        <w:t>s</w:t>
      </w:r>
      <w:r w:rsidR="00AB33B1" w:rsidRPr="007A7B04">
        <w:t xml:space="preserve"> for households in participating schools during the period of participation in CEP</w:t>
      </w:r>
    </w:p>
    <w:p w14:paraId="774D585C" w14:textId="5FA7C8C3" w:rsidR="00AB33B1" w:rsidRPr="007A7B04" w:rsidRDefault="00AB33B1" w:rsidP="009755F9">
      <w:pPr>
        <w:pStyle w:val="ListParagraph"/>
        <w:numPr>
          <w:ilvl w:val="0"/>
          <w:numId w:val="1"/>
        </w:numPr>
      </w:pPr>
      <w:r w:rsidRPr="007A7B04">
        <w:t xml:space="preserve">Provide Direct Certification notice to </w:t>
      </w:r>
      <w:r w:rsidR="00FC05AD" w:rsidRPr="007A7B04">
        <w:t>households</w:t>
      </w:r>
    </w:p>
    <w:p w14:paraId="375D300C" w14:textId="1FB659B0" w:rsidR="009755F9" w:rsidRPr="007A7B04" w:rsidRDefault="009755F9" w:rsidP="006809FC">
      <w:r w:rsidRPr="007A7B04">
        <w:rPr>
          <w:b/>
          <w:bCs/>
        </w:rPr>
        <w:t>Implementation:</w:t>
      </w:r>
      <w:r w:rsidR="006809FC" w:rsidRPr="007A7B04">
        <w:t xml:space="preserve"> </w:t>
      </w:r>
      <w:r w:rsidRPr="007A7B04">
        <w:t xml:space="preserve">CEP can be </w:t>
      </w:r>
      <w:r w:rsidR="0028207E" w:rsidRPr="007A7B04">
        <w:t>implemented for</w:t>
      </w:r>
      <w:r w:rsidRPr="007A7B04">
        <w:t xml:space="preserve"> up to four (4) consecutive years</w:t>
      </w:r>
      <w:r w:rsidR="006809FC" w:rsidRPr="007A7B04">
        <w:t xml:space="preserve">. </w:t>
      </w:r>
      <w:r w:rsidRPr="007A7B04">
        <w:t>School Nutrition Administrator</w:t>
      </w:r>
      <w:r w:rsidR="006809FC" w:rsidRPr="007A7B04">
        <w:t>s</w:t>
      </w:r>
      <w:r w:rsidRPr="007A7B04">
        <w:t xml:space="preserve"> must notify the Office of School Nutrition of their intent to participate in CEP by June 30. </w:t>
      </w:r>
      <w:r w:rsidRPr="007A7B04">
        <w:tab/>
      </w:r>
      <w:r w:rsidRPr="007A7B04">
        <w:tab/>
      </w:r>
    </w:p>
    <w:p w14:paraId="02ED017B" w14:textId="65044B21" w:rsidR="006B27FA" w:rsidRPr="007A7B04" w:rsidRDefault="006B27FA">
      <w:r w:rsidRPr="007A7B04">
        <w:rPr>
          <w:b/>
          <w:bCs/>
        </w:rPr>
        <w:t>Eligibility:</w:t>
      </w:r>
      <w:r w:rsidRPr="007A7B04">
        <w:t xml:space="preserve"> To be eligible to participate, a district, individual school, or a group of schools from the same district must </w:t>
      </w:r>
      <w:r w:rsidR="0058327F" w:rsidRPr="007A7B04">
        <w:t xml:space="preserve">have </w:t>
      </w:r>
      <w:r w:rsidRPr="007A7B04">
        <w:t>an identified student percentage (ISP</w:t>
      </w:r>
      <w:r w:rsidR="00541DEE" w:rsidRPr="007A7B04">
        <w:t xml:space="preserve">) </w:t>
      </w:r>
      <w:r w:rsidR="0058327F" w:rsidRPr="007A7B04">
        <w:t>of at least 25% as of April 1, prior to the first year of implementation. Each school does not have to meet the 25% threshold individually if the entire district or a group of schools within a district participates and meets at least the 25% requirement when average</w:t>
      </w:r>
      <w:r w:rsidR="008E3195" w:rsidRPr="007A7B04">
        <w:t>d</w:t>
      </w:r>
      <w:r w:rsidR="0058327F" w:rsidRPr="007A7B04">
        <w:t xml:space="preserve"> together. </w:t>
      </w:r>
    </w:p>
    <w:p w14:paraId="61F0CC9D" w14:textId="4ED3FE51" w:rsidR="00105BD5" w:rsidRPr="007A7B04" w:rsidRDefault="00105BD5">
      <w:r w:rsidRPr="007A7B04">
        <w:rPr>
          <w:b/>
          <w:bCs/>
        </w:rPr>
        <w:t>Enrolled Students:</w:t>
      </w:r>
      <w:r w:rsidRPr="007A7B04">
        <w:t xml:space="preserve"> Students that are actively enrolled at the participating site. Students who do not have access to either breakfast or lunch to other schools are not counted in the enrollment numbers. (Enrolled Pre-K students may be included if they are offered at least one meal service)</w:t>
      </w:r>
    </w:p>
    <w:p w14:paraId="3501E0C7" w14:textId="4C95E19D" w:rsidR="00541DEE" w:rsidRPr="007A7B04" w:rsidRDefault="00541DEE">
      <w:r w:rsidRPr="007A7B04">
        <w:rPr>
          <w:b/>
          <w:bCs/>
        </w:rPr>
        <w:t>Identified Students:</w:t>
      </w:r>
      <w:r w:rsidRPr="007A7B04">
        <w:t xml:space="preserve"> Students that are directly certified for free meals based on documentation on their receipt of benefits from Supplemental Nutrition Assistance Program (SNAP), Temporary Assistance for Needy Families (TANF), Food Distribution Program on Indian Reservations (FDPIR), Medicaid</w:t>
      </w:r>
      <w:r w:rsidR="009E366A" w:rsidRPr="007A7B04">
        <w:t xml:space="preserve"> Free</w:t>
      </w:r>
      <w:r w:rsidRPr="007A7B04">
        <w:t>; or their status as a foster, homeless, migrant, or runaway child; or Head Start enrollee</w:t>
      </w:r>
      <w:r w:rsidR="004B463C" w:rsidRPr="007A7B04">
        <w:t xml:space="preserve">; </w:t>
      </w:r>
      <w:r w:rsidR="002309B7" w:rsidRPr="007A7B04">
        <w:t>or</w:t>
      </w:r>
      <w:r w:rsidR="00DE0FD2" w:rsidRPr="007A7B04">
        <w:t xml:space="preserve"> </w:t>
      </w:r>
      <w:r w:rsidR="00A4551B" w:rsidRPr="007A7B04">
        <w:t>non-applicant</w:t>
      </w:r>
      <w:r w:rsidR="002309B7" w:rsidRPr="007A7B04">
        <w:t>.</w:t>
      </w:r>
      <w:r w:rsidR="00B07FEF" w:rsidRPr="007A7B04">
        <w:t xml:space="preserve"> </w:t>
      </w:r>
      <w:r w:rsidRPr="007A7B04">
        <w:t xml:space="preserve"> </w:t>
      </w:r>
    </w:p>
    <w:p w14:paraId="3EF58E2D" w14:textId="77777777" w:rsidR="00C40250" w:rsidRPr="007A7B04" w:rsidRDefault="003B60DB">
      <w:pPr>
        <w:rPr>
          <w:rFonts w:eastAsiaTheme="minorEastAsia"/>
          <w:b/>
          <w:bCs/>
        </w:rPr>
      </w:pPr>
      <w:r w:rsidRPr="007A7B04">
        <w:rPr>
          <w:b/>
          <w:bCs/>
        </w:rPr>
        <w:t>Calculating ISP</w:t>
      </w:r>
      <w:r w:rsidR="0058327F" w:rsidRPr="007A7B04">
        <w:t>:</w:t>
      </w:r>
      <w:r w:rsidR="00541DEE" w:rsidRPr="007A7B04">
        <w:tab/>
      </w:r>
      <w:r w:rsidRPr="007A7B04">
        <w:rPr>
          <w:b/>
          <w:bCs/>
        </w:rPr>
        <w:t xml:space="preserve"> </w:t>
      </w:r>
      <m:oMath>
        <m:r>
          <m:rPr>
            <m:sty m:val="bi"/>
          </m:rPr>
          <w:rPr>
            <w:rFonts w:ascii="Cambria Math" w:hAnsi="Cambria Math"/>
          </w:rPr>
          <m:t>ISP=</m:t>
        </m:r>
        <m:f>
          <m:fPr>
            <m:ctrlPr>
              <w:rPr>
                <w:rFonts w:ascii="Cambria Math" w:hAnsi="Cambria Math"/>
                <w:b/>
                <w:bCs/>
                <w:i/>
              </w:rPr>
            </m:ctrlPr>
          </m:fPr>
          <m:num>
            <m:r>
              <m:rPr>
                <m:sty m:val="bi"/>
              </m:rPr>
              <w:rPr>
                <w:rFonts w:ascii="Cambria Math" w:hAnsi="Cambria Math"/>
              </w:rPr>
              <m:t># Identifed Students</m:t>
            </m:r>
          </m:num>
          <m:den>
            <m:r>
              <m:rPr>
                <m:sty m:val="bi"/>
              </m:rPr>
              <w:rPr>
                <w:rFonts w:ascii="Cambria Math" w:hAnsi="Cambria Math"/>
              </w:rPr>
              <m:t># Enrolled Students</m:t>
            </m:r>
          </m:den>
        </m:f>
        <m:r>
          <m:rPr>
            <m:sty m:val="bi"/>
          </m:rPr>
          <w:rPr>
            <w:rFonts w:ascii="Cambria Math" w:hAnsi="Cambria Math"/>
          </w:rPr>
          <m:t>x 100</m:t>
        </m:r>
      </m:oMath>
      <w:r w:rsidR="00C40250" w:rsidRPr="007A7B04">
        <w:rPr>
          <w:rFonts w:eastAsiaTheme="minorEastAsia"/>
          <w:b/>
          <w:bCs/>
        </w:rPr>
        <w:t xml:space="preserve"> </w:t>
      </w:r>
    </w:p>
    <w:p w14:paraId="4CAEE0C9" w14:textId="77777777" w:rsidR="00DA53D1" w:rsidRPr="007A7B04" w:rsidRDefault="00C40250" w:rsidP="00C40250">
      <w:pPr>
        <w:ind w:firstLine="720"/>
        <w:rPr>
          <w:rFonts w:eastAsiaTheme="minorEastAsia"/>
          <w:sz w:val="20"/>
          <w:szCs w:val="20"/>
        </w:rPr>
      </w:pPr>
      <w:r w:rsidRPr="007A7B04">
        <w:rPr>
          <w:rFonts w:eastAsiaTheme="minorEastAsia"/>
          <w:b/>
          <w:bCs/>
          <w:sz w:val="20"/>
          <w:szCs w:val="20"/>
        </w:rPr>
        <w:t>Example:</w:t>
      </w:r>
      <w:r w:rsidRPr="007A7B04">
        <w:rPr>
          <w:rFonts w:eastAsiaTheme="minorEastAsia"/>
          <w:sz w:val="20"/>
          <w:szCs w:val="20"/>
        </w:rPr>
        <w:t xml:space="preserve"> 230 (Identified students) ÷ 420 (enrolled students) = 0.5476 x 100= 54.76 ISP</w:t>
      </w:r>
    </w:p>
    <w:p w14:paraId="5D9DB2FB" w14:textId="769BEDE2" w:rsidR="00C40250" w:rsidRPr="007A7B04" w:rsidRDefault="00DA53D1" w:rsidP="00DA53D1">
      <w:r w:rsidRPr="007A7B04">
        <w:rPr>
          <w:rFonts w:eastAsiaTheme="minorEastAsia"/>
          <w:b/>
          <w:bCs/>
        </w:rPr>
        <w:t>Increasing ISP:</w:t>
      </w:r>
      <w:r w:rsidRPr="007A7B04">
        <w:rPr>
          <w:rFonts w:eastAsiaTheme="minorEastAsia"/>
        </w:rPr>
        <w:t xml:space="preserve"> Perform direct certification matches as often as possible, extend eligibility to students living in the same household with other students who are directly certified, and connect with school support staff.</w:t>
      </w:r>
      <w:r w:rsidR="003B60DB" w:rsidRPr="007A7B04">
        <w:rPr>
          <w:rFonts w:ascii="Cambria Math" w:hAnsi="Cambria Math"/>
          <w:b/>
          <w:i/>
          <w:sz w:val="20"/>
          <w:szCs w:val="20"/>
        </w:rPr>
        <w:br/>
      </w:r>
      <w:r w:rsidR="003B60DB" w:rsidRPr="007A7B04">
        <w:rPr>
          <w:rFonts w:ascii="Cambria Math" w:hAnsi="Cambria Math"/>
          <w:b/>
          <w:i/>
          <w:sz w:val="20"/>
          <w:szCs w:val="20"/>
        </w:rPr>
        <w:br/>
      </w:r>
      <w:r w:rsidR="00C40250" w:rsidRPr="007A7B04">
        <w:rPr>
          <w:b/>
          <w:bCs/>
        </w:rPr>
        <w:t xml:space="preserve">Calculating Claiming Percentage: </w:t>
      </w:r>
    </w:p>
    <w:p w14:paraId="43287095" w14:textId="56B1414C" w:rsidR="00C40250" w:rsidRPr="007A7B04" w:rsidRDefault="00C40250">
      <w:r w:rsidRPr="007A7B04">
        <w:lastRenderedPageBreak/>
        <w:t xml:space="preserve"> Free rate % = Identified Student Percentage (ISP) x </w:t>
      </w:r>
      <w:r w:rsidR="002209B9">
        <w:t xml:space="preserve">ISP </w:t>
      </w:r>
      <w:r w:rsidRPr="007A7B04">
        <w:t>Multiplier (1.6)</w:t>
      </w:r>
    </w:p>
    <w:p w14:paraId="169508BB" w14:textId="3DAFE08F" w:rsidR="00C40250" w:rsidRPr="007A7B04" w:rsidRDefault="00C40250">
      <w:r w:rsidRPr="007A7B04">
        <w:t>The USDA regulates the ISP multiplier which is currently 1.6. On average, for every ten (10) identified students, six (6) students would have been certified through household meal applications if collected.</w:t>
      </w:r>
    </w:p>
    <w:p w14:paraId="0D3768D1" w14:textId="60AA9CA6" w:rsidR="000A025C" w:rsidRPr="007A7B04" w:rsidRDefault="000A025C">
      <w:r w:rsidRPr="007A7B04">
        <w:t xml:space="preserve">Meals will only be reimbursed </w:t>
      </w:r>
      <w:proofErr w:type="gramStart"/>
      <w:r w:rsidRPr="007A7B04">
        <w:t>to</w:t>
      </w:r>
      <w:proofErr w:type="gramEnd"/>
      <w:r w:rsidRPr="007A7B04">
        <w:t xml:space="preserve"> 100%.</w:t>
      </w:r>
      <w:r w:rsidR="00FC7C9C" w:rsidRPr="007A7B04">
        <w:t xml:space="preserve"> The claiming </w:t>
      </w:r>
      <w:r w:rsidR="00D73B45" w:rsidRPr="007A7B04">
        <w:t>percentage is applied to the total number of meals.</w:t>
      </w:r>
    </w:p>
    <w:p w14:paraId="36D550BE" w14:textId="620F11B6" w:rsidR="00C40250" w:rsidRPr="007A7B04" w:rsidRDefault="00C40250" w:rsidP="00DA53D1">
      <w:pPr>
        <w:ind w:firstLine="720"/>
        <w:rPr>
          <w:sz w:val="20"/>
          <w:szCs w:val="20"/>
        </w:rPr>
      </w:pPr>
      <w:r w:rsidRPr="007A7B04">
        <w:rPr>
          <w:b/>
          <w:bCs/>
          <w:sz w:val="20"/>
          <w:szCs w:val="20"/>
        </w:rPr>
        <w:t>Example</w:t>
      </w:r>
      <w:r w:rsidRPr="007A7B04">
        <w:rPr>
          <w:sz w:val="20"/>
          <w:szCs w:val="20"/>
        </w:rPr>
        <w:t>: 54.76 x 1.6</w:t>
      </w:r>
      <w:r w:rsidR="00DA53D1" w:rsidRPr="007A7B04">
        <w:rPr>
          <w:sz w:val="20"/>
          <w:szCs w:val="20"/>
        </w:rPr>
        <w:t xml:space="preserve"> </w:t>
      </w:r>
      <w:r w:rsidRPr="007A7B04">
        <w:rPr>
          <w:sz w:val="20"/>
          <w:szCs w:val="20"/>
        </w:rPr>
        <w:t>=</w:t>
      </w:r>
      <w:r w:rsidR="00DA53D1" w:rsidRPr="007A7B04">
        <w:rPr>
          <w:sz w:val="20"/>
          <w:szCs w:val="20"/>
        </w:rPr>
        <w:t>87.62</w:t>
      </w:r>
    </w:p>
    <w:p w14:paraId="2C92818C" w14:textId="41008412" w:rsidR="00DA53D1" w:rsidRPr="007A7B04" w:rsidRDefault="00DA53D1" w:rsidP="00DA53D1">
      <w:pPr>
        <w:rPr>
          <w:sz w:val="20"/>
          <w:szCs w:val="20"/>
        </w:rPr>
      </w:pPr>
      <w:r w:rsidRPr="007A7B04">
        <w:rPr>
          <w:sz w:val="20"/>
          <w:szCs w:val="20"/>
        </w:rPr>
        <w:t>8</w:t>
      </w:r>
      <w:r w:rsidR="005C2240">
        <w:rPr>
          <w:sz w:val="20"/>
          <w:szCs w:val="20"/>
        </w:rPr>
        <w:t>8</w:t>
      </w:r>
      <w:r w:rsidRPr="007A7B04">
        <w:rPr>
          <w:sz w:val="20"/>
          <w:szCs w:val="20"/>
        </w:rPr>
        <w:t>% of meals would be reimbursed at the Free rate &amp; 12% would be reimbursed at the Paid rate</w:t>
      </w:r>
      <w:r w:rsidR="003610A3" w:rsidRPr="007A7B04">
        <w:rPr>
          <w:sz w:val="20"/>
          <w:szCs w:val="20"/>
        </w:rPr>
        <w:t>.</w:t>
      </w:r>
    </w:p>
    <w:p w14:paraId="4F742675" w14:textId="50295130" w:rsidR="00430D66" w:rsidRPr="007A7B04" w:rsidRDefault="00EE7AC3" w:rsidP="00DA53D1">
      <w:r w:rsidRPr="007A7B04">
        <w:t xml:space="preserve">If the ISP increases </w:t>
      </w:r>
      <w:r w:rsidR="0056602B" w:rsidRPr="007A7B04">
        <w:t xml:space="preserve">for </w:t>
      </w:r>
      <w:r w:rsidRPr="007A7B04">
        <w:t>a site or group</w:t>
      </w:r>
      <w:r w:rsidR="00E6353C" w:rsidRPr="007A7B04">
        <w:t xml:space="preserve"> </w:t>
      </w:r>
      <w:r w:rsidR="00F17DC3" w:rsidRPr="007A7B04">
        <w:t>on</w:t>
      </w:r>
      <w:r w:rsidR="00E6353C" w:rsidRPr="007A7B04">
        <w:t xml:space="preserve"> </w:t>
      </w:r>
      <w:r w:rsidR="0056602B" w:rsidRPr="007A7B04">
        <w:t xml:space="preserve">the </w:t>
      </w:r>
      <w:r w:rsidR="00E6353C" w:rsidRPr="007A7B04">
        <w:t>next data pull on April 1</w:t>
      </w:r>
      <w:r w:rsidR="00F17DC3" w:rsidRPr="007A7B04">
        <w:t xml:space="preserve"> for the</w:t>
      </w:r>
      <w:r w:rsidR="008C3FF4" w:rsidRPr="007A7B04">
        <w:rPr>
          <w:strike/>
        </w:rPr>
        <w:t xml:space="preserve"> </w:t>
      </w:r>
      <w:r w:rsidR="008C3FF4" w:rsidRPr="007A7B04">
        <w:t xml:space="preserve">following </w:t>
      </w:r>
      <w:r w:rsidR="00F17DC3" w:rsidRPr="007A7B04">
        <w:t>school year</w:t>
      </w:r>
      <w:r w:rsidR="00EA5FAF" w:rsidRPr="007A7B04">
        <w:t>, then</w:t>
      </w:r>
      <w:r w:rsidR="00BC38E0" w:rsidRPr="007A7B04">
        <w:t xml:space="preserve"> the SFA </w:t>
      </w:r>
      <w:r w:rsidR="00EA5FAF" w:rsidRPr="007A7B04">
        <w:t xml:space="preserve">can </w:t>
      </w:r>
      <w:r w:rsidR="00F17DC3" w:rsidRPr="007A7B04">
        <w:t xml:space="preserve">reapply with new </w:t>
      </w:r>
      <w:r w:rsidR="003503D2" w:rsidRPr="007A7B04">
        <w:t>claiming percentages</w:t>
      </w:r>
      <w:r w:rsidR="00EA5FAF" w:rsidRPr="007A7B04">
        <w:t>, extending the CEP approval for an additional four (4) years</w:t>
      </w:r>
    </w:p>
    <w:p w14:paraId="39C024AD" w14:textId="1BEC37E7" w:rsidR="00DA53D1" w:rsidRPr="007A7B04" w:rsidRDefault="00DA53D1" w:rsidP="00DA53D1">
      <w:r w:rsidRPr="007A7B04">
        <w:rPr>
          <w:b/>
          <w:bCs/>
        </w:rPr>
        <w:t>Groupings:</w:t>
      </w:r>
      <w:r w:rsidRPr="007A7B04">
        <w:t xml:space="preserve"> There is no limit of groupings</w:t>
      </w:r>
      <w:r w:rsidR="004D5506" w:rsidRPr="007A7B04">
        <w:t xml:space="preserve">, there can be </w:t>
      </w:r>
      <w:r w:rsidR="00B34C97" w:rsidRPr="007A7B04">
        <w:t xml:space="preserve">many </w:t>
      </w:r>
      <w:r w:rsidR="004D5506" w:rsidRPr="007A7B04">
        <w:t xml:space="preserve">scenarios, and </w:t>
      </w:r>
      <w:r w:rsidR="004D5506" w:rsidRPr="007A7B04">
        <w:rPr>
          <w:strike/>
        </w:rPr>
        <w:t>consider</w:t>
      </w:r>
      <w:r w:rsidR="004D5506" w:rsidRPr="007A7B04">
        <w:t xml:space="preserve"> all factors</w:t>
      </w:r>
      <w:r w:rsidR="00130603" w:rsidRPr="007A7B04">
        <w:t xml:space="preserve"> should be considered</w:t>
      </w:r>
      <w:r w:rsidR="004D5506" w:rsidRPr="007A7B04">
        <w:t xml:space="preserve"> including financial viability. </w:t>
      </w:r>
    </w:p>
    <w:p w14:paraId="17CFCD00" w14:textId="77777777" w:rsidR="00DA53D1" w:rsidRPr="007A7B04" w:rsidRDefault="00DA53D1" w:rsidP="00DA53D1">
      <w:pPr>
        <w:pStyle w:val="ListParagraph"/>
        <w:rPr>
          <w:b/>
          <w:bCs/>
        </w:rPr>
      </w:pPr>
      <w:r w:rsidRPr="007A7B04">
        <w:rPr>
          <w:b/>
          <w:bCs/>
        </w:rPr>
        <w:t>Example:</w:t>
      </w:r>
    </w:p>
    <w:tbl>
      <w:tblPr>
        <w:tblStyle w:val="TableGrid"/>
        <w:tblW w:w="0" w:type="auto"/>
        <w:tblInd w:w="720" w:type="dxa"/>
        <w:tblLook w:val="04A0" w:firstRow="1" w:lastRow="0" w:firstColumn="1" w:lastColumn="0" w:noHBand="0" w:noVBand="1"/>
      </w:tblPr>
      <w:tblGrid>
        <w:gridCol w:w="2871"/>
        <w:gridCol w:w="2873"/>
        <w:gridCol w:w="2886"/>
      </w:tblGrid>
      <w:tr w:rsidR="00DA53D1" w:rsidRPr="007A7B04" w14:paraId="3E9EC893" w14:textId="77777777" w:rsidTr="00DA53D1">
        <w:tc>
          <w:tcPr>
            <w:tcW w:w="3116" w:type="dxa"/>
          </w:tcPr>
          <w:p w14:paraId="326DEF08" w14:textId="21A8F3CA" w:rsidR="00DA53D1" w:rsidRPr="007A7B04" w:rsidRDefault="00DA53D1" w:rsidP="00DA53D1">
            <w:pPr>
              <w:pStyle w:val="ListParagraph"/>
              <w:ind w:left="0"/>
              <w:rPr>
                <w:b/>
                <w:bCs/>
              </w:rPr>
            </w:pPr>
            <w:r w:rsidRPr="007A7B04">
              <w:rPr>
                <w:b/>
                <w:bCs/>
              </w:rPr>
              <w:t>School</w:t>
            </w:r>
          </w:p>
        </w:tc>
        <w:tc>
          <w:tcPr>
            <w:tcW w:w="3117" w:type="dxa"/>
          </w:tcPr>
          <w:p w14:paraId="3E77C1C6" w14:textId="5C76EE75" w:rsidR="00DA53D1" w:rsidRPr="007A7B04" w:rsidRDefault="00DA53D1" w:rsidP="00DA53D1">
            <w:pPr>
              <w:pStyle w:val="ListParagraph"/>
              <w:ind w:left="0"/>
              <w:rPr>
                <w:b/>
                <w:bCs/>
              </w:rPr>
            </w:pPr>
            <w:r w:rsidRPr="007A7B04">
              <w:rPr>
                <w:b/>
                <w:bCs/>
              </w:rPr>
              <w:t>ISP</w:t>
            </w:r>
          </w:p>
        </w:tc>
        <w:tc>
          <w:tcPr>
            <w:tcW w:w="3117" w:type="dxa"/>
          </w:tcPr>
          <w:p w14:paraId="1351A7CB" w14:textId="22E10E7E" w:rsidR="00DA53D1" w:rsidRPr="007A7B04" w:rsidRDefault="00DA53D1" w:rsidP="00DA53D1">
            <w:pPr>
              <w:pStyle w:val="ListParagraph"/>
              <w:ind w:left="0"/>
              <w:rPr>
                <w:b/>
                <w:bCs/>
              </w:rPr>
            </w:pPr>
            <w:r w:rsidRPr="007A7B04">
              <w:rPr>
                <w:b/>
                <w:bCs/>
              </w:rPr>
              <w:t>X 1.6</w:t>
            </w:r>
          </w:p>
        </w:tc>
      </w:tr>
      <w:tr w:rsidR="00DA53D1" w:rsidRPr="007A7B04" w14:paraId="4D24B3FC" w14:textId="77777777" w:rsidTr="00DA53D1">
        <w:tc>
          <w:tcPr>
            <w:tcW w:w="3116" w:type="dxa"/>
          </w:tcPr>
          <w:p w14:paraId="6C818139" w14:textId="58ACDE97" w:rsidR="00DA53D1" w:rsidRPr="007A7B04" w:rsidRDefault="00DA53D1" w:rsidP="00DA53D1">
            <w:pPr>
              <w:pStyle w:val="ListParagraph"/>
              <w:ind w:left="0"/>
            </w:pPr>
            <w:r w:rsidRPr="007A7B04">
              <w:t>School A</w:t>
            </w:r>
          </w:p>
        </w:tc>
        <w:tc>
          <w:tcPr>
            <w:tcW w:w="3117" w:type="dxa"/>
          </w:tcPr>
          <w:p w14:paraId="3F474F09" w14:textId="07FAC345" w:rsidR="00DA53D1" w:rsidRPr="007A7B04" w:rsidRDefault="000A025C" w:rsidP="00DA53D1">
            <w:pPr>
              <w:pStyle w:val="ListParagraph"/>
              <w:ind w:left="0"/>
            </w:pPr>
            <w:r w:rsidRPr="007A7B04">
              <w:t>23.43%</w:t>
            </w:r>
          </w:p>
        </w:tc>
        <w:tc>
          <w:tcPr>
            <w:tcW w:w="3117" w:type="dxa"/>
          </w:tcPr>
          <w:p w14:paraId="2DAFD254" w14:textId="5B97DD65" w:rsidR="00DA53D1" w:rsidRPr="007A7B04" w:rsidRDefault="000A025C" w:rsidP="00DA53D1">
            <w:pPr>
              <w:pStyle w:val="ListParagraph"/>
              <w:ind w:left="0"/>
            </w:pPr>
            <w:r w:rsidRPr="007A7B04">
              <w:t>37.49%</w:t>
            </w:r>
          </w:p>
        </w:tc>
      </w:tr>
      <w:tr w:rsidR="00DA53D1" w:rsidRPr="007A7B04" w14:paraId="2FC38DA1" w14:textId="77777777" w:rsidTr="00DA53D1">
        <w:tc>
          <w:tcPr>
            <w:tcW w:w="3116" w:type="dxa"/>
          </w:tcPr>
          <w:p w14:paraId="1419B1BA" w14:textId="3255FEAA" w:rsidR="00DA53D1" w:rsidRPr="007A7B04" w:rsidRDefault="00DA53D1" w:rsidP="00DA53D1">
            <w:pPr>
              <w:pStyle w:val="ListParagraph"/>
              <w:ind w:left="0"/>
            </w:pPr>
            <w:r w:rsidRPr="007A7B04">
              <w:t>School B</w:t>
            </w:r>
          </w:p>
        </w:tc>
        <w:tc>
          <w:tcPr>
            <w:tcW w:w="3117" w:type="dxa"/>
          </w:tcPr>
          <w:p w14:paraId="38C3E49E" w14:textId="0626769C" w:rsidR="00DA53D1" w:rsidRPr="007A7B04" w:rsidRDefault="000A025C" w:rsidP="00DA53D1">
            <w:pPr>
              <w:pStyle w:val="ListParagraph"/>
              <w:ind w:left="0"/>
            </w:pPr>
            <w:r w:rsidRPr="007A7B04">
              <w:t>58.67%</w:t>
            </w:r>
          </w:p>
        </w:tc>
        <w:tc>
          <w:tcPr>
            <w:tcW w:w="3117" w:type="dxa"/>
          </w:tcPr>
          <w:p w14:paraId="4E265624" w14:textId="665AEEFE" w:rsidR="00DA53D1" w:rsidRPr="007A7B04" w:rsidRDefault="000A025C" w:rsidP="00DA53D1">
            <w:pPr>
              <w:pStyle w:val="ListParagraph"/>
              <w:ind w:left="0"/>
            </w:pPr>
            <w:r w:rsidRPr="007A7B04">
              <w:t>93.87%</w:t>
            </w:r>
          </w:p>
        </w:tc>
      </w:tr>
      <w:tr w:rsidR="00DA53D1" w:rsidRPr="007A7B04" w14:paraId="272B72D8" w14:textId="77777777" w:rsidTr="00DA53D1">
        <w:tc>
          <w:tcPr>
            <w:tcW w:w="3116" w:type="dxa"/>
          </w:tcPr>
          <w:p w14:paraId="7C1D1833" w14:textId="260EFAE1" w:rsidR="00DA53D1" w:rsidRPr="007A7B04" w:rsidRDefault="00DA53D1" w:rsidP="00DA53D1">
            <w:pPr>
              <w:pStyle w:val="ListParagraph"/>
              <w:ind w:left="0"/>
            </w:pPr>
            <w:r w:rsidRPr="007A7B04">
              <w:t>School C</w:t>
            </w:r>
          </w:p>
        </w:tc>
        <w:tc>
          <w:tcPr>
            <w:tcW w:w="3117" w:type="dxa"/>
          </w:tcPr>
          <w:p w14:paraId="03365E02" w14:textId="550CDB30" w:rsidR="00DA53D1" w:rsidRPr="007A7B04" w:rsidRDefault="000A025C" w:rsidP="00DA53D1">
            <w:pPr>
              <w:pStyle w:val="ListParagraph"/>
              <w:ind w:left="0"/>
            </w:pPr>
            <w:r w:rsidRPr="007A7B04">
              <w:t>48.12%</w:t>
            </w:r>
          </w:p>
        </w:tc>
        <w:tc>
          <w:tcPr>
            <w:tcW w:w="3117" w:type="dxa"/>
          </w:tcPr>
          <w:p w14:paraId="57C12168" w14:textId="2EBFE436" w:rsidR="00DA53D1" w:rsidRPr="007A7B04" w:rsidRDefault="000A025C" w:rsidP="00DA53D1">
            <w:pPr>
              <w:pStyle w:val="ListParagraph"/>
              <w:ind w:left="0"/>
            </w:pPr>
            <w:r w:rsidRPr="007A7B04">
              <w:t>76.99%</w:t>
            </w:r>
          </w:p>
        </w:tc>
      </w:tr>
      <w:tr w:rsidR="00DA53D1" w:rsidRPr="007A7B04" w14:paraId="7985F761" w14:textId="77777777" w:rsidTr="00DA53D1">
        <w:tc>
          <w:tcPr>
            <w:tcW w:w="3116" w:type="dxa"/>
          </w:tcPr>
          <w:p w14:paraId="48E18DB4" w14:textId="57FF3D28" w:rsidR="00DA53D1" w:rsidRPr="007A7B04" w:rsidRDefault="00DA53D1" w:rsidP="00DA53D1">
            <w:pPr>
              <w:pStyle w:val="ListParagraph"/>
              <w:ind w:left="0"/>
            </w:pPr>
            <w:r w:rsidRPr="007A7B04">
              <w:t>School D</w:t>
            </w:r>
          </w:p>
        </w:tc>
        <w:tc>
          <w:tcPr>
            <w:tcW w:w="3117" w:type="dxa"/>
          </w:tcPr>
          <w:p w14:paraId="100605F0" w14:textId="051A20B7" w:rsidR="00DA53D1" w:rsidRPr="007A7B04" w:rsidRDefault="000A025C" w:rsidP="00DA53D1">
            <w:pPr>
              <w:pStyle w:val="ListParagraph"/>
              <w:ind w:left="0"/>
            </w:pPr>
            <w:r w:rsidRPr="007A7B04">
              <w:t>87.23%</w:t>
            </w:r>
          </w:p>
        </w:tc>
        <w:tc>
          <w:tcPr>
            <w:tcW w:w="3117" w:type="dxa"/>
          </w:tcPr>
          <w:p w14:paraId="521E8FF8" w14:textId="4A029A8C" w:rsidR="00DA53D1" w:rsidRPr="007A7B04" w:rsidRDefault="000A025C" w:rsidP="00DA53D1">
            <w:pPr>
              <w:pStyle w:val="ListParagraph"/>
              <w:ind w:left="0"/>
            </w:pPr>
            <w:r w:rsidRPr="007A7B04">
              <w:t>139.56%</w:t>
            </w:r>
          </w:p>
        </w:tc>
      </w:tr>
    </w:tbl>
    <w:p w14:paraId="4AA58B48" w14:textId="77777777" w:rsidR="000A025C" w:rsidRPr="007A7B04" w:rsidRDefault="000A025C" w:rsidP="00DA53D1">
      <w:pPr>
        <w:pStyle w:val="ListParagraph"/>
      </w:pPr>
    </w:p>
    <w:p w14:paraId="2639C409" w14:textId="3CD7D0AB" w:rsidR="004D5506" w:rsidRPr="007A7B04" w:rsidRDefault="004D5506" w:rsidP="00DA53D1">
      <w:pPr>
        <w:pStyle w:val="ListParagraph"/>
      </w:pPr>
      <w:r w:rsidRPr="007A7B04">
        <w:t>Option 1: 1 Group (All schools) = 86.98% Free Rate</w:t>
      </w:r>
    </w:p>
    <w:p w14:paraId="183F03D4" w14:textId="7635DE02" w:rsidR="004D5506" w:rsidRPr="007A7B04" w:rsidRDefault="004D5506" w:rsidP="00DA53D1">
      <w:pPr>
        <w:pStyle w:val="ListParagraph"/>
      </w:pPr>
      <w:r w:rsidRPr="007A7B04">
        <w:t>Option 2: 2 Groups (Schools B, C, &amp; D) =100% Free Rate &amp; (School A) =37.49%</w:t>
      </w:r>
    </w:p>
    <w:p w14:paraId="247DF637" w14:textId="77777777" w:rsidR="004D5506" w:rsidRPr="007A7B04" w:rsidRDefault="004D5506" w:rsidP="00DA53D1">
      <w:pPr>
        <w:pStyle w:val="ListParagraph"/>
      </w:pPr>
      <w:r w:rsidRPr="007A7B04">
        <w:t>Option 3</w:t>
      </w:r>
      <w:proofErr w:type="gramStart"/>
      <w:r w:rsidRPr="007A7B04">
        <w:t>:  2</w:t>
      </w:r>
      <w:proofErr w:type="gramEnd"/>
      <w:r w:rsidRPr="007A7B04">
        <w:t xml:space="preserve"> Groups (Schools A &amp; D) = 88.52% &amp; (Schools B &amp; C) =85.43%</w:t>
      </w:r>
    </w:p>
    <w:p w14:paraId="2E4F6FF0" w14:textId="1DC59DA7" w:rsidR="004D5506" w:rsidRPr="007A7B04" w:rsidRDefault="004D5506" w:rsidP="004D5506">
      <w:r w:rsidRPr="007A7B04">
        <w:rPr>
          <w:b/>
          <w:bCs/>
        </w:rPr>
        <w:t>Source Documentation:</w:t>
      </w:r>
      <w:r w:rsidRPr="007A7B04">
        <w:t xml:space="preserve"> USDA requires State Agencies to ensure the accuracy of SFAs Identified Student Percentages (ISP) and that the SFA </w:t>
      </w:r>
      <w:proofErr w:type="gramStart"/>
      <w:r w:rsidR="00341966" w:rsidRPr="007A7B04">
        <w:t>meet</w:t>
      </w:r>
      <w:proofErr w:type="gramEnd"/>
      <w:r w:rsidRPr="007A7B04">
        <w:t xml:space="preserve"> all participation requirements. The following information must be on file </w:t>
      </w:r>
      <w:r w:rsidR="00A543AC" w:rsidRPr="007A7B04">
        <w:t xml:space="preserve">while operating under CEP and </w:t>
      </w:r>
      <w:r w:rsidR="008635B5" w:rsidRPr="007A7B04">
        <w:t>for</w:t>
      </w:r>
      <w:r w:rsidRPr="007A7B04">
        <w:t xml:space="preserve"> three (3) years after the </w:t>
      </w:r>
      <w:r w:rsidR="008635B5" w:rsidRPr="007A7B04">
        <w:t>submission of the final</w:t>
      </w:r>
      <w:r w:rsidRPr="007A7B04">
        <w:t xml:space="preserve"> claim for reimbursement</w:t>
      </w:r>
      <w:r w:rsidR="00D005D3" w:rsidRPr="007A7B04">
        <w:t xml:space="preserve"> for the last fiscal year of CEP.</w:t>
      </w:r>
    </w:p>
    <w:p w14:paraId="2C16BF4E" w14:textId="77777777" w:rsidR="004D5506" w:rsidRPr="007A7B04" w:rsidRDefault="004D5506" w:rsidP="004D5506">
      <w:pPr>
        <w:pStyle w:val="ListParagraph"/>
        <w:numPr>
          <w:ilvl w:val="0"/>
          <w:numId w:val="2"/>
        </w:numPr>
      </w:pPr>
      <w:r w:rsidRPr="007A7B04">
        <w:t>Direct Certification list from SNTS</w:t>
      </w:r>
    </w:p>
    <w:p w14:paraId="513B6A31" w14:textId="0B398B74" w:rsidR="00C471FB" w:rsidRPr="007A7B04" w:rsidRDefault="00C61282" w:rsidP="00F5432D">
      <w:pPr>
        <w:pStyle w:val="ListParagraph"/>
        <w:numPr>
          <w:ilvl w:val="1"/>
          <w:numId w:val="2"/>
        </w:numPr>
        <w:spacing w:before="100" w:after="200" w:line="276" w:lineRule="auto"/>
        <w:rPr>
          <w:i/>
          <w:iCs/>
          <w:sz w:val="20"/>
          <w:szCs w:val="20"/>
        </w:rPr>
      </w:pPr>
      <w:r w:rsidRPr="007A7B04">
        <w:rPr>
          <w:i/>
          <w:iCs/>
          <w:sz w:val="20"/>
          <w:szCs w:val="20"/>
        </w:rPr>
        <w:t xml:space="preserve">The DC list from SNTS </w:t>
      </w:r>
      <w:r w:rsidR="0032251C" w:rsidRPr="007A7B04">
        <w:rPr>
          <w:i/>
          <w:iCs/>
          <w:sz w:val="20"/>
          <w:szCs w:val="20"/>
        </w:rPr>
        <w:t>may have</w:t>
      </w:r>
      <w:r w:rsidR="00976CCB" w:rsidRPr="007A7B04">
        <w:rPr>
          <w:i/>
          <w:iCs/>
          <w:sz w:val="20"/>
          <w:szCs w:val="20"/>
        </w:rPr>
        <w:t xml:space="preserve"> more DC</w:t>
      </w:r>
      <w:r w:rsidRPr="007A7B04">
        <w:rPr>
          <w:i/>
          <w:iCs/>
          <w:sz w:val="20"/>
          <w:szCs w:val="20"/>
        </w:rPr>
        <w:t xml:space="preserve"> students than are enrolled.  These additional students were once in </w:t>
      </w:r>
      <w:r w:rsidR="00732B1A" w:rsidRPr="007A7B04">
        <w:rPr>
          <w:i/>
          <w:iCs/>
          <w:sz w:val="20"/>
          <w:szCs w:val="20"/>
        </w:rPr>
        <w:t xml:space="preserve">the </w:t>
      </w:r>
      <w:r w:rsidR="00646CAA" w:rsidRPr="007A7B04">
        <w:rPr>
          <w:i/>
          <w:iCs/>
          <w:sz w:val="20"/>
          <w:szCs w:val="20"/>
        </w:rPr>
        <w:t>school</w:t>
      </w:r>
      <w:r w:rsidRPr="007A7B04">
        <w:rPr>
          <w:i/>
          <w:iCs/>
          <w:sz w:val="20"/>
          <w:szCs w:val="20"/>
        </w:rPr>
        <w:t xml:space="preserve">; however, they have been unenrolled from the </w:t>
      </w:r>
      <w:r w:rsidR="009114CE" w:rsidRPr="007A7B04">
        <w:rPr>
          <w:i/>
          <w:iCs/>
          <w:sz w:val="20"/>
          <w:szCs w:val="20"/>
        </w:rPr>
        <w:t>school</w:t>
      </w:r>
      <w:r w:rsidRPr="007A7B04">
        <w:rPr>
          <w:i/>
          <w:iCs/>
          <w:sz w:val="20"/>
          <w:szCs w:val="20"/>
        </w:rPr>
        <w:t xml:space="preserve"> </w:t>
      </w:r>
      <w:r w:rsidR="00646CAA" w:rsidRPr="007A7B04">
        <w:rPr>
          <w:i/>
          <w:iCs/>
          <w:sz w:val="20"/>
          <w:szCs w:val="20"/>
        </w:rPr>
        <w:t>as of April 1st</w:t>
      </w:r>
      <w:r w:rsidRPr="007A7B04">
        <w:rPr>
          <w:i/>
          <w:iCs/>
          <w:sz w:val="20"/>
          <w:szCs w:val="20"/>
        </w:rPr>
        <w:t xml:space="preserve">.  </w:t>
      </w:r>
      <w:r w:rsidR="00646CAA" w:rsidRPr="007A7B04">
        <w:rPr>
          <w:i/>
          <w:iCs/>
          <w:sz w:val="20"/>
          <w:szCs w:val="20"/>
        </w:rPr>
        <w:t>These students</w:t>
      </w:r>
      <w:r w:rsidRPr="007A7B04">
        <w:rPr>
          <w:i/>
          <w:iCs/>
          <w:sz w:val="20"/>
          <w:szCs w:val="20"/>
        </w:rPr>
        <w:t xml:space="preserve"> are “sitting” in </w:t>
      </w:r>
      <w:r w:rsidR="009114CE" w:rsidRPr="007A7B04">
        <w:rPr>
          <w:i/>
          <w:iCs/>
          <w:sz w:val="20"/>
          <w:szCs w:val="20"/>
        </w:rPr>
        <w:t>the</w:t>
      </w:r>
      <w:r w:rsidRPr="007A7B04">
        <w:rPr>
          <w:i/>
          <w:iCs/>
          <w:sz w:val="20"/>
          <w:szCs w:val="20"/>
        </w:rPr>
        <w:t xml:space="preserve"> DC list</w:t>
      </w:r>
      <w:r w:rsidR="000F31FA" w:rsidRPr="007A7B04">
        <w:rPr>
          <w:i/>
          <w:iCs/>
          <w:sz w:val="20"/>
          <w:szCs w:val="20"/>
        </w:rPr>
        <w:t xml:space="preserve"> and cannot be counted in the SFAs ISP as they </w:t>
      </w:r>
      <w:r w:rsidR="009114CE" w:rsidRPr="007A7B04">
        <w:rPr>
          <w:i/>
          <w:iCs/>
          <w:sz w:val="20"/>
          <w:szCs w:val="20"/>
        </w:rPr>
        <w:t>are</w:t>
      </w:r>
      <w:r w:rsidR="000F31FA" w:rsidRPr="007A7B04">
        <w:rPr>
          <w:i/>
          <w:iCs/>
          <w:sz w:val="20"/>
          <w:szCs w:val="20"/>
        </w:rPr>
        <w:t xml:space="preserve"> no</w:t>
      </w:r>
      <w:r w:rsidR="00F5432D" w:rsidRPr="007A7B04">
        <w:rPr>
          <w:i/>
          <w:iCs/>
          <w:sz w:val="20"/>
          <w:szCs w:val="20"/>
        </w:rPr>
        <w:t xml:space="preserve"> longer</w:t>
      </w:r>
      <w:r w:rsidR="000F31FA" w:rsidRPr="007A7B04">
        <w:rPr>
          <w:i/>
          <w:iCs/>
          <w:sz w:val="20"/>
          <w:szCs w:val="20"/>
        </w:rPr>
        <w:t xml:space="preserve"> enrolled as </w:t>
      </w:r>
      <w:r w:rsidR="00F5432D" w:rsidRPr="007A7B04">
        <w:rPr>
          <w:i/>
          <w:iCs/>
          <w:sz w:val="20"/>
          <w:szCs w:val="20"/>
        </w:rPr>
        <w:t>of April 1</w:t>
      </w:r>
      <w:r w:rsidR="00F5432D" w:rsidRPr="007A7B04">
        <w:rPr>
          <w:i/>
          <w:iCs/>
          <w:sz w:val="20"/>
          <w:szCs w:val="20"/>
          <w:vertAlign w:val="superscript"/>
        </w:rPr>
        <w:t>st</w:t>
      </w:r>
      <w:r w:rsidR="00F5432D" w:rsidRPr="007A7B04">
        <w:rPr>
          <w:i/>
          <w:iCs/>
          <w:sz w:val="20"/>
          <w:szCs w:val="20"/>
        </w:rPr>
        <w:t xml:space="preserve">. </w:t>
      </w:r>
      <w:r w:rsidRPr="007A7B04">
        <w:rPr>
          <w:i/>
          <w:iCs/>
          <w:sz w:val="20"/>
          <w:szCs w:val="20"/>
        </w:rPr>
        <w:t xml:space="preserve">These students will remain in </w:t>
      </w:r>
      <w:r w:rsidR="0028207E" w:rsidRPr="007A7B04">
        <w:rPr>
          <w:i/>
          <w:iCs/>
          <w:sz w:val="20"/>
          <w:szCs w:val="20"/>
        </w:rPr>
        <w:t>the</w:t>
      </w:r>
      <w:r w:rsidRPr="007A7B04">
        <w:rPr>
          <w:i/>
          <w:iCs/>
          <w:sz w:val="20"/>
          <w:szCs w:val="20"/>
        </w:rPr>
        <w:t xml:space="preserve"> DC list until they have been associated with another SFA.  </w:t>
      </w:r>
    </w:p>
    <w:p w14:paraId="2D89FDFE" w14:textId="01A1032B" w:rsidR="007B2175" w:rsidRPr="007A7B04" w:rsidRDefault="004D5506" w:rsidP="007B2175">
      <w:pPr>
        <w:pStyle w:val="ListParagraph"/>
        <w:numPr>
          <w:ilvl w:val="0"/>
          <w:numId w:val="2"/>
        </w:numPr>
      </w:pPr>
      <w:r w:rsidRPr="007A7B04">
        <w:t>Extended Benefits Spreadsheet</w:t>
      </w:r>
      <w:r w:rsidR="007B2175" w:rsidRPr="007A7B04">
        <w:t xml:space="preserve"> with documentation that </w:t>
      </w:r>
      <w:proofErr w:type="gramStart"/>
      <w:r w:rsidR="007B2175" w:rsidRPr="007A7B04">
        <w:t>student</w:t>
      </w:r>
      <w:proofErr w:type="gramEnd"/>
      <w:r w:rsidR="007B2175" w:rsidRPr="007A7B04">
        <w:t>(s) are members of a household where another student receives SNAP, TANF, or FDPIR (Addresses must match), date when benefits were extended, name of student from where benefits were extended, and name of student and school receiving extending benefits.</w:t>
      </w:r>
    </w:p>
    <w:p w14:paraId="7C29428A" w14:textId="3A4E3A16" w:rsidR="004D5506" w:rsidRPr="007A7B04" w:rsidRDefault="004D5506" w:rsidP="004D5506">
      <w:pPr>
        <w:pStyle w:val="ListParagraph"/>
        <w:numPr>
          <w:ilvl w:val="0"/>
          <w:numId w:val="2"/>
        </w:numPr>
      </w:pPr>
      <w:r w:rsidRPr="007A7B04">
        <w:t xml:space="preserve">Migrant, </w:t>
      </w:r>
      <w:r w:rsidR="00D005D3" w:rsidRPr="007A7B04">
        <w:t>Homeless, &amp;</w:t>
      </w:r>
      <w:r w:rsidR="007B2175" w:rsidRPr="007A7B04">
        <w:t xml:space="preserve"> </w:t>
      </w:r>
      <w:r w:rsidRPr="007A7B04">
        <w:t xml:space="preserve">Runaway with documentation from </w:t>
      </w:r>
      <w:r w:rsidR="007B2175" w:rsidRPr="007A7B04">
        <w:t xml:space="preserve">Local Education Agency (LEA) </w:t>
      </w:r>
      <w:r w:rsidRPr="007A7B04">
        <w:t>liaison</w:t>
      </w:r>
      <w:r w:rsidR="007B2175" w:rsidRPr="007A7B04">
        <w:t xml:space="preserve"> </w:t>
      </w:r>
      <w:r w:rsidR="0089321D" w:rsidRPr="007A7B04">
        <w:t xml:space="preserve">or </w:t>
      </w:r>
      <w:r w:rsidR="003F24C2" w:rsidRPr="007A7B04">
        <w:t xml:space="preserve">designated official </w:t>
      </w:r>
      <w:r w:rsidR="007B2175" w:rsidRPr="007A7B04">
        <w:t>verifying student(s) name and effective dates.</w:t>
      </w:r>
    </w:p>
    <w:p w14:paraId="08F21261" w14:textId="2067BADF" w:rsidR="007B2175" w:rsidRPr="007A7B04" w:rsidRDefault="007B2175" w:rsidP="004D5506">
      <w:pPr>
        <w:pStyle w:val="ListParagraph"/>
        <w:numPr>
          <w:ilvl w:val="0"/>
          <w:numId w:val="2"/>
        </w:numPr>
      </w:pPr>
      <w:r w:rsidRPr="007A7B04">
        <w:lastRenderedPageBreak/>
        <w:t>Foster documentation that must include a letter, document, or list of students from the State or local welfare agency or court confirming the student’s status as a foster child. (</w:t>
      </w:r>
      <w:r w:rsidRPr="007A7B04">
        <w:rPr>
          <w:b/>
          <w:bCs/>
        </w:rPr>
        <w:t>Household application stating foster would NOT qualify as documentation</w:t>
      </w:r>
      <w:r w:rsidRPr="007A7B04">
        <w:t>)</w:t>
      </w:r>
    </w:p>
    <w:p w14:paraId="764A7272" w14:textId="71E9C72A" w:rsidR="004D5506" w:rsidRPr="007A7B04" w:rsidRDefault="006809FC" w:rsidP="004D5506">
      <w:pPr>
        <w:pStyle w:val="ListParagraph"/>
        <w:numPr>
          <w:ilvl w:val="0"/>
          <w:numId w:val="2"/>
        </w:numPr>
      </w:pPr>
      <w:r w:rsidRPr="007A7B04">
        <w:t>Head Start</w:t>
      </w:r>
      <w:r w:rsidR="004D5506" w:rsidRPr="007A7B04">
        <w:t xml:space="preserve"> Enrollment</w:t>
      </w:r>
    </w:p>
    <w:p w14:paraId="5C2977AD" w14:textId="13A2B3CC" w:rsidR="00FB19DB" w:rsidRPr="007A7B04" w:rsidRDefault="004C0A75" w:rsidP="004D5506">
      <w:pPr>
        <w:pStyle w:val="ListParagraph"/>
        <w:numPr>
          <w:ilvl w:val="0"/>
          <w:numId w:val="2"/>
        </w:numPr>
      </w:pPr>
      <w:r w:rsidRPr="007A7B04">
        <w:t>Non-applicant</w:t>
      </w:r>
    </w:p>
    <w:p w14:paraId="75E8AE5E" w14:textId="77777777" w:rsidR="007B2175" w:rsidRPr="007A7B04" w:rsidRDefault="004D5506" w:rsidP="004D5506">
      <w:pPr>
        <w:pStyle w:val="ListParagraph"/>
        <w:numPr>
          <w:ilvl w:val="0"/>
          <w:numId w:val="2"/>
        </w:numPr>
      </w:pPr>
      <w:r w:rsidRPr="007A7B04">
        <w:t>Student Information System enrollment for each site of date of pull</w:t>
      </w:r>
    </w:p>
    <w:p w14:paraId="554A0ED6" w14:textId="20EFFB95" w:rsidR="00C23087" w:rsidRPr="007A7B04" w:rsidRDefault="007B2175" w:rsidP="004D5506">
      <w:pPr>
        <w:pStyle w:val="ListParagraph"/>
        <w:numPr>
          <w:ilvl w:val="0"/>
          <w:numId w:val="2"/>
        </w:numPr>
      </w:pPr>
      <w:r w:rsidRPr="007A7B04">
        <w:t xml:space="preserve">School Nutrition Software report </w:t>
      </w:r>
      <w:r w:rsidR="0058327F" w:rsidRPr="007A7B04">
        <w:tab/>
      </w:r>
    </w:p>
    <w:p w14:paraId="3F115FB0" w14:textId="77777777" w:rsidR="003B60DB" w:rsidRPr="00A0377F" w:rsidRDefault="003B60DB" w:rsidP="00C23087"/>
    <w:p w14:paraId="022970D1" w14:textId="0AD9ABAA" w:rsidR="003610A3" w:rsidRDefault="003610A3" w:rsidP="003610A3">
      <w:pPr>
        <w:ind w:left="720"/>
        <w:jc w:val="right"/>
      </w:pPr>
    </w:p>
    <w:p w14:paraId="44373FBB" w14:textId="51BDC760" w:rsidR="007B2175" w:rsidRPr="007B2175" w:rsidRDefault="007B2175" w:rsidP="007B2175">
      <w:pPr>
        <w:jc w:val="right"/>
        <w:rPr>
          <w:i/>
          <w:iCs/>
          <w:sz w:val="16"/>
          <w:szCs w:val="16"/>
        </w:rPr>
      </w:pPr>
    </w:p>
    <w:sectPr w:rsidR="007B2175" w:rsidRPr="007B2175" w:rsidSect="00771D3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C5604" w14:textId="77777777" w:rsidR="004B3E0E" w:rsidRDefault="004B3E0E" w:rsidP="00C23087">
      <w:pPr>
        <w:spacing w:after="0" w:line="240" w:lineRule="auto"/>
      </w:pPr>
      <w:r>
        <w:separator/>
      </w:r>
    </w:p>
  </w:endnote>
  <w:endnote w:type="continuationSeparator" w:id="0">
    <w:p w14:paraId="333DD947" w14:textId="77777777" w:rsidR="004B3E0E" w:rsidRDefault="004B3E0E" w:rsidP="00C23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0C320" w14:textId="77777777" w:rsidR="002A267E" w:rsidRDefault="002A26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E81B8" w14:textId="6985BD1C" w:rsidR="007A7B04" w:rsidRPr="007A7B04" w:rsidRDefault="0097529B" w:rsidP="007A7B04">
    <w:pPr>
      <w:pStyle w:val="Footer"/>
      <w:jc w:val="right"/>
      <w:rPr>
        <w:i/>
        <w:iCs/>
        <w:sz w:val="16"/>
        <w:szCs w:val="16"/>
      </w:rPr>
    </w:pPr>
    <w:r>
      <w:rPr>
        <w:i/>
        <w:iCs/>
        <w:sz w:val="16"/>
        <w:szCs w:val="16"/>
      </w:rPr>
      <w:t>March</w:t>
    </w:r>
    <w:r w:rsidR="007A7B04" w:rsidRPr="007A7B04">
      <w:rPr>
        <w:i/>
        <w:iCs/>
        <w:sz w:val="16"/>
        <w:szCs w:val="16"/>
      </w:rPr>
      <w:t xml:space="preserve"> 2025</w:t>
    </w:r>
  </w:p>
  <w:p w14:paraId="00D8F474" w14:textId="77777777" w:rsidR="007A7B04" w:rsidRDefault="007A7B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B6FA" w14:textId="77777777" w:rsidR="002A267E" w:rsidRDefault="002A2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3DFF9" w14:textId="77777777" w:rsidR="004B3E0E" w:rsidRDefault="004B3E0E" w:rsidP="00C23087">
      <w:pPr>
        <w:spacing w:after="0" w:line="240" w:lineRule="auto"/>
      </w:pPr>
      <w:r>
        <w:separator/>
      </w:r>
    </w:p>
  </w:footnote>
  <w:footnote w:type="continuationSeparator" w:id="0">
    <w:p w14:paraId="130378C4" w14:textId="77777777" w:rsidR="004B3E0E" w:rsidRDefault="004B3E0E" w:rsidP="00C23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F73E6" w14:textId="77777777" w:rsidR="002A267E" w:rsidRDefault="002A26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87E45" w14:textId="063514B0" w:rsidR="002A267E" w:rsidRDefault="002A267E" w:rsidP="00C23087">
    <w:pPr>
      <w:pStyle w:val="Header"/>
      <w:jc w:val="center"/>
      <w:rPr>
        <w:b/>
        <w:bCs/>
      </w:rPr>
    </w:pPr>
    <w:r>
      <w:rPr>
        <w:b/>
        <w:bCs/>
      </w:rPr>
      <w:t>Small Bites</w:t>
    </w:r>
  </w:p>
  <w:p w14:paraId="476D6699" w14:textId="69AFDC6F" w:rsidR="00C23087" w:rsidRDefault="00C23087" w:rsidP="00C23087">
    <w:pPr>
      <w:pStyle w:val="Header"/>
      <w:jc w:val="center"/>
      <w:rPr>
        <w:b/>
        <w:bCs/>
      </w:rPr>
    </w:pPr>
    <w:r w:rsidRPr="00C23087">
      <w:rPr>
        <w:b/>
        <w:bCs/>
      </w:rPr>
      <w:t>Community Eligibility Provision (CEP)</w:t>
    </w:r>
    <w:r w:rsidR="002A267E">
      <w:rPr>
        <w:b/>
        <w:bCs/>
      </w:rPr>
      <w:t xml:space="preserve"> Overview</w:t>
    </w:r>
  </w:p>
  <w:p w14:paraId="44732C19" w14:textId="5AB8A196" w:rsidR="00C23087" w:rsidRDefault="00C230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A79E4" w14:textId="77777777" w:rsidR="002A267E" w:rsidRDefault="002A26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B566D"/>
    <w:multiLevelType w:val="hybridMultilevel"/>
    <w:tmpl w:val="A2263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A4192D"/>
    <w:multiLevelType w:val="hybridMultilevel"/>
    <w:tmpl w:val="F6BAEC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013E5F"/>
    <w:multiLevelType w:val="hybridMultilevel"/>
    <w:tmpl w:val="FF9C90D0"/>
    <w:lvl w:ilvl="0" w:tplc="7650495E">
      <w:start w:val="87"/>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8914948">
    <w:abstractNumId w:val="0"/>
  </w:num>
  <w:num w:numId="2" w16cid:durableId="416756186">
    <w:abstractNumId w:val="2"/>
  </w:num>
  <w:num w:numId="3" w16cid:durableId="467867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7FA"/>
    <w:rsid w:val="0000568F"/>
    <w:rsid w:val="000103CE"/>
    <w:rsid w:val="000378F0"/>
    <w:rsid w:val="000459F0"/>
    <w:rsid w:val="00057CEA"/>
    <w:rsid w:val="000A025C"/>
    <w:rsid w:val="000F31FA"/>
    <w:rsid w:val="00105BD5"/>
    <w:rsid w:val="0011590D"/>
    <w:rsid w:val="00130603"/>
    <w:rsid w:val="00193EFE"/>
    <w:rsid w:val="001B1B24"/>
    <w:rsid w:val="00205EC5"/>
    <w:rsid w:val="002209B9"/>
    <w:rsid w:val="002309B7"/>
    <w:rsid w:val="00260DCE"/>
    <w:rsid w:val="0028207E"/>
    <w:rsid w:val="002A267E"/>
    <w:rsid w:val="002A4F6F"/>
    <w:rsid w:val="0032251C"/>
    <w:rsid w:val="00336C47"/>
    <w:rsid w:val="00341966"/>
    <w:rsid w:val="003503D2"/>
    <w:rsid w:val="003610A3"/>
    <w:rsid w:val="00376417"/>
    <w:rsid w:val="003B60DB"/>
    <w:rsid w:val="003C54C2"/>
    <w:rsid w:val="003C6429"/>
    <w:rsid w:val="003D1E95"/>
    <w:rsid w:val="003D74AC"/>
    <w:rsid w:val="003E4987"/>
    <w:rsid w:val="003F24C2"/>
    <w:rsid w:val="003F4015"/>
    <w:rsid w:val="00404FE2"/>
    <w:rsid w:val="00430D66"/>
    <w:rsid w:val="0048541B"/>
    <w:rsid w:val="004939EE"/>
    <w:rsid w:val="004B3E0E"/>
    <w:rsid w:val="004B463C"/>
    <w:rsid w:val="004C0A75"/>
    <w:rsid w:val="004C3C50"/>
    <w:rsid w:val="004D5506"/>
    <w:rsid w:val="00502F60"/>
    <w:rsid w:val="00541DEE"/>
    <w:rsid w:val="0056602B"/>
    <w:rsid w:val="0058327F"/>
    <w:rsid w:val="005A7A12"/>
    <w:rsid w:val="005C2240"/>
    <w:rsid w:val="00604658"/>
    <w:rsid w:val="00646CAA"/>
    <w:rsid w:val="006526F2"/>
    <w:rsid w:val="00657A73"/>
    <w:rsid w:val="006809FC"/>
    <w:rsid w:val="00691932"/>
    <w:rsid w:val="006937A7"/>
    <w:rsid w:val="006B27FA"/>
    <w:rsid w:val="006E6CB8"/>
    <w:rsid w:val="006F303C"/>
    <w:rsid w:val="006F55AE"/>
    <w:rsid w:val="00732B1A"/>
    <w:rsid w:val="00746539"/>
    <w:rsid w:val="00771D30"/>
    <w:rsid w:val="007A7B04"/>
    <w:rsid w:val="007B2175"/>
    <w:rsid w:val="008635B5"/>
    <w:rsid w:val="008869FA"/>
    <w:rsid w:val="0089321D"/>
    <w:rsid w:val="008C3FF4"/>
    <w:rsid w:val="008E3195"/>
    <w:rsid w:val="008E4EFC"/>
    <w:rsid w:val="009101AE"/>
    <w:rsid w:val="009114CE"/>
    <w:rsid w:val="0093366C"/>
    <w:rsid w:val="0097529B"/>
    <w:rsid w:val="009755F9"/>
    <w:rsid w:val="00976CCB"/>
    <w:rsid w:val="009937C2"/>
    <w:rsid w:val="009C5C2C"/>
    <w:rsid w:val="009E366A"/>
    <w:rsid w:val="009F2C1D"/>
    <w:rsid w:val="00A0377F"/>
    <w:rsid w:val="00A07D53"/>
    <w:rsid w:val="00A20A90"/>
    <w:rsid w:val="00A2329F"/>
    <w:rsid w:val="00A4551B"/>
    <w:rsid w:val="00A543AC"/>
    <w:rsid w:val="00A81DE1"/>
    <w:rsid w:val="00AB2C89"/>
    <w:rsid w:val="00AB33B1"/>
    <w:rsid w:val="00AB68FE"/>
    <w:rsid w:val="00AC2255"/>
    <w:rsid w:val="00AD49CD"/>
    <w:rsid w:val="00AE4992"/>
    <w:rsid w:val="00B07FEF"/>
    <w:rsid w:val="00B34C97"/>
    <w:rsid w:val="00B53995"/>
    <w:rsid w:val="00B54409"/>
    <w:rsid w:val="00B65CDB"/>
    <w:rsid w:val="00B94A88"/>
    <w:rsid w:val="00BC1B15"/>
    <w:rsid w:val="00BC38E0"/>
    <w:rsid w:val="00C0065C"/>
    <w:rsid w:val="00C11034"/>
    <w:rsid w:val="00C23087"/>
    <w:rsid w:val="00C40250"/>
    <w:rsid w:val="00C46DEE"/>
    <w:rsid w:val="00C471FB"/>
    <w:rsid w:val="00C61282"/>
    <w:rsid w:val="00C6640A"/>
    <w:rsid w:val="00C81F3B"/>
    <w:rsid w:val="00CA1FF4"/>
    <w:rsid w:val="00D005D3"/>
    <w:rsid w:val="00D73B45"/>
    <w:rsid w:val="00D75022"/>
    <w:rsid w:val="00DA53D1"/>
    <w:rsid w:val="00DB64E3"/>
    <w:rsid w:val="00DC2C70"/>
    <w:rsid w:val="00DD5EEF"/>
    <w:rsid w:val="00DE0FD2"/>
    <w:rsid w:val="00E41E31"/>
    <w:rsid w:val="00E441A4"/>
    <w:rsid w:val="00E6353C"/>
    <w:rsid w:val="00EA5FAF"/>
    <w:rsid w:val="00EE0D1A"/>
    <w:rsid w:val="00EE41CC"/>
    <w:rsid w:val="00EE7AC3"/>
    <w:rsid w:val="00F11479"/>
    <w:rsid w:val="00F153CA"/>
    <w:rsid w:val="00F157B6"/>
    <w:rsid w:val="00F17DC3"/>
    <w:rsid w:val="00F44085"/>
    <w:rsid w:val="00F52480"/>
    <w:rsid w:val="00F5432D"/>
    <w:rsid w:val="00F8456C"/>
    <w:rsid w:val="00FB19DB"/>
    <w:rsid w:val="00FC05AD"/>
    <w:rsid w:val="00FC7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5E775"/>
  <w15:chartTrackingRefBased/>
  <w15:docId w15:val="{F511147A-8258-4D96-8440-E715DBEB7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27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27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27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27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27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27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27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27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27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7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27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27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27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27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27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27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27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27FA"/>
    <w:rPr>
      <w:rFonts w:eastAsiaTheme="majorEastAsia" w:cstheme="majorBidi"/>
      <w:color w:val="272727" w:themeColor="text1" w:themeTint="D8"/>
    </w:rPr>
  </w:style>
  <w:style w:type="paragraph" w:styleId="Title">
    <w:name w:val="Title"/>
    <w:basedOn w:val="Normal"/>
    <w:next w:val="Normal"/>
    <w:link w:val="TitleChar"/>
    <w:uiPriority w:val="10"/>
    <w:qFormat/>
    <w:rsid w:val="006B27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27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27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27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27FA"/>
    <w:pPr>
      <w:spacing w:before="160"/>
      <w:jc w:val="center"/>
    </w:pPr>
    <w:rPr>
      <w:i/>
      <w:iCs/>
      <w:color w:val="404040" w:themeColor="text1" w:themeTint="BF"/>
    </w:rPr>
  </w:style>
  <w:style w:type="character" w:customStyle="1" w:styleId="QuoteChar">
    <w:name w:val="Quote Char"/>
    <w:basedOn w:val="DefaultParagraphFont"/>
    <w:link w:val="Quote"/>
    <w:uiPriority w:val="29"/>
    <w:rsid w:val="006B27FA"/>
    <w:rPr>
      <w:i/>
      <w:iCs/>
      <w:color w:val="404040" w:themeColor="text1" w:themeTint="BF"/>
    </w:rPr>
  </w:style>
  <w:style w:type="paragraph" w:styleId="ListParagraph">
    <w:name w:val="List Paragraph"/>
    <w:basedOn w:val="Normal"/>
    <w:uiPriority w:val="34"/>
    <w:qFormat/>
    <w:rsid w:val="006B27FA"/>
    <w:pPr>
      <w:ind w:left="720"/>
      <w:contextualSpacing/>
    </w:pPr>
  </w:style>
  <w:style w:type="character" w:styleId="IntenseEmphasis">
    <w:name w:val="Intense Emphasis"/>
    <w:basedOn w:val="DefaultParagraphFont"/>
    <w:uiPriority w:val="21"/>
    <w:qFormat/>
    <w:rsid w:val="006B27FA"/>
    <w:rPr>
      <w:i/>
      <w:iCs/>
      <w:color w:val="0F4761" w:themeColor="accent1" w:themeShade="BF"/>
    </w:rPr>
  </w:style>
  <w:style w:type="paragraph" w:styleId="IntenseQuote">
    <w:name w:val="Intense Quote"/>
    <w:basedOn w:val="Normal"/>
    <w:next w:val="Normal"/>
    <w:link w:val="IntenseQuoteChar"/>
    <w:uiPriority w:val="30"/>
    <w:qFormat/>
    <w:rsid w:val="006B27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27FA"/>
    <w:rPr>
      <w:i/>
      <w:iCs/>
      <w:color w:val="0F4761" w:themeColor="accent1" w:themeShade="BF"/>
    </w:rPr>
  </w:style>
  <w:style w:type="character" w:styleId="IntenseReference">
    <w:name w:val="Intense Reference"/>
    <w:basedOn w:val="DefaultParagraphFont"/>
    <w:uiPriority w:val="32"/>
    <w:qFormat/>
    <w:rsid w:val="006B27FA"/>
    <w:rPr>
      <w:b/>
      <w:bCs/>
      <w:smallCaps/>
      <w:color w:val="0F4761" w:themeColor="accent1" w:themeShade="BF"/>
      <w:spacing w:val="5"/>
    </w:rPr>
  </w:style>
  <w:style w:type="paragraph" w:styleId="Header">
    <w:name w:val="header"/>
    <w:basedOn w:val="Normal"/>
    <w:link w:val="HeaderChar"/>
    <w:uiPriority w:val="99"/>
    <w:unhideWhenUsed/>
    <w:rsid w:val="00C230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087"/>
  </w:style>
  <w:style w:type="paragraph" w:styleId="Footer">
    <w:name w:val="footer"/>
    <w:basedOn w:val="Normal"/>
    <w:link w:val="FooterChar"/>
    <w:uiPriority w:val="99"/>
    <w:unhideWhenUsed/>
    <w:rsid w:val="00C230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087"/>
  </w:style>
  <w:style w:type="table" w:styleId="TableGrid">
    <w:name w:val="Table Grid"/>
    <w:basedOn w:val="TableNormal"/>
    <w:uiPriority w:val="39"/>
    <w:rsid w:val="00DA5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309B7"/>
    <w:rPr>
      <w:sz w:val="16"/>
      <w:szCs w:val="16"/>
    </w:rPr>
  </w:style>
  <w:style w:type="paragraph" w:styleId="CommentText">
    <w:name w:val="annotation text"/>
    <w:basedOn w:val="Normal"/>
    <w:link w:val="CommentTextChar"/>
    <w:uiPriority w:val="99"/>
    <w:unhideWhenUsed/>
    <w:rsid w:val="002309B7"/>
    <w:pPr>
      <w:spacing w:line="240" w:lineRule="auto"/>
    </w:pPr>
    <w:rPr>
      <w:sz w:val="20"/>
      <w:szCs w:val="20"/>
    </w:rPr>
  </w:style>
  <w:style w:type="character" w:customStyle="1" w:styleId="CommentTextChar">
    <w:name w:val="Comment Text Char"/>
    <w:basedOn w:val="DefaultParagraphFont"/>
    <w:link w:val="CommentText"/>
    <w:uiPriority w:val="99"/>
    <w:rsid w:val="002309B7"/>
    <w:rPr>
      <w:sz w:val="20"/>
      <w:szCs w:val="20"/>
    </w:rPr>
  </w:style>
  <w:style w:type="paragraph" w:styleId="CommentSubject">
    <w:name w:val="annotation subject"/>
    <w:basedOn w:val="CommentText"/>
    <w:next w:val="CommentText"/>
    <w:link w:val="CommentSubjectChar"/>
    <w:uiPriority w:val="99"/>
    <w:semiHidden/>
    <w:unhideWhenUsed/>
    <w:rsid w:val="002309B7"/>
    <w:rPr>
      <w:b/>
      <w:bCs/>
    </w:rPr>
  </w:style>
  <w:style w:type="character" w:customStyle="1" w:styleId="CommentSubjectChar">
    <w:name w:val="Comment Subject Char"/>
    <w:basedOn w:val="CommentTextChar"/>
    <w:link w:val="CommentSubject"/>
    <w:uiPriority w:val="99"/>
    <w:semiHidden/>
    <w:rsid w:val="002309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40344-4C08-4802-AE04-8EAF62F5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Flash Facts Community eligiblity provision (CEP)</dc:title>
  <dc:subject/>
  <dc:creator>Jamie Narron</dc:creator>
  <cp:keywords/>
  <dc:description/>
  <cp:lastModifiedBy>Jamie Narron</cp:lastModifiedBy>
  <cp:revision>21</cp:revision>
  <dcterms:created xsi:type="dcterms:W3CDTF">2025-02-10T14:52:00Z</dcterms:created>
  <dcterms:modified xsi:type="dcterms:W3CDTF">2025-03-07T11:19:00Z</dcterms:modified>
</cp:coreProperties>
</file>