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C86B7" w14:textId="1A22873A" w:rsidR="0073156D" w:rsidRDefault="00167FF1" w:rsidP="00907A5D">
      <w:pPr>
        <w:pStyle w:val="ListParagraph"/>
        <w:numPr>
          <w:ilvl w:val="0"/>
          <w:numId w:val="1"/>
        </w:numPr>
        <w:rPr>
          <w:rFonts w:ascii="Garamond" w:hAnsi="Garamond"/>
          <w:b/>
          <w:sz w:val="24"/>
          <w:szCs w:val="24"/>
        </w:rPr>
      </w:pPr>
      <w:r>
        <w:rPr>
          <w:rFonts w:ascii="Garamond" w:hAnsi="Garamond"/>
          <w:b/>
          <w:sz w:val="24"/>
          <w:szCs w:val="24"/>
        </w:rPr>
        <w:t>Which schools are included in comparability calculations?</w:t>
      </w:r>
    </w:p>
    <w:p w14:paraId="5818DB24" w14:textId="77777777" w:rsidR="00907A5D" w:rsidRPr="00907A5D" w:rsidRDefault="00907A5D" w:rsidP="00907A5D">
      <w:pPr>
        <w:pStyle w:val="ListParagraph"/>
        <w:ind w:left="360"/>
        <w:rPr>
          <w:rFonts w:ascii="Garamond" w:hAnsi="Garamond"/>
          <w:b/>
          <w:sz w:val="24"/>
          <w:szCs w:val="24"/>
        </w:rPr>
      </w:pPr>
    </w:p>
    <w:p w14:paraId="4C9BEAEA" w14:textId="5ECBE521" w:rsidR="0073156D" w:rsidRPr="00694E8B" w:rsidRDefault="000F2A21" w:rsidP="0073156D">
      <w:pPr>
        <w:pStyle w:val="ListParagraph"/>
        <w:ind w:left="360"/>
        <w:rPr>
          <w:rFonts w:ascii="Garamond" w:hAnsi="Garamond"/>
          <w:iCs/>
          <w:sz w:val="24"/>
          <w:szCs w:val="24"/>
        </w:rPr>
      </w:pPr>
      <w:r w:rsidRPr="00694E8B">
        <w:rPr>
          <w:rFonts w:ascii="Garamond" w:hAnsi="Garamond"/>
          <w:iCs/>
          <w:sz w:val="24"/>
          <w:szCs w:val="24"/>
        </w:rPr>
        <w:t>All schools</w:t>
      </w:r>
      <w:r w:rsidR="00D5342A" w:rsidRPr="00694E8B">
        <w:rPr>
          <w:rFonts w:ascii="Garamond" w:hAnsi="Garamond"/>
          <w:iCs/>
          <w:sz w:val="24"/>
          <w:szCs w:val="24"/>
        </w:rPr>
        <w:t xml:space="preserve"> (Title I and non-Title I)</w:t>
      </w:r>
      <w:r w:rsidRPr="00694E8B">
        <w:rPr>
          <w:rFonts w:ascii="Garamond" w:hAnsi="Garamond"/>
          <w:iCs/>
          <w:sz w:val="24"/>
          <w:szCs w:val="24"/>
        </w:rPr>
        <w:t xml:space="preserve"> within the grade spans(s) served with Title I funds are to be included in comparability </w:t>
      </w:r>
      <w:proofErr w:type="gramStart"/>
      <w:r w:rsidRPr="00694E8B">
        <w:rPr>
          <w:rFonts w:ascii="Garamond" w:hAnsi="Garamond"/>
          <w:iCs/>
          <w:sz w:val="24"/>
          <w:szCs w:val="24"/>
        </w:rPr>
        <w:t>calculations, unless</w:t>
      </w:r>
      <w:proofErr w:type="gramEnd"/>
      <w:r w:rsidRPr="00694E8B">
        <w:rPr>
          <w:rFonts w:ascii="Garamond" w:hAnsi="Garamond"/>
          <w:iCs/>
          <w:sz w:val="24"/>
          <w:szCs w:val="24"/>
        </w:rPr>
        <w:t xml:space="preserve"> the following exceptions are true.  There are three exceptions: 1) the school has less than 100 students; 2) the school served is the only school within the grade span; 3) </w:t>
      </w:r>
      <w:r w:rsidR="00A37284">
        <w:rPr>
          <w:rFonts w:ascii="Garamond" w:hAnsi="Garamond"/>
          <w:iCs/>
          <w:sz w:val="24"/>
          <w:szCs w:val="24"/>
        </w:rPr>
        <w:t xml:space="preserve">The </w:t>
      </w:r>
      <w:proofErr w:type="gramStart"/>
      <w:r w:rsidR="00A37284">
        <w:rPr>
          <w:rFonts w:ascii="Garamond" w:hAnsi="Garamond"/>
          <w:iCs/>
          <w:sz w:val="24"/>
          <w:szCs w:val="24"/>
        </w:rPr>
        <w:t>Public School</w:t>
      </w:r>
      <w:proofErr w:type="gramEnd"/>
      <w:r w:rsidR="00A37284">
        <w:rPr>
          <w:rFonts w:ascii="Garamond" w:hAnsi="Garamond"/>
          <w:iCs/>
          <w:sz w:val="24"/>
          <w:szCs w:val="24"/>
        </w:rPr>
        <w:t xml:space="preserve"> Unit (</w:t>
      </w:r>
      <w:r w:rsidR="001B1F3B" w:rsidRPr="00694E8B">
        <w:rPr>
          <w:rFonts w:ascii="Garamond" w:hAnsi="Garamond"/>
          <w:iCs/>
          <w:sz w:val="24"/>
          <w:szCs w:val="24"/>
        </w:rPr>
        <w:t>PSU</w:t>
      </w:r>
      <w:r w:rsidR="00A37284">
        <w:rPr>
          <w:rFonts w:ascii="Garamond" w:hAnsi="Garamond"/>
          <w:iCs/>
          <w:sz w:val="24"/>
          <w:szCs w:val="24"/>
        </w:rPr>
        <w:t>)</w:t>
      </w:r>
      <w:r w:rsidRPr="00694E8B">
        <w:rPr>
          <w:rFonts w:ascii="Garamond" w:hAnsi="Garamond"/>
          <w:iCs/>
          <w:sz w:val="24"/>
          <w:szCs w:val="24"/>
        </w:rPr>
        <w:t xml:space="preserve"> only </w:t>
      </w:r>
      <w:r w:rsidR="00D5342A" w:rsidRPr="00694E8B">
        <w:rPr>
          <w:rFonts w:ascii="Garamond" w:hAnsi="Garamond"/>
          <w:iCs/>
          <w:sz w:val="24"/>
          <w:szCs w:val="24"/>
        </w:rPr>
        <w:t>has one school per grade span.</w:t>
      </w:r>
      <w:r w:rsidR="008B4CB9">
        <w:rPr>
          <w:rFonts w:ascii="Garamond" w:hAnsi="Garamond"/>
          <w:iCs/>
          <w:sz w:val="24"/>
          <w:szCs w:val="24"/>
        </w:rPr>
        <w:t xml:space="preserve"> Grade Spans are</w:t>
      </w:r>
      <w:r w:rsidR="00F9386F">
        <w:rPr>
          <w:rFonts w:ascii="Garamond" w:hAnsi="Garamond"/>
          <w:iCs/>
          <w:sz w:val="24"/>
          <w:szCs w:val="24"/>
        </w:rPr>
        <w:t xml:space="preserve"> defined as</w:t>
      </w:r>
      <w:r w:rsidR="008B4CB9">
        <w:rPr>
          <w:rFonts w:ascii="Garamond" w:hAnsi="Garamond"/>
          <w:iCs/>
          <w:sz w:val="24"/>
          <w:szCs w:val="24"/>
        </w:rPr>
        <w:t xml:space="preserve"> K-5, 6-8 and 9-12</w:t>
      </w:r>
      <w:r w:rsidR="00F9386F">
        <w:rPr>
          <w:rFonts w:ascii="Garamond" w:hAnsi="Garamond"/>
          <w:iCs/>
          <w:sz w:val="24"/>
          <w:szCs w:val="24"/>
        </w:rPr>
        <w:t xml:space="preserve"> in North Carolina. All schools within </w:t>
      </w:r>
      <w:r w:rsidR="00BA1FBB">
        <w:rPr>
          <w:rFonts w:ascii="Garamond" w:hAnsi="Garamond"/>
          <w:iCs/>
          <w:sz w:val="24"/>
          <w:szCs w:val="24"/>
        </w:rPr>
        <w:t>a</w:t>
      </w:r>
      <w:r w:rsidR="00F9386F">
        <w:rPr>
          <w:rFonts w:ascii="Garamond" w:hAnsi="Garamond"/>
          <w:iCs/>
          <w:sz w:val="24"/>
          <w:szCs w:val="24"/>
        </w:rPr>
        <w:t xml:space="preserve"> grade span, regardless of their </w:t>
      </w:r>
      <w:r w:rsidR="00BA1FBB">
        <w:rPr>
          <w:rFonts w:ascii="Garamond" w:hAnsi="Garamond"/>
          <w:iCs/>
          <w:sz w:val="24"/>
          <w:szCs w:val="24"/>
        </w:rPr>
        <w:t>grade configuration, must fit in one of the 3 identified grade spans.</w:t>
      </w:r>
    </w:p>
    <w:p w14:paraId="148FEFFF" w14:textId="77777777" w:rsidR="00FD65A1" w:rsidRPr="0073156D" w:rsidRDefault="00FD65A1" w:rsidP="0073156D">
      <w:pPr>
        <w:pStyle w:val="ListParagraph"/>
        <w:ind w:left="360"/>
        <w:rPr>
          <w:rFonts w:ascii="Garamond" w:hAnsi="Garamond"/>
          <w:i/>
          <w:sz w:val="24"/>
          <w:szCs w:val="24"/>
        </w:rPr>
      </w:pPr>
    </w:p>
    <w:p w14:paraId="70F6CD12" w14:textId="3ED3BC69" w:rsidR="00FE717F" w:rsidRPr="0073156D" w:rsidRDefault="00167FF1" w:rsidP="00FE717F">
      <w:pPr>
        <w:pStyle w:val="ListParagraph"/>
        <w:numPr>
          <w:ilvl w:val="0"/>
          <w:numId w:val="1"/>
        </w:numPr>
        <w:rPr>
          <w:rFonts w:ascii="Garamond" w:hAnsi="Garamond"/>
          <w:b/>
          <w:sz w:val="24"/>
          <w:szCs w:val="24"/>
        </w:rPr>
      </w:pPr>
      <w:r>
        <w:rPr>
          <w:rFonts w:ascii="Garamond" w:hAnsi="Garamond"/>
          <w:b/>
          <w:sz w:val="24"/>
          <w:szCs w:val="24"/>
        </w:rPr>
        <w:t>How is the definition of Instructional Staff developed?</w:t>
      </w:r>
    </w:p>
    <w:p w14:paraId="472617A9" w14:textId="3958D58B" w:rsidR="00FE717F" w:rsidRPr="00694E8B" w:rsidRDefault="00D5342A" w:rsidP="00FE717F">
      <w:pPr>
        <w:ind w:left="360"/>
        <w:rPr>
          <w:rFonts w:ascii="Garamond" w:hAnsi="Garamond"/>
          <w:iCs/>
          <w:sz w:val="24"/>
          <w:szCs w:val="24"/>
        </w:rPr>
      </w:pPr>
      <w:r w:rsidRPr="00694E8B">
        <w:rPr>
          <w:rFonts w:ascii="Garamond" w:hAnsi="Garamond"/>
          <w:iCs/>
          <w:sz w:val="24"/>
          <w:szCs w:val="24"/>
        </w:rPr>
        <w:t xml:space="preserve">The </w:t>
      </w:r>
      <w:r w:rsidR="001B1F3B" w:rsidRPr="00694E8B">
        <w:rPr>
          <w:rFonts w:ascii="Garamond" w:hAnsi="Garamond"/>
          <w:iCs/>
          <w:sz w:val="24"/>
          <w:szCs w:val="24"/>
        </w:rPr>
        <w:t>PSU</w:t>
      </w:r>
      <w:r w:rsidRPr="00694E8B">
        <w:rPr>
          <w:rFonts w:ascii="Garamond" w:hAnsi="Garamond"/>
          <w:iCs/>
          <w:sz w:val="24"/>
          <w:szCs w:val="24"/>
        </w:rPr>
        <w:t xml:space="preserve"> determines the definition of Instruction</w:t>
      </w:r>
      <w:r w:rsidR="005F15AC" w:rsidRPr="00694E8B">
        <w:rPr>
          <w:rFonts w:ascii="Garamond" w:hAnsi="Garamond"/>
          <w:iCs/>
          <w:sz w:val="24"/>
          <w:szCs w:val="24"/>
        </w:rPr>
        <w:t>al</w:t>
      </w:r>
      <w:r w:rsidRPr="00694E8B">
        <w:rPr>
          <w:rFonts w:ascii="Garamond" w:hAnsi="Garamond"/>
          <w:iCs/>
          <w:sz w:val="24"/>
          <w:szCs w:val="24"/>
        </w:rPr>
        <w:t xml:space="preserve"> Staff</w:t>
      </w:r>
      <w:r w:rsidR="00CA7A07" w:rsidRPr="00694E8B">
        <w:rPr>
          <w:rFonts w:ascii="Garamond" w:hAnsi="Garamond"/>
          <w:iCs/>
          <w:sz w:val="24"/>
          <w:szCs w:val="24"/>
        </w:rPr>
        <w:t>.</w:t>
      </w:r>
      <w:r w:rsidRPr="00694E8B">
        <w:rPr>
          <w:rFonts w:ascii="Garamond" w:hAnsi="Garamond"/>
          <w:iCs/>
          <w:sz w:val="24"/>
          <w:szCs w:val="24"/>
        </w:rPr>
        <w:t xml:space="preserve">  It is required that all personnel funded through federal funds be removed from the definition.  Any state or local funded position that impacts student achievement may be included in the Instructional Staff definition.  </w:t>
      </w:r>
    </w:p>
    <w:p w14:paraId="1B668C6F" w14:textId="4395A247" w:rsidR="000C3BB3" w:rsidRPr="0073156D" w:rsidRDefault="00167FF1" w:rsidP="0073156D">
      <w:pPr>
        <w:pStyle w:val="ListParagraph"/>
        <w:numPr>
          <w:ilvl w:val="0"/>
          <w:numId w:val="1"/>
        </w:numPr>
        <w:rPr>
          <w:rFonts w:ascii="Garamond" w:hAnsi="Garamond"/>
          <w:b/>
          <w:sz w:val="24"/>
          <w:szCs w:val="24"/>
        </w:rPr>
      </w:pPr>
      <w:r>
        <w:rPr>
          <w:rFonts w:ascii="Garamond" w:hAnsi="Garamond"/>
          <w:b/>
          <w:sz w:val="24"/>
          <w:szCs w:val="24"/>
        </w:rPr>
        <w:t>Are ch</w:t>
      </w:r>
      <w:r w:rsidR="005F15AC">
        <w:rPr>
          <w:rFonts w:ascii="Garamond" w:hAnsi="Garamond"/>
          <w:b/>
          <w:sz w:val="24"/>
          <w:szCs w:val="24"/>
        </w:rPr>
        <w:t>arters required to demonstrate</w:t>
      </w:r>
      <w:r>
        <w:rPr>
          <w:rFonts w:ascii="Garamond" w:hAnsi="Garamond"/>
          <w:b/>
          <w:sz w:val="24"/>
          <w:szCs w:val="24"/>
        </w:rPr>
        <w:t xml:space="preserve"> comparability</w:t>
      </w:r>
      <w:r w:rsidR="00907A5D">
        <w:rPr>
          <w:rFonts w:ascii="Garamond" w:hAnsi="Garamond"/>
          <w:b/>
          <w:sz w:val="24"/>
          <w:szCs w:val="24"/>
        </w:rPr>
        <w:t xml:space="preserve">? </w:t>
      </w:r>
    </w:p>
    <w:p w14:paraId="4826303A" w14:textId="434BB1F8" w:rsidR="000C3BB3" w:rsidRPr="0048518F" w:rsidRDefault="001B1F3B" w:rsidP="0073156D">
      <w:pPr>
        <w:ind w:left="360"/>
        <w:rPr>
          <w:rFonts w:ascii="Garamond" w:hAnsi="Garamond"/>
          <w:iCs/>
          <w:sz w:val="24"/>
          <w:szCs w:val="24"/>
          <w:u w:val="single"/>
        </w:rPr>
      </w:pPr>
      <w:r w:rsidRPr="00694E8B">
        <w:rPr>
          <w:rFonts w:ascii="Garamond" w:hAnsi="Garamond"/>
          <w:iCs/>
          <w:sz w:val="24"/>
          <w:szCs w:val="24"/>
        </w:rPr>
        <w:t>PSU</w:t>
      </w:r>
      <w:r w:rsidR="00B96EF1" w:rsidRPr="00694E8B">
        <w:rPr>
          <w:rFonts w:ascii="Garamond" w:hAnsi="Garamond"/>
          <w:iCs/>
          <w:sz w:val="24"/>
          <w:szCs w:val="24"/>
        </w:rPr>
        <w:t>s that only have one school per grade span are exempt from comparability reporting</w:t>
      </w:r>
      <w:r w:rsidR="00CA7A07" w:rsidRPr="00694E8B">
        <w:rPr>
          <w:rFonts w:ascii="Garamond" w:hAnsi="Garamond"/>
          <w:iCs/>
          <w:sz w:val="24"/>
          <w:szCs w:val="24"/>
        </w:rPr>
        <w:t>.</w:t>
      </w:r>
      <w:r w:rsidR="00B96EF1" w:rsidRPr="00694E8B">
        <w:rPr>
          <w:rFonts w:ascii="Garamond" w:hAnsi="Garamond"/>
          <w:iCs/>
          <w:sz w:val="24"/>
          <w:szCs w:val="24"/>
        </w:rPr>
        <w:t xml:space="preserve">  </w:t>
      </w:r>
      <w:r w:rsidR="00B96EF1" w:rsidRPr="002C08BA">
        <w:rPr>
          <w:rFonts w:ascii="Garamond" w:hAnsi="Garamond"/>
          <w:iCs/>
          <w:sz w:val="24"/>
          <w:szCs w:val="24"/>
          <w:u w:val="single"/>
        </w:rPr>
        <w:t>This would include virtually all charters.</w:t>
      </w:r>
      <w:r w:rsidR="00B96EF1" w:rsidRPr="00694E8B">
        <w:rPr>
          <w:rFonts w:ascii="Garamond" w:hAnsi="Garamond"/>
          <w:iCs/>
          <w:sz w:val="24"/>
          <w:szCs w:val="24"/>
        </w:rPr>
        <w:t xml:space="preserve">  Feel free to email </w:t>
      </w:r>
      <w:r w:rsidR="00234293">
        <w:rPr>
          <w:rFonts w:ascii="Garamond" w:hAnsi="Garamond"/>
          <w:iCs/>
          <w:sz w:val="24"/>
          <w:szCs w:val="24"/>
        </w:rPr>
        <w:t>your Regional Program Administrator</w:t>
      </w:r>
      <w:r w:rsidRPr="00694E8B">
        <w:rPr>
          <w:rFonts w:ascii="Garamond" w:hAnsi="Garamond"/>
          <w:iCs/>
          <w:sz w:val="24"/>
          <w:szCs w:val="24"/>
        </w:rPr>
        <w:t xml:space="preserve"> </w:t>
      </w:r>
      <w:r w:rsidR="00B96EF1" w:rsidRPr="00694E8B">
        <w:rPr>
          <w:rFonts w:ascii="Garamond" w:hAnsi="Garamond"/>
          <w:iCs/>
          <w:sz w:val="24"/>
          <w:szCs w:val="24"/>
        </w:rPr>
        <w:t>if you have question</w:t>
      </w:r>
      <w:r w:rsidR="005F15AC" w:rsidRPr="00694E8B">
        <w:rPr>
          <w:rFonts w:ascii="Garamond" w:hAnsi="Garamond"/>
          <w:iCs/>
          <w:sz w:val="24"/>
          <w:szCs w:val="24"/>
        </w:rPr>
        <w:t>s</w:t>
      </w:r>
      <w:r w:rsidR="00B96EF1" w:rsidRPr="00694E8B">
        <w:rPr>
          <w:rFonts w:ascii="Garamond" w:hAnsi="Garamond"/>
          <w:iCs/>
          <w:sz w:val="24"/>
          <w:szCs w:val="24"/>
        </w:rPr>
        <w:t xml:space="preserve"> about if your school is exempt from co</w:t>
      </w:r>
      <w:r w:rsidR="00E17204" w:rsidRPr="00694E8B">
        <w:rPr>
          <w:rFonts w:ascii="Garamond" w:hAnsi="Garamond"/>
          <w:iCs/>
          <w:sz w:val="24"/>
          <w:szCs w:val="24"/>
        </w:rPr>
        <w:t xml:space="preserve">mparability.  </w:t>
      </w:r>
      <w:r w:rsidR="00E17204" w:rsidRPr="0048518F">
        <w:rPr>
          <w:rFonts w:ascii="Garamond" w:hAnsi="Garamond"/>
          <w:iCs/>
          <w:sz w:val="24"/>
          <w:szCs w:val="24"/>
          <w:u w:val="single"/>
        </w:rPr>
        <w:t xml:space="preserve">If your </w:t>
      </w:r>
      <w:r w:rsidR="00AE1F71" w:rsidRPr="0048518F">
        <w:rPr>
          <w:rFonts w:ascii="Garamond" w:hAnsi="Garamond"/>
          <w:iCs/>
          <w:sz w:val="24"/>
          <w:szCs w:val="24"/>
          <w:u w:val="single"/>
        </w:rPr>
        <w:t>charter</w:t>
      </w:r>
      <w:r w:rsidR="00C85E0F">
        <w:rPr>
          <w:rFonts w:ascii="Garamond" w:hAnsi="Garamond"/>
          <w:iCs/>
          <w:sz w:val="24"/>
          <w:szCs w:val="24"/>
          <w:u w:val="single"/>
        </w:rPr>
        <w:t xml:space="preserve"> has indicated in the Consolidated application </w:t>
      </w:r>
      <w:proofErr w:type="gramStart"/>
      <w:r w:rsidR="00C85E0F">
        <w:rPr>
          <w:rFonts w:ascii="Garamond" w:hAnsi="Garamond"/>
          <w:iCs/>
          <w:sz w:val="24"/>
          <w:szCs w:val="24"/>
          <w:u w:val="single"/>
        </w:rPr>
        <w:t>Title</w:t>
      </w:r>
      <w:proofErr w:type="gramEnd"/>
      <w:r w:rsidR="00C85E0F">
        <w:rPr>
          <w:rFonts w:ascii="Garamond" w:hAnsi="Garamond"/>
          <w:iCs/>
          <w:sz w:val="24"/>
          <w:szCs w:val="24"/>
          <w:u w:val="single"/>
        </w:rPr>
        <w:t xml:space="preserve"> I grant details #17 that</w:t>
      </w:r>
      <w:r w:rsidR="00F80C89">
        <w:rPr>
          <w:rFonts w:ascii="Garamond" w:hAnsi="Garamond"/>
          <w:iCs/>
          <w:sz w:val="24"/>
          <w:szCs w:val="24"/>
          <w:u w:val="single"/>
        </w:rPr>
        <w:t xml:space="preserve"> the school is a </w:t>
      </w:r>
      <w:r w:rsidR="002C5C23">
        <w:rPr>
          <w:rFonts w:ascii="Garamond" w:hAnsi="Garamond"/>
          <w:iCs/>
          <w:sz w:val="24"/>
          <w:szCs w:val="24"/>
          <w:u w:val="single"/>
        </w:rPr>
        <w:t>single-</w:t>
      </w:r>
      <w:r w:rsidR="00F80C89">
        <w:rPr>
          <w:rFonts w:ascii="Garamond" w:hAnsi="Garamond"/>
          <w:iCs/>
          <w:sz w:val="24"/>
          <w:szCs w:val="24"/>
          <w:u w:val="single"/>
        </w:rPr>
        <w:t xml:space="preserve">site, the </w:t>
      </w:r>
      <w:r w:rsidR="002C5C23">
        <w:rPr>
          <w:rFonts w:ascii="Garamond" w:hAnsi="Garamond"/>
          <w:iCs/>
          <w:sz w:val="24"/>
          <w:szCs w:val="24"/>
          <w:u w:val="single"/>
        </w:rPr>
        <w:t xml:space="preserve">school </w:t>
      </w:r>
      <w:r w:rsidR="002C5C23" w:rsidRPr="0048518F">
        <w:rPr>
          <w:rFonts w:ascii="Garamond" w:hAnsi="Garamond"/>
          <w:iCs/>
          <w:sz w:val="24"/>
          <w:szCs w:val="24"/>
          <w:u w:val="single"/>
        </w:rPr>
        <w:t>is</w:t>
      </w:r>
      <w:r w:rsidR="00E17204" w:rsidRPr="0048518F">
        <w:rPr>
          <w:rFonts w:ascii="Garamond" w:hAnsi="Garamond"/>
          <w:iCs/>
          <w:sz w:val="24"/>
          <w:szCs w:val="24"/>
          <w:u w:val="single"/>
        </w:rPr>
        <w:t xml:space="preserve"> exempt</w:t>
      </w:r>
      <w:r w:rsidR="00F80C89">
        <w:rPr>
          <w:rFonts w:ascii="Garamond" w:hAnsi="Garamond"/>
          <w:iCs/>
          <w:sz w:val="24"/>
          <w:szCs w:val="24"/>
          <w:u w:val="single"/>
        </w:rPr>
        <w:t xml:space="preserve"> from completing a report</w:t>
      </w:r>
      <w:r w:rsidR="00E17204" w:rsidRPr="0048518F">
        <w:rPr>
          <w:rFonts w:ascii="Garamond" w:hAnsi="Garamond"/>
          <w:iCs/>
          <w:sz w:val="24"/>
          <w:szCs w:val="24"/>
          <w:u w:val="single"/>
        </w:rPr>
        <w:t>.</w:t>
      </w:r>
    </w:p>
    <w:p w14:paraId="7C14F9DB" w14:textId="0FE2DF4B" w:rsidR="00FE717F" w:rsidRPr="00382672" w:rsidRDefault="00167FF1" w:rsidP="00FE717F">
      <w:pPr>
        <w:pStyle w:val="ListParagraph"/>
        <w:numPr>
          <w:ilvl w:val="0"/>
          <w:numId w:val="1"/>
        </w:numPr>
        <w:rPr>
          <w:rFonts w:ascii="Garamond" w:hAnsi="Garamond"/>
          <w:sz w:val="24"/>
          <w:szCs w:val="24"/>
        </w:rPr>
      </w:pPr>
      <w:r>
        <w:rPr>
          <w:rFonts w:ascii="Garamond" w:hAnsi="Garamond"/>
          <w:b/>
          <w:sz w:val="24"/>
          <w:szCs w:val="24"/>
        </w:rPr>
        <w:t>Are Alternative Schools included in comparability calculations</w:t>
      </w:r>
      <w:r w:rsidR="00907A5D">
        <w:rPr>
          <w:rFonts w:ascii="Garamond" w:hAnsi="Garamond"/>
          <w:b/>
          <w:sz w:val="24"/>
          <w:szCs w:val="24"/>
        </w:rPr>
        <w:t>?</w:t>
      </w:r>
    </w:p>
    <w:p w14:paraId="4BC25020" w14:textId="2CB9EF9E" w:rsidR="0073156D" w:rsidRPr="00694E8B" w:rsidRDefault="00B96EF1" w:rsidP="00CA7A07">
      <w:pPr>
        <w:ind w:left="360"/>
        <w:rPr>
          <w:rFonts w:ascii="Garamond" w:hAnsi="Garamond"/>
          <w:iCs/>
          <w:sz w:val="24"/>
          <w:szCs w:val="24"/>
        </w:rPr>
      </w:pPr>
      <w:r w:rsidRPr="00694E8B">
        <w:rPr>
          <w:rFonts w:ascii="Garamond" w:hAnsi="Garamond"/>
          <w:iCs/>
          <w:sz w:val="24"/>
          <w:szCs w:val="24"/>
        </w:rPr>
        <w:t>Yes – alternative schools are included in comparability reporting</w:t>
      </w:r>
      <w:r w:rsidR="0048518F">
        <w:rPr>
          <w:rFonts w:ascii="Garamond" w:hAnsi="Garamond"/>
          <w:iCs/>
          <w:sz w:val="24"/>
          <w:szCs w:val="24"/>
        </w:rPr>
        <w:t xml:space="preserve"> within their respective grade </w:t>
      </w:r>
      <w:r w:rsidR="002C5C23">
        <w:rPr>
          <w:rFonts w:ascii="Garamond" w:hAnsi="Garamond"/>
          <w:iCs/>
          <w:sz w:val="24"/>
          <w:szCs w:val="24"/>
        </w:rPr>
        <w:t>span</w:t>
      </w:r>
      <w:r w:rsidR="002C5C23" w:rsidRPr="00694E8B">
        <w:rPr>
          <w:rFonts w:ascii="Garamond" w:hAnsi="Garamond"/>
          <w:iCs/>
          <w:sz w:val="24"/>
          <w:szCs w:val="24"/>
        </w:rPr>
        <w:t xml:space="preserve"> unless</w:t>
      </w:r>
      <w:r w:rsidRPr="00694E8B">
        <w:rPr>
          <w:rFonts w:ascii="Garamond" w:hAnsi="Garamond"/>
          <w:iCs/>
          <w:sz w:val="24"/>
          <w:szCs w:val="24"/>
        </w:rPr>
        <w:t xml:space="preserve"> they meet a comparability exemption.</w:t>
      </w:r>
    </w:p>
    <w:p w14:paraId="7888C858" w14:textId="7BCC7C0C" w:rsidR="0073156D" w:rsidRPr="002A59C1" w:rsidRDefault="00167FF1" w:rsidP="002A59C1">
      <w:pPr>
        <w:pStyle w:val="ListParagraph"/>
        <w:numPr>
          <w:ilvl w:val="0"/>
          <w:numId w:val="1"/>
        </w:numPr>
        <w:rPr>
          <w:rFonts w:ascii="Garamond" w:hAnsi="Garamond"/>
          <w:b/>
          <w:sz w:val="24"/>
          <w:szCs w:val="24"/>
        </w:rPr>
      </w:pPr>
      <w:r>
        <w:rPr>
          <w:rFonts w:ascii="Garamond" w:hAnsi="Garamond"/>
          <w:b/>
          <w:sz w:val="24"/>
          <w:szCs w:val="24"/>
        </w:rPr>
        <w:t>Who is required to submit the comparability header</w:t>
      </w:r>
      <w:r w:rsidR="00934086">
        <w:rPr>
          <w:rFonts w:ascii="Garamond" w:hAnsi="Garamond"/>
          <w:b/>
          <w:sz w:val="24"/>
          <w:szCs w:val="24"/>
        </w:rPr>
        <w:t>?</w:t>
      </w:r>
    </w:p>
    <w:p w14:paraId="327AC750" w14:textId="77777777" w:rsidR="0073156D" w:rsidRDefault="0073156D" w:rsidP="0073156D">
      <w:pPr>
        <w:pStyle w:val="ListParagraph"/>
        <w:ind w:left="360"/>
        <w:rPr>
          <w:rFonts w:ascii="Garamond" w:hAnsi="Garamond"/>
          <w:b/>
          <w:sz w:val="24"/>
          <w:szCs w:val="24"/>
        </w:rPr>
      </w:pPr>
    </w:p>
    <w:p w14:paraId="2B3D1EE8" w14:textId="2BB904F7" w:rsidR="00E70472" w:rsidRPr="00694E8B" w:rsidRDefault="00B96EF1" w:rsidP="00934086">
      <w:pPr>
        <w:pStyle w:val="ListParagraph"/>
        <w:ind w:left="360"/>
        <w:rPr>
          <w:rFonts w:ascii="Garamond" w:hAnsi="Garamond"/>
          <w:iCs/>
          <w:sz w:val="24"/>
          <w:szCs w:val="24"/>
        </w:rPr>
      </w:pPr>
      <w:r w:rsidRPr="00694E8B">
        <w:rPr>
          <w:rFonts w:ascii="Garamond" w:hAnsi="Garamond"/>
          <w:iCs/>
          <w:sz w:val="24"/>
          <w:szCs w:val="24"/>
        </w:rPr>
        <w:t xml:space="preserve">All </w:t>
      </w:r>
      <w:r w:rsidR="001B1F3B" w:rsidRPr="00694E8B">
        <w:rPr>
          <w:rFonts w:ascii="Garamond" w:hAnsi="Garamond"/>
          <w:iCs/>
          <w:sz w:val="24"/>
          <w:szCs w:val="24"/>
        </w:rPr>
        <w:t>PSU</w:t>
      </w:r>
      <w:r w:rsidRPr="00694E8B">
        <w:rPr>
          <w:rFonts w:ascii="Garamond" w:hAnsi="Garamond"/>
          <w:iCs/>
          <w:sz w:val="24"/>
          <w:szCs w:val="24"/>
        </w:rPr>
        <w:t>s</w:t>
      </w:r>
      <w:r w:rsidR="00B7499D">
        <w:rPr>
          <w:rFonts w:ascii="Garamond" w:hAnsi="Garamond"/>
          <w:iCs/>
          <w:sz w:val="24"/>
          <w:szCs w:val="24"/>
        </w:rPr>
        <w:t xml:space="preserve">, except for single-site charters/labs </w:t>
      </w:r>
      <w:r w:rsidRPr="00694E8B">
        <w:rPr>
          <w:rFonts w:ascii="Garamond" w:hAnsi="Garamond"/>
          <w:iCs/>
          <w:sz w:val="24"/>
          <w:szCs w:val="24"/>
        </w:rPr>
        <w:t xml:space="preserve">are required to submit the </w:t>
      </w:r>
      <w:r w:rsidR="003418F3">
        <w:rPr>
          <w:rFonts w:ascii="Garamond" w:hAnsi="Garamond"/>
          <w:iCs/>
          <w:sz w:val="24"/>
          <w:szCs w:val="24"/>
        </w:rPr>
        <w:t>C</w:t>
      </w:r>
      <w:r w:rsidRPr="00694E8B">
        <w:rPr>
          <w:rFonts w:ascii="Garamond" w:hAnsi="Garamond"/>
          <w:iCs/>
          <w:sz w:val="24"/>
          <w:szCs w:val="24"/>
        </w:rPr>
        <w:t xml:space="preserve">omparability </w:t>
      </w:r>
      <w:r w:rsidR="003418F3">
        <w:rPr>
          <w:rFonts w:ascii="Garamond" w:hAnsi="Garamond"/>
          <w:iCs/>
          <w:sz w:val="24"/>
          <w:szCs w:val="24"/>
        </w:rPr>
        <w:t>Assurance H</w:t>
      </w:r>
      <w:r w:rsidRPr="00694E8B">
        <w:rPr>
          <w:rFonts w:ascii="Garamond" w:hAnsi="Garamond"/>
          <w:iCs/>
          <w:sz w:val="24"/>
          <w:szCs w:val="24"/>
        </w:rPr>
        <w:t>eader</w:t>
      </w:r>
      <w:r w:rsidR="003418F3">
        <w:rPr>
          <w:rFonts w:ascii="Garamond" w:hAnsi="Garamond"/>
          <w:iCs/>
          <w:sz w:val="24"/>
          <w:szCs w:val="24"/>
        </w:rPr>
        <w:t xml:space="preserve"> sheet</w:t>
      </w:r>
      <w:r w:rsidR="00CA7A07" w:rsidRPr="00694E8B">
        <w:rPr>
          <w:rFonts w:ascii="Garamond" w:hAnsi="Garamond"/>
          <w:iCs/>
          <w:sz w:val="24"/>
          <w:szCs w:val="24"/>
        </w:rPr>
        <w:t>.</w:t>
      </w:r>
      <w:r w:rsidRPr="00694E8B">
        <w:rPr>
          <w:rFonts w:ascii="Garamond" w:hAnsi="Garamond"/>
          <w:iCs/>
          <w:sz w:val="24"/>
          <w:szCs w:val="24"/>
        </w:rPr>
        <w:t xml:space="preserve">  If your </w:t>
      </w:r>
      <w:r w:rsidR="001B1F3B" w:rsidRPr="00694E8B">
        <w:rPr>
          <w:rFonts w:ascii="Garamond" w:hAnsi="Garamond"/>
          <w:iCs/>
          <w:sz w:val="24"/>
          <w:szCs w:val="24"/>
        </w:rPr>
        <w:t>PSU</w:t>
      </w:r>
      <w:r w:rsidRPr="00694E8B">
        <w:rPr>
          <w:rFonts w:ascii="Garamond" w:hAnsi="Garamond"/>
          <w:iCs/>
          <w:sz w:val="24"/>
          <w:szCs w:val="24"/>
        </w:rPr>
        <w:t xml:space="preserve"> is exempt, this must be indicated on the header.  All </w:t>
      </w:r>
      <w:r w:rsidR="003418F3">
        <w:rPr>
          <w:rFonts w:ascii="Garamond" w:hAnsi="Garamond"/>
          <w:iCs/>
          <w:sz w:val="24"/>
          <w:szCs w:val="24"/>
        </w:rPr>
        <w:t>c</w:t>
      </w:r>
      <w:r w:rsidRPr="00694E8B">
        <w:rPr>
          <w:rFonts w:ascii="Garamond" w:hAnsi="Garamond"/>
          <w:iCs/>
          <w:sz w:val="24"/>
          <w:szCs w:val="24"/>
        </w:rPr>
        <w:t xml:space="preserve">omparability documentation is uploaded into CCIP. </w:t>
      </w:r>
    </w:p>
    <w:p w14:paraId="62D771C3" w14:textId="77777777" w:rsidR="00E70472" w:rsidRDefault="00E70472" w:rsidP="00E70472">
      <w:pPr>
        <w:pStyle w:val="ListParagraph"/>
        <w:ind w:left="360"/>
        <w:rPr>
          <w:rFonts w:ascii="Garamond" w:hAnsi="Garamond"/>
          <w:b/>
          <w:iCs/>
          <w:sz w:val="24"/>
          <w:szCs w:val="24"/>
        </w:rPr>
      </w:pPr>
    </w:p>
    <w:p w14:paraId="7756F258" w14:textId="43FBFC5B" w:rsidR="00B96EF1" w:rsidRDefault="00B96EF1" w:rsidP="002A59C1">
      <w:pPr>
        <w:pStyle w:val="ListParagraph"/>
        <w:numPr>
          <w:ilvl w:val="0"/>
          <w:numId w:val="1"/>
        </w:numPr>
        <w:rPr>
          <w:rFonts w:ascii="Garamond" w:hAnsi="Garamond"/>
          <w:b/>
          <w:iCs/>
          <w:sz w:val="24"/>
          <w:szCs w:val="24"/>
        </w:rPr>
      </w:pPr>
      <w:r>
        <w:rPr>
          <w:rFonts w:ascii="Garamond" w:hAnsi="Garamond"/>
          <w:b/>
          <w:iCs/>
          <w:sz w:val="24"/>
          <w:szCs w:val="24"/>
        </w:rPr>
        <w:t xml:space="preserve">If my </w:t>
      </w:r>
      <w:r w:rsidR="001B1F3B">
        <w:rPr>
          <w:rFonts w:ascii="Garamond" w:hAnsi="Garamond"/>
          <w:b/>
          <w:iCs/>
          <w:sz w:val="24"/>
          <w:szCs w:val="24"/>
        </w:rPr>
        <w:t>PSU</w:t>
      </w:r>
      <w:r>
        <w:rPr>
          <w:rFonts w:ascii="Garamond" w:hAnsi="Garamond"/>
          <w:b/>
          <w:iCs/>
          <w:sz w:val="24"/>
          <w:szCs w:val="24"/>
        </w:rPr>
        <w:t xml:space="preserve"> is exempt, what are my responsibilities?</w:t>
      </w:r>
    </w:p>
    <w:p w14:paraId="6CB7B3C0" w14:textId="1D670CDF" w:rsidR="00B96EF1" w:rsidRPr="00694E8B" w:rsidRDefault="00B96EF1" w:rsidP="00B96EF1">
      <w:pPr>
        <w:ind w:left="360"/>
        <w:rPr>
          <w:rFonts w:ascii="Garamond" w:hAnsi="Garamond"/>
          <w:sz w:val="24"/>
          <w:szCs w:val="24"/>
        </w:rPr>
      </w:pPr>
      <w:r w:rsidRPr="00694E8B">
        <w:rPr>
          <w:rFonts w:ascii="Garamond" w:hAnsi="Garamond"/>
          <w:sz w:val="24"/>
          <w:szCs w:val="24"/>
        </w:rPr>
        <w:t>If you</w:t>
      </w:r>
      <w:r w:rsidR="005F15AC" w:rsidRPr="00694E8B">
        <w:rPr>
          <w:rFonts w:ascii="Garamond" w:hAnsi="Garamond"/>
          <w:sz w:val="24"/>
          <w:szCs w:val="24"/>
        </w:rPr>
        <w:t>r</w:t>
      </w:r>
      <w:r w:rsidRPr="00694E8B">
        <w:rPr>
          <w:rFonts w:ascii="Garamond" w:hAnsi="Garamond"/>
          <w:sz w:val="24"/>
          <w:szCs w:val="24"/>
        </w:rPr>
        <w:t xml:space="preserve"> </w:t>
      </w:r>
      <w:r w:rsidR="001B1F3B" w:rsidRPr="00694E8B">
        <w:rPr>
          <w:rFonts w:ascii="Garamond" w:hAnsi="Garamond"/>
          <w:sz w:val="24"/>
          <w:szCs w:val="24"/>
        </w:rPr>
        <w:t>PSU</w:t>
      </w:r>
      <w:r w:rsidRPr="00694E8B">
        <w:rPr>
          <w:rFonts w:ascii="Garamond" w:hAnsi="Garamond"/>
          <w:sz w:val="24"/>
          <w:szCs w:val="24"/>
        </w:rPr>
        <w:t xml:space="preserve"> is exempt, you are still required to upload the Comparability</w:t>
      </w:r>
      <w:r w:rsidR="003418F3">
        <w:rPr>
          <w:rFonts w:ascii="Garamond" w:hAnsi="Garamond"/>
          <w:sz w:val="24"/>
          <w:szCs w:val="24"/>
        </w:rPr>
        <w:t xml:space="preserve"> Assurance</w:t>
      </w:r>
      <w:r w:rsidRPr="00694E8B">
        <w:rPr>
          <w:rFonts w:ascii="Garamond" w:hAnsi="Garamond"/>
          <w:sz w:val="24"/>
          <w:szCs w:val="24"/>
        </w:rPr>
        <w:t xml:space="preserve"> Header</w:t>
      </w:r>
      <w:r w:rsidR="003418F3">
        <w:rPr>
          <w:rFonts w:ascii="Garamond" w:hAnsi="Garamond"/>
          <w:sz w:val="24"/>
          <w:szCs w:val="24"/>
        </w:rPr>
        <w:t xml:space="preserve"> sheet</w:t>
      </w:r>
      <w:r w:rsidR="009417F3">
        <w:rPr>
          <w:rFonts w:ascii="Garamond" w:hAnsi="Garamond"/>
          <w:sz w:val="24"/>
          <w:szCs w:val="24"/>
        </w:rPr>
        <w:t xml:space="preserve"> (</w:t>
      </w:r>
      <w:proofErr w:type="spellStart"/>
      <w:r w:rsidR="008E4A56">
        <w:rPr>
          <w:rFonts w:ascii="Garamond" w:hAnsi="Garamond"/>
          <w:sz w:val="24"/>
          <w:szCs w:val="24"/>
        </w:rPr>
        <w:t>not</w:t>
      </w:r>
      <w:proofErr w:type="spellEnd"/>
      <w:r w:rsidR="008E4A56">
        <w:rPr>
          <w:rFonts w:ascii="Garamond" w:hAnsi="Garamond"/>
          <w:sz w:val="24"/>
          <w:szCs w:val="24"/>
        </w:rPr>
        <w:t xml:space="preserve"> single-site charters/labs)</w:t>
      </w:r>
      <w:r w:rsidRPr="00694E8B">
        <w:rPr>
          <w:rFonts w:ascii="Garamond" w:hAnsi="Garamond"/>
          <w:sz w:val="24"/>
          <w:szCs w:val="24"/>
        </w:rPr>
        <w:t>.  You will indicate on this f</w:t>
      </w:r>
      <w:r w:rsidR="005F15AC" w:rsidRPr="00694E8B">
        <w:rPr>
          <w:rFonts w:ascii="Garamond" w:hAnsi="Garamond"/>
          <w:sz w:val="24"/>
          <w:szCs w:val="24"/>
        </w:rPr>
        <w:t xml:space="preserve">orm that your </w:t>
      </w:r>
      <w:r w:rsidR="001B1F3B" w:rsidRPr="00694E8B">
        <w:rPr>
          <w:rFonts w:ascii="Garamond" w:hAnsi="Garamond"/>
          <w:sz w:val="24"/>
          <w:szCs w:val="24"/>
        </w:rPr>
        <w:t>PSU</w:t>
      </w:r>
      <w:r w:rsidR="005F15AC" w:rsidRPr="00694E8B">
        <w:rPr>
          <w:rFonts w:ascii="Garamond" w:hAnsi="Garamond"/>
          <w:sz w:val="24"/>
          <w:szCs w:val="24"/>
        </w:rPr>
        <w:t xml:space="preserve"> is </w:t>
      </w:r>
      <w:r w:rsidR="009036FF" w:rsidRPr="00694E8B">
        <w:rPr>
          <w:rFonts w:ascii="Garamond" w:hAnsi="Garamond"/>
          <w:sz w:val="24"/>
          <w:szCs w:val="24"/>
        </w:rPr>
        <w:t>“</w:t>
      </w:r>
      <w:r w:rsidR="005F15AC" w:rsidRPr="00694E8B">
        <w:rPr>
          <w:rFonts w:ascii="Garamond" w:hAnsi="Garamond"/>
          <w:sz w:val="24"/>
          <w:szCs w:val="24"/>
        </w:rPr>
        <w:t>exempt</w:t>
      </w:r>
      <w:r w:rsidR="009036FF" w:rsidRPr="00694E8B">
        <w:rPr>
          <w:rFonts w:ascii="Garamond" w:hAnsi="Garamond"/>
          <w:sz w:val="24"/>
          <w:szCs w:val="24"/>
        </w:rPr>
        <w:t>”</w:t>
      </w:r>
      <w:r w:rsidR="005F15AC" w:rsidRPr="00694E8B">
        <w:rPr>
          <w:rFonts w:ascii="Garamond" w:hAnsi="Garamond"/>
          <w:sz w:val="24"/>
          <w:szCs w:val="24"/>
        </w:rPr>
        <w:t xml:space="preserve"> from</w:t>
      </w:r>
      <w:r w:rsidRPr="00694E8B">
        <w:rPr>
          <w:rFonts w:ascii="Garamond" w:hAnsi="Garamond"/>
          <w:sz w:val="24"/>
          <w:szCs w:val="24"/>
        </w:rPr>
        <w:t xml:space="preserve"> comparability requirements.  You will </w:t>
      </w:r>
      <w:r w:rsidRPr="003418F3">
        <w:rPr>
          <w:rFonts w:ascii="Garamond" w:hAnsi="Garamond"/>
          <w:sz w:val="24"/>
          <w:szCs w:val="24"/>
          <w:u w:val="single"/>
        </w:rPr>
        <w:t>not</w:t>
      </w:r>
      <w:r w:rsidRPr="00694E8B">
        <w:rPr>
          <w:rFonts w:ascii="Garamond" w:hAnsi="Garamond"/>
          <w:sz w:val="24"/>
          <w:szCs w:val="24"/>
        </w:rPr>
        <w:t xml:space="preserve"> have to complete any other comparability form.  The Comparability </w:t>
      </w:r>
      <w:r w:rsidR="003418F3">
        <w:rPr>
          <w:rFonts w:ascii="Garamond" w:hAnsi="Garamond"/>
          <w:sz w:val="24"/>
          <w:szCs w:val="24"/>
        </w:rPr>
        <w:t xml:space="preserve">Assurance </w:t>
      </w:r>
      <w:r w:rsidRPr="00694E8B">
        <w:rPr>
          <w:rFonts w:ascii="Garamond" w:hAnsi="Garamond"/>
          <w:sz w:val="24"/>
          <w:szCs w:val="24"/>
        </w:rPr>
        <w:t>Header must be uploaded into CCIP</w:t>
      </w:r>
      <w:r w:rsidR="009036FF" w:rsidRPr="00694E8B">
        <w:rPr>
          <w:rFonts w:ascii="Garamond" w:hAnsi="Garamond"/>
          <w:sz w:val="24"/>
          <w:szCs w:val="24"/>
        </w:rPr>
        <w:t xml:space="preserve"> Title I Related Documents</w:t>
      </w:r>
      <w:r w:rsidRPr="00694E8B">
        <w:rPr>
          <w:rFonts w:ascii="Garamond" w:hAnsi="Garamond"/>
          <w:sz w:val="24"/>
          <w:szCs w:val="24"/>
        </w:rPr>
        <w:t xml:space="preserve">.  </w:t>
      </w:r>
    </w:p>
    <w:p w14:paraId="7E342A9D" w14:textId="525C6D31" w:rsidR="002A59C1" w:rsidRPr="002A59C1" w:rsidRDefault="00167FF1" w:rsidP="002A59C1">
      <w:pPr>
        <w:pStyle w:val="ListParagraph"/>
        <w:numPr>
          <w:ilvl w:val="0"/>
          <w:numId w:val="1"/>
        </w:numPr>
        <w:rPr>
          <w:rFonts w:ascii="Garamond" w:hAnsi="Garamond"/>
          <w:b/>
          <w:iCs/>
          <w:sz w:val="24"/>
          <w:szCs w:val="24"/>
        </w:rPr>
      </w:pPr>
      <w:r>
        <w:rPr>
          <w:rFonts w:ascii="Garamond" w:hAnsi="Garamond"/>
          <w:b/>
          <w:iCs/>
          <w:sz w:val="24"/>
          <w:szCs w:val="24"/>
        </w:rPr>
        <w:t>Who should sign the comparability report</w:t>
      </w:r>
      <w:r w:rsidR="00934086">
        <w:rPr>
          <w:rFonts w:ascii="Garamond" w:hAnsi="Garamond"/>
          <w:b/>
          <w:iCs/>
          <w:sz w:val="24"/>
          <w:szCs w:val="24"/>
        </w:rPr>
        <w:t>?</w:t>
      </w:r>
    </w:p>
    <w:p w14:paraId="6D44F9BC" w14:textId="3B8B1AB3" w:rsidR="00C42DF8" w:rsidRPr="00384725" w:rsidRDefault="00B96EF1" w:rsidP="00A37284">
      <w:pPr>
        <w:ind w:left="360"/>
        <w:rPr>
          <w:rFonts w:ascii="Garamond" w:hAnsi="Garamond"/>
          <w:b/>
          <w:bCs/>
          <w:iCs/>
          <w:sz w:val="24"/>
          <w:szCs w:val="24"/>
          <w:u w:val="single"/>
        </w:rPr>
      </w:pPr>
      <w:r w:rsidRPr="00694E8B">
        <w:rPr>
          <w:rFonts w:ascii="Garamond" w:hAnsi="Garamond"/>
          <w:iCs/>
          <w:sz w:val="24"/>
          <w:szCs w:val="24"/>
        </w:rPr>
        <w:t xml:space="preserve">Comparability Reporting is a federal requirement.  Due to the importance of this calculation, there will need to be </w:t>
      </w:r>
      <w:r w:rsidR="00C42DF8" w:rsidRPr="00694E8B">
        <w:rPr>
          <w:rFonts w:ascii="Garamond" w:hAnsi="Garamond"/>
          <w:iCs/>
          <w:sz w:val="24"/>
          <w:szCs w:val="24"/>
        </w:rPr>
        <w:t>more than one person checking this report.  This wi</w:t>
      </w:r>
      <w:r w:rsidR="005F15AC" w:rsidRPr="00694E8B">
        <w:rPr>
          <w:rFonts w:ascii="Garamond" w:hAnsi="Garamond"/>
          <w:iCs/>
          <w:sz w:val="24"/>
          <w:szCs w:val="24"/>
        </w:rPr>
        <w:t>ll be demonstrated to the SEA by asking for</w:t>
      </w:r>
      <w:r w:rsidR="00C42DF8" w:rsidRPr="00694E8B">
        <w:rPr>
          <w:rFonts w:ascii="Garamond" w:hAnsi="Garamond"/>
          <w:iCs/>
          <w:sz w:val="24"/>
          <w:szCs w:val="24"/>
        </w:rPr>
        <w:t xml:space="preserve"> the </w:t>
      </w:r>
      <w:r w:rsidR="000D1CC2" w:rsidRPr="00694E8B">
        <w:rPr>
          <w:rFonts w:ascii="Garamond" w:hAnsi="Garamond"/>
          <w:iCs/>
          <w:sz w:val="24"/>
          <w:szCs w:val="24"/>
        </w:rPr>
        <w:t>preparers</w:t>
      </w:r>
      <w:r w:rsidR="00C42DF8" w:rsidRPr="00694E8B">
        <w:rPr>
          <w:rFonts w:ascii="Garamond" w:hAnsi="Garamond"/>
          <w:iCs/>
          <w:sz w:val="24"/>
          <w:szCs w:val="24"/>
        </w:rPr>
        <w:t xml:space="preserve"> name and position </w:t>
      </w:r>
      <w:proofErr w:type="gramStart"/>
      <w:r w:rsidR="00C42DF8" w:rsidRPr="00694E8B">
        <w:rPr>
          <w:rFonts w:ascii="Garamond" w:hAnsi="Garamond"/>
          <w:iCs/>
          <w:sz w:val="24"/>
          <w:szCs w:val="24"/>
        </w:rPr>
        <w:t xml:space="preserve">and </w:t>
      </w:r>
      <w:r w:rsidR="00C42DF8" w:rsidRPr="001B71B1">
        <w:rPr>
          <w:rFonts w:ascii="Garamond" w:hAnsi="Garamond"/>
          <w:iCs/>
          <w:sz w:val="24"/>
          <w:szCs w:val="24"/>
          <w:u w:val="single"/>
        </w:rPr>
        <w:t>also</w:t>
      </w:r>
      <w:proofErr w:type="gramEnd"/>
      <w:r w:rsidR="00C42DF8" w:rsidRPr="001B71B1">
        <w:rPr>
          <w:rFonts w:ascii="Garamond" w:hAnsi="Garamond"/>
          <w:iCs/>
          <w:sz w:val="24"/>
          <w:szCs w:val="24"/>
          <w:u w:val="single"/>
        </w:rPr>
        <w:t xml:space="preserve"> requiring a</w:t>
      </w:r>
      <w:r w:rsidR="00384725">
        <w:rPr>
          <w:rFonts w:ascii="Garamond" w:hAnsi="Garamond"/>
          <w:iCs/>
          <w:sz w:val="24"/>
          <w:szCs w:val="24"/>
          <w:u w:val="single"/>
        </w:rPr>
        <w:t>n actual</w:t>
      </w:r>
      <w:r w:rsidR="00C42DF8" w:rsidRPr="001B71B1">
        <w:rPr>
          <w:rFonts w:ascii="Garamond" w:hAnsi="Garamond"/>
          <w:iCs/>
          <w:sz w:val="24"/>
          <w:szCs w:val="24"/>
          <w:u w:val="single"/>
        </w:rPr>
        <w:t xml:space="preserve"> signature </w:t>
      </w:r>
      <w:r w:rsidR="00C42DF8" w:rsidRPr="001B71B1">
        <w:rPr>
          <w:rFonts w:ascii="Garamond" w:hAnsi="Garamond"/>
          <w:iCs/>
          <w:sz w:val="24"/>
          <w:szCs w:val="24"/>
          <w:u w:val="single"/>
        </w:rPr>
        <w:lastRenderedPageBreak/>
        <w:t xml:space="preserve">from a </w:t>
      </w:r>
      <w:r w:rsidR="009036FF" w:rsidRPr="001B71B1">
        <w:rPr>
          <w:rFonts w:ascii="Garamond" w:hAnsi="Garamond"/>
          <w:iCs/>
          <w:sz w:val="24"/>
          <w:szCs w:val="24"/>
          <w:u w:val="single"/>
        </w:rPr>
        <w:t>second</w:t>
      </w:r>
      <w:r w:rsidR="00C42DF8" w:rsidRPr="001B71B1">
        <w:rPr>
          <w:rFonts w:ascii="Garamond" w:hAnsi="Garamond"/>
          <w:iCs/>
          <w:sz w:val="24"/>
          <w:szCs w:val="24"/>
          <w:u w:val="single"/>
        </w:rPr>
        <w:t xml:space="preserve"> </w:t>
      </w:r>
      <w:r w:rsidR="001B1F3B" w:rsidRPr="001B71B1">
        <w:rPr>
          <w:rFonts w:ascii="Garamond" w:hAnsi="Garamond"/>
          <w:iCs/>
          <w:sz w:val="24"/>
          <w:szCs w:val="24"/>
          <w:u w:val="single"/>
        </w:rPr>
        <w:t>PSU</w:t>
      </w:r>
      <w:r w:rsidR="00C42DF8" w:rsidRPr="001B71B1">
        <w:rPr>
          <w:rFonts w:ascii="Garamond" w:hAnsi="Garamond"/>
          <w:iCs/>
          <w:sz w:val="24"/>
          <w:szCs w:val="24"/>
          <w:u w:val="single"/>
        </w:rPr>
        <w:t xml:space="preserve"> </w:t>
      </w:r>
      <w:r w:rsidR="001B71B1">
        <w:rPr>
          <w:rFonts w:ascii="Garamond" w:hAnsi="Garamond"/>
          <w:iCs/>
          <w:sz w:val="24"/>
          <w:szCs w:val="24"/>
          <w:u w:val="single"/>
        </w:rPr>
        <w:t xml:space="preserve">assurance </w:t>
      </w:r>
      <w:r w:rsidR="00C42DF8" w:rsidRPr="001B71B1">
        <w:rPr>
          <w:rFonts w:ascii="Garamond" w:hAnsi="Garamond"/>
          <w:iCs/>
          <w:sz w:val="24"/>
          <w:szCs w:val="24"/>
          <w:u w:val="single"/>
        </w:rPr>
        <w:t>representativ</w:t>
      </w:r>
      <w:r w:rsidR="001B71B1">
        <w:rPr>
          <w:rFonts w:ascii="Garamond" w:hAnsi="Garamond"/>
          <w:iCs/>
          <w:sz w:val="24"/>
          <w:szCs w:val="24"/>
          <w:u w:val="single"/>
        </w:rPr>
        <w:t>e</w:t>
      </w:r>
      <w:r w:rsidR="00C42DF8" w:rsidRPr="001B71B1">
        <w:rPr>
          <w:rFonts w:ascii="Garamond" w:hAnsi="Garamond"/>
          <w:iCs/>
          <w:sz w:val="24"/>
          <w:szCs w:val="24"/>
          <w:u w:val="single"/>
        </w:rPr>
        <w:t>.</w:t>
      </w:r>
      <w:r w:rsidR="00C42DF8" w:rsidRPr="00694E8B">
        <w:rPr>
          <w:rFonts w:ascii="Garamond" w:hAnsi="Garamond"/>
          <w:iCs/>
          <w:sz w:val="24"/>
          <w:szCs w:val="24"/>
        </w:rPr>
        <w:t xml:space="preserve">  </w:t>
      </w:r>
      <w:r w:rsidR="00C42DF8" w:rsidRPr="001B71B1">
        <w:rPr>
          <w:rFonts w:ascii="Garamond" w:hAnsi="Garamond"/>
          <w:iCs/>
          <w:sz w:val="24"/>
          <w:szCs w:val="24"/>
          <w:u w:val="single"/>
        </w:rPr>
        <w:t xml:space="preserve">The </w:t>
      </w:r>
      <w:r w:rsidR="001B1F3B" w:rsidRPr="001B71B1">
        <w:rPr>
          <w:rFonts w:ascii="Garamond" w:hAnsi="Garamond"/>
          <w:iCs/>
          <w:sz w:val="24"/>
          <w:szCs w:val="24"/>
          <w:u w:val="single"/>
        </w:rPr>
        <w:t>PSU</w:t>
      </w:r>
      <w:r w:rsidR="00C42DF8" w:rsidRPr="001B71B1">
        <w:rPr>
          <w:rFonts w:ascii="Garamond" w:hAnsi="Garamond"/>
          <w:iCs/>
          <w:sz w:val="24"/>
          <w:szCs w:val="24"/>
          <w:u w:val="single"/>
        </w:rPr>
        <w:t xml:space="preserve"> r</w:t>
      </w:r>
      <w:r w:rsidR="003D03C9" w:rsidRPr="001B71B1">
        <w:rPr>
          <w:rFonts w:ascii="Garamond" w:hAnsi="Garamond"/>
          <w:iCs/>
          <w:sz w:val="24"/>
          <w:szCs w:val="24"/>
          <w:u w:val="single"/>
        </w:rPr>
        <w:t>epresentative must be</w:t>
      </w:r>
      <w:r w:rsidR="00C42DF8" w:rsidRPr="001B71B1">
        <w:rPr>
          <w:rFonts w:ascii="Garamond" w:hAnsi="Garamond"/>
          <w:iCs/>
          <w:sz w:val="24"/>
          <w:szCs w:val="24"/>
          <w:u w:val="single"/>
        </w:rPr>
        <w:t xml:space="preserve"> the supervisor of the person completing the report.</w:t>
      </w:r>
      <w:r w:rsidR="00C42DF8" w:rsidRPr="00694E8B">
        <w:rPr>
          <w:rFonts w:ascii="Garamond" w:hAnsi="Garamond"/>
          <w:iCs/>
          <w:sz w:val="24"/>
          <w:szCs w:val="24"/>
        </w:rPr>
        <w:t xml:space="preserve">  For example, if a Title I director completes the report, then the Federal Program Director should sign the report</w:t>
      </w:r>
      <w:r w:rsidR="005F15AC" w:rsidRPr="00694E8B">
        <w:rPr>
          <w:rFonts w:ascii="Garamond" w:hAnsi="Garamond"/>
          <w:iCs/>
          <w:sz w:val="24"/>
          <w:szCs w:val="24"/>
        </w:rPr>
        <w:t>;</w:t>
      </w:r>
      <w:r w:rsidR="00C42DF8" w:rsidRPr="00694E8B">
        <w:rPr>
          <w:rFonts w:ascii="Garamond" w:hAnsi="Garamond"/>
          <w:iCs/>
          <w:sz w:val="24"/>
          <w:szCs w:val="24"/>
        </w:rPr>
        <w:t xml:space="preserve"> or if a Federal Program Director completes the report, then an Assistant Superintendent should sign the report.  It is always </w:t>
      </w:r>
      <w:r w:rsidR="003D03C9" w:rsidRPr="00694E8B">
        <w:rPr>
          <w:rFonts w:ascii="Garamond" w:hAnsi="Garamond"/>
          <w:iCs/>
          <w:sz w:val="24"/>
          <w:szCs w:val="24"/>
        </w:rPr>
        <w:t>acceptable</w:t>
      </w:r>
      <w:r w:rsidR="00C42DF8" w:rsidRPr="00694E8B">
        <w:rPr>
          <w:rFonts w:ascii="Garamond" w:hAnsi="Garamond"/>
          <w:iCs/>
          <w:sz w:val="24"/>
          <w:szCs w:val="24"/>
        </w:rPr>
        <w:t xml:space="preserve"> for the Superintendent to sign the comparability report. </w:t>
      </w:r>
      <w:r w:rsidR="00384725" w:rsidRPr="00384725">
        <w:rPr>
          <w:rFonts w:ascii="Garamond" w:hAnsi="Garamond"/>
          <w:b/>
          <w:bCs/>
          <w:iCs/>
          <w:sz w:val="24"/>
          <w:szCs w:val="24"/>
          <w:u w:val="single"/>
        </w:rPr>
        <w:t>Again, the Assurance Representative signature must be an actual signature and the supervisor of the preparer.</w:t>
      </w:r>
    </w:p>
    <w:p w14:paraId="551F4687" w14:textId="7DF150C4" w:rsidR="002A59C1" w:rsidRPr="002A59C1" w:rsidRDefault="00167FF1" w:rsidP="002A59C1">
      <w:pPr>
        <w:pStyle w:val="ListParagraph"/>
        <w:numPr>
          <w:ilvl w:val="0"/>
          <w:numId w:val="1"/>
        </w:numPr>
        <w:rPr>
          <w:rFonts w:ascii="Garamond" w:hAnsi="Garamond"/>
          <w:b/>
          <w:iCs/>
          <w:sz w:val="24"/>
          <w:szCs w:val="24"/>
        </w:rPr>
      </w:pPr>
      <w:r>
        <w:rPr>
          <w:rFonts w:ascii="Garamond" w:hAnsi="Garamond"/>
          <w:b/>
          <w:iCs/>
          <w:sz w:val="24"/>
          <w:szCs w:val="24"/>
        </w:rPr>
        <w:t xml:space="preserve">What is </w:t>
      </w:r>
      <w:r w:rsidR="00A07E07">
        <w:rPr>
          <w:rFonts w:ascii="Garamond" w:hAnsi="Garamond"/>
          <w:b/>
          <w:iCs/>
          <w:sz w:val="24"/>
          <w:szCs w:val="24"/>
        </w:rPr>
        <w:t>Comparability Equivalence Exemption</w:t>
      </w:r>
      <w:r w:rsidR="00934086">
        <w:rPr>
          <w:rFonts w:ascii="Garamond" w:hAnsi="Garamond"/>
          <w:b/>
          <w:iCs/>
          <w:sz w:val="24"/>
          <w:szCs w:val="24"/>
        </w:rPr>
        <w:t>?</w:t>
      </w:r>
      <w:r w:rsidR="00A07E07">
        <w:rPr>
          <w:rFonts w:ascii="Garamond" w:hAnsi="Garamond"/>
          <w:b/>
          <w:iCs/>
          <w:sz w:val="24"/>
          <w:szCs w:val="24"/>
        </w:rPr>
        <w:t xml:space="preserve"> (Formerly known as Pathway A)</w:t>
      </w:r>
    </w:p>
    <w:p w14:paraId="2BE1879B" w14:textId="057705B3" w:rsidR="000C0479" w:rsidRPr="00694E8B" w:rsidRDefault="001C25F4" w:rsidP="000C0479">
      <w:pPr>
        <w:ind w:left="360"/>
        <w:rPr>
          <w:rFonts w:ascii="Garamond" w:hAnsi="Garamond"/>
          <w:iCs/>
          <w:sz w:val="24"/>
          <w:szCs w:val="24"/>
        </w:rPr>
      </w:pPr>
      <w:r w:rsidRPr="00694E8B">
        <w:rPr>
          <w:rFonts w:ascii="Garamond" w:hAnsi="Garamond"/>
          <w:iCs/>
          <w:sz w:val="24"/>
          <w:szCs w:val="24"/>
        </w:rPr>
        <w:t>Every Student</w:t>
      </w:r>
      <w:r w:rsidR="00C42DF8" w:rsidRPr="00694E8B">
        <w:rPr>
          <w:rFonts w:ascii="Garamond" w:hAnsi="Garamond"/>
          <w:iCs/>
          <w:sz w:val="24"/>
          <w:szCs w:val="24"/>
        </w:rPr>
        <w:t xml:space="preserve"> Succeeds Act (ESSA) allows for two ways to demonstrate comparability.  </w:t>
      </w:r>
      <w:r w:rsidR="00A07E07">
        <w:rPr>
          <w:rFonts w:ascii="Garamond" w:hAnsi="Garamond"/>
          <w:iCs/>
          <w:sz w:val="24"/>
          <w:szCs w:val="24"/>
        </w:rPr>
        <w:t>Comparability Equivalence Exemption</w:t>
      </w:r>
      <w:r w:rsidR="00C42DF8" w:rsidRPr="00694E8B">
        <w:rPr>
          <w:rFonts w:ascii="Garamond" w:hAnsi="Garamond"/>
          <w:iCs/>
          <w:sz w:val="24"/>
          <w:szCs w:val="24"/>
        </w:rPr>
        <w:t xml:space="preserve"> allows comparability to be demonstrated through providing the following </w:t>
      </w:r>
      <w:r w:rsidR="00C42DF8" w:rsidRPr="004E7E08">
        <w:rPr>
          <w:rFonts w:ascii="Garamond" w:hAnsi="Garamond"/>
          <w:b/>
          <w:bCs/>
          <w:iCs/>
          <w:sz w:val="24"/>
          <w:szCs w:val="24"/>
          <w:u w:val="single"/>
        </w:rPr>
        <w:t>three</w:t>
      </w:r>
      <w:r w:rsidR="00C42DF8" w:rsidRPr="00694E8B">
        <w:rPr>
          <w:rFonts w:ascii="Garamond" w:hAnsi="Garamond"/>
          <w:iCs/>
          <w:sz w:val="24"/>
          <w:szCs w:val="24"/>
        </w:rPr>
        <w:t xml:space="preserve"> </w:t>
      </w:r>
      <w:r w:rsidR="004E7E08">
        <w:rPr>
          <w:rFonts w:ascii="Garamond" w:hAnsi="Garamond"/>
          <w:iCs/>
          <w:sz w:val="24"/>
          <w:szCs w:val="24"/>
        </w:rPr>
        <w:t xml:space="preserve">school board approved policy </w:t>
      </w:r>
      <w:r w:rsidR="00C42DF8" w:rsidRPr="00694E8B">
        <w:rPr>
          <w:rFonts w:ascii="Garamond" w:hAnsi="Garamond"/>
          <w:iCs/>
          <w:sz w:val="24"/>
          <w:szCs w:val="24"/>
        </w:rPr>
        <w:t>documents:</w:t>
      </w:r>
    </w:p>
    <w:p w14:paraId="780CC54B" w14:textId="094849FE" w:rsidR="00C42DF8" w:rsidRPr="00694E8B" w:rsidRDefault="001B1F3B" w:rsidP="004E7E08">
      <w:pPr>
        <w:pStyle w:val="ListParagraph"/>
        <w:widowControl w:val="0"/>
        <w:numPr>
          <w:ilvl w:val="0"/>
          <w:numId w:val="5"/>
        </w:numPr>
        <w:tabs>
          <w:tab w:val="left" w:pos="220"/>
          <w:tab w:val="left" w:pos="720"/>
        </w:tabs>
        <w:autoSpaceDE w:val="0"/>
        <w:autoSpaceDN w:val="0"/>
        <w:adjustRightInd w:val="0"/>
        <w:spacing w:after="0" w:line="240" w:lineRule="auto"/>
        <w:rPr>
          <w:rFonts w:ascii="Times" w:hAnsi="Times" w:cs="Times"/>
          <w:iCs/>
          <w:color w:val="000000"/>
          <w:sz w:val="24"/>
          <w:szCs w:val="24"/>
        </w:rPr>
      </w:pPr>
      <w:r w:rsidRPr="00694E8B">
        <w:rPr>
          <w:rFonts w:ascii="Garamond" w:hAnsi="Garamond"/>
          <w:iCs/>
          <w:sz w:val="24"/>
          <w:szCs w:val="24"/>
        </w:rPr>
        <w:t>PSU</w:t>
      </w:r>
      <w:r w:rsidR="00C42DF8" w:rsidRPr="00694E8B">
        <w:rPr>
          <w:rFonts w:ascii="Garamond" w:hAnsi="Garamond"/>
          <w:iCs/>
          <w:sz w:val="24"/>
          <w:szCs w:val="24"/>
        </w:rPr>
        <w:t>-wide salary schedule</w:t>
      </w:r>
      <w:r w:rsidR="00D31CE3" w:rsidRPr="00694E8B">
        <w:rPr>
          <w:rFonts w:ascii="Garamond" w:hAnsi="Garamond"/>
          <w:iCs/>
          <w:sz w:val="24"/>
          <w:szCs w:val="24"/>
        </w:rPr>
        <w:t xml:space="preserve"> (1118(c)(2)(A)(i))</w:t>
      </w:r>
      <w:r w:rsidR="00D31CE3" w:rsidRPr="00694E8B">
        <w:rPr>
          <w:rFonts w:ascii="Arial" w:hAnsi="Arial" w:cs="Arial"/>
          <w:iCs/>
          <w:color w:val="0E3263"/>
          <w:sz w:val="64"/>
          <w:szCs w:val="64"/>
        </w:rPr>
        <w:t xml:space="preserve"> </w:t>
      </w:r>
      <w:r w:rsidR="00D31CE3" w:rsidRPr="00694E8B">
        <w:rPr>
          <w:rFonts w:ascii="MS Mincho" w:eastAsia="MS Mincho" w:hAnsi="MS Mincho" w:cs="MS Mincho"/>
          <w:iCs/>
          <w:color w:val="000000"/>
          <w:sz w:val="24"/>
          <w:szCs w:val="24"/>
        </w:rPr>
        <w:t> </w:t>
      </w:r>
    </w:p>
    <w:p w14:paraId="5ACB9743" w14:textId="44C4340C" w:rsidR="00D538B9" w:rsidRPr="00694E8B" w:rsidRDefault="00D538B9" w:rsidP="004E7E08">
      <w:pPr>
        <w:widowControl w:val="0"/>
        <w:numPr>
          <w:ilvl w:val="0"/>
          <w:numId w:val="5"/>
        </w:numPr>
        <w:tabs>
          <w:tab w:val="left" w:pos="220"/>
          <w:tab w:val="left" w:pos="720"/>
        </w:tabs>
        <w:autoSpaceDE w:val="0"/>
        <w:autoSpaceDN w:val="0"/>
        <w:adjustRightInd w:val="0"/>
        <w:spacing w:after="0" w:line="240" w:lineRule="auto"/>
        <w:contextualSpacing/>
        <w:rPr>
          <w:rFonts w:ascii="Times" w:hAnsi="Times" w:cs="Times"/>
          <w:iCs/>
          <w:color w:val="000000"/>
          <w:sz w:val="24"/>
          <w:szCs w:val="24"/>
        </w:rPr>
      </w:pPr>
      <w:r w:rsidRPr="00694E8B">
        <w:rPr>
          <w:rFonts w:ascii="Garamond" w:hAnsi="Garamond"/>
          <w:iCs/>
          <w:sz w:val="24"/>
          <w:szCs w:val="24"/>
        </w:rPr>
        <w:t xml:space="preserve">A policy to ensure equivalence among schools in teachers, administrators, and other staff (1118(c)(2)(A)(ii)) </w:t>
      </w:r>
      <w:r w:rsidRPr="00694E8B">
        <w:rPr>
          <w:rFonts w:ascii="MS Mincho" w:eastAsia="MS Mincho" w:hAnsi="MS Mincho" w:cs="MS Mincho"/>
          <w:iCs/>
          <w:color w:val="000000"/>
          <w:sz w:val="24"/>
          <w:szCs w:val="24"/>
        </w:rPr>
        <w:t> </w:t>
      </w:r>
    </w:p>
    <w:p w14:paraId="082102D2" w14:textId="77777777" w:rsidR="00D31CE3" w:rsidRPr="00694E8B" w:rsidRDefault="00D31CE3" w:rsidP="004E7E08">
      <w:pPr>
        <w:widowControl w:val="0"/>
        <w:numPr>
          <w:ilvl w:val="0"/>
          <w:numId w:val="5"/>
        </w:numPr>
        <w:tabs>
          <w:tab w:val="left" w:pos="220"/>
          <w:tab w:val="left" w:pos="720"/>
        </w:tabs>
        <w:autoSpaceDE w:val="0"/>
        <w:autoSpaceDN w:val="0"/>
        <w:adjustRightInd w:val="0"/>
        <w:spacing w:after="240" w:line="240" w:lineRule="auto"/>
        <w:rPr>
          <w:rFonts w:ascii="Times" w:hAnsi="Times" w:cs="Times"/>
          <w:iCs/>
          <w:color w:val="000000"/>
          <w:sz w:val="24"/>
          <w:szCs w:val="24"/>
        </w:rPr>
      </w:pPr>
      <w:r w:rsidRPr="00694E8B">
        <w:rPr>
          <w:rFonts w:ascii="Garamond" w:hAnsi="Garamond"/>
          <w:iCs/>
          <w:sz w:val="24"/>
          <w:szCs w:val="24"/>
        </w:rPr>
        <w:t>A policy to ensure equivalence among schools in the provision of curriculum materials and instructional supplies (1118(c)(2)(A)(iii))</w:t>
      </w:r>
    </w:p>
    <w:p w14:paraId="5F2A9BC2" w14:textId="10A575EF" w:rsidR="00D31CE3" w:rsidRPr="00694E8B" w:rsidRDefault="00D31CE3" w:rsidP="00D31CE3">
      <w:pPr>
        <w:widowControl w:val="0"/>
        <w:tabs>
          <w:tab w:val="left" w:pos="220"/>
          <w:tab w:val="left" w:pos="720"/>
        </w:tabs>
        <w:autoSpaceDE w:val="0"/>
        <w:autoSpaceDN w:val="0"/>
        <w:adjustRightInd w:val="0"/>
        <w:spacing w:after="240" w:line="240" w:lineRule="auto"/>
        <w:ind w:left="360"/>
        <w:rPr>
          <w:rFonts w:ascii="Garamond" w:hAnsi="Garamond"/>
          <w:iCs/>
          <w:sz w:val="24"/>
          <w:szCs w:val="24"/>
        </w:rPr>
      </w:pPr>
      <w:r w:rsidRPr="00694E8B">
        <w:rPr>
          <w:rFonts w:ascii="Garamond" w:hAnsi="Garamond"/>
          <w:iCs/>
          <w:sz w:val="24"/>
          <w:szCs w:val="24"/>
        </w:rPr>
        <w:t xml:space="preserve">It is understood that </w:t>
      </w:r>
      <w:r w:rsidR="001B1F3B" w:rsidRPr="00694E8B">
        <w:rPr>
          <w:rFonts w:ascii="Garamond" w:hAnsi="Garamond"/>
          <w:iCs/>
          <w:sz w:val="24"/>
          <w:szCs w:val="24"/>
        </w:rPr>
        <w:t>PSU</w:t>
      </w:r>
      <w:r w:rsidRPr="00694E8B">
        <w:rPr>
          <w:rFonts w:ascii="Garamond" w:hAnsi="Garamond"/>
          <w:iCs/>
          <w:sz w:val="24"/>
          <w:szCs w:val="24"/>
        </w:rPr>
        <w:t xml:space="preserve">s use the state salary schedule, so the </w:t>
      </w:r>
      <w:r w:rsidR="001C25F4" w:rsidRPr="00694E8B">
        <w:rPr>
          <w:rFonts w:ascii="Garamond" w:hAnsi="Garamond"/>
          <w:iCs/>
          <w:sz w:val="24"/>
          <w:szCs w:val="24"/>
        </w:rPr>
        <w:t>documentation required</w:t>
      </w:r>
      <w:r w:rsidRPr="00694E8B">
        <w:rPr>
          <w:rFonts w:ascii="Garamond" w:hAnsi="Garamond"/>
          <w:iCs/>
          <w:sz w:val="24"/>
          <w:szCs w:val="24"/>
        </w:rPr>
        <w:t xml:space="preserve"> to demonstrate </w:t>
      </w:r>
      <w:r w:rsidR="001C25F4" w:rsidRPr="00694E8B">
        <w:rPr>
          <w:rFonts w:ascii="Garamond" w:hAnsi="Garamond"/>
          <w:iCs/>
          <w:sz w:val="24"/>
          <w:szCs w:val="24"/>
        </w:rPr>
        <w:t>bullet</w:t>
      </w:r>
      <w:r w:rsidRPr="00694E8B">
        <w:rPr>
          <w:rFonts w:ascii="Garamond" w:hAnsi="Garamond"/>
          <w:iCs/>
          <w:sz w:val="24"/>
          <w:szCs w:val="24"/>
        </w:rPr>
        <w:t xml:space="preserve"> one is a detailed description of the </w:t>
      </w:r>
      <w:r w:rsidR="001B1F3B" w:rsidRPr="00694E8B">
        <w:rPr>
          <w:rFonts w:ascii="Garamond" w:hAnsi="Garamond"/>
          <w:iCs/>
          <w:sz w:val="24"/>
          <w:szCs w:val="24"/>
        </w:rPr>
        <w:t>PSU</w:t>
      </w:r>
      <w:r w:rsidRPr="00694E8B">
        <w:rPr>
          <w:rFonts w:ascii="Garamond" w:hAnsi="Garamond"/>
          <w:iCs/>
          <w:sz w:val="24"/>
          <w:szCs w:val="24"/>
        </w:rPr>
        <w:t xml:space="preserve"> supplement and bonus guidelines.  </w:t>
      </w:r>
    </w:p>
    <w:p w14:paraId="6039FCC6" w14:textId="311EEA37" w:rsidR="00D31CE3" w:rsidRPr="00694E8B" w:rsidRDefault="00D31CE3" w:rsidP="00D31CE3">
      <w:pPr>
        <w:ind w:left="360"/>
        <w:rPr>
          <w:rFonts w:ascii="Garamond" w:hAnsi="Garamond"/>
          <w:iCs/>
          <w:sz w:val="24"/>
          <w:szCs w:val="24"/>
        </w:rPr>
      </w:pPr>
      <w:r w:rsidRPr="00694E8B">
        <w:rPr>
          <w:rFonts w:ascii="Garamond" w:hAnsi="Garamond"/>
          <w:iCs/>
          <w:sz w:val="24"/>
          <w:szCs w:val="24"/>
        </w:rPr>
        <w:t xml:space="preserve">The policies listed must be board approved.  An important note to remember is that the policy </w:t>
      </w:r>
      <w:proofErr w:type="gramStart"/>
      <w:r w:rsidRPr="00694E8B">
        <w:rPr>
          <w:rFonts w:ascii="Garamond" w:hAnsi="Garamond"/>
          <w:iCs/>
          <w:sz w:val="24"/>
          <w:szCs w:val="24"/>
        </w:rPr>
        <w:t>has to</w:t>
      </w:r>
      <w:proofErr w:type="gramEnd"/>
      <w:r w:rsidRPr="00694E8B">
        <w:rPr>
          <w:rFonts w:ascii="Garamond" w:hAnsi="Garamond"/>
          <w:iCs/>
          <w:sz w:val="24"/>
          <w:szCs w:val="24"/>
        </w:rPr>
        <w:t xml:space="preserve"> move beyond just </w:t>
      </w:r>
      <w:r w:rsidR="005F15AC" w:rsidRPr="00694E8B">
        <w:rPr>
          <w:rFonts w:ascii="Garamond" w:hAnsi="Garamond"/>
          <w:iCs/>
          <w:sz w:val="24"/>
          <w:szCs w:val="24"/>
        </w:rPr>
        <w:t>“</w:t>
      </w:r>
      <w:r w:rsidRPr="00694E8B">
        <w:rPr>
          <w:rFonts w:ascii="Garamond" w:hAnsi="Garamond"/>
          <w:iCs/>
          <w:sz w:val="24"/>
          <w:szCs w:val="24"/>
        </w:rPr>
        <w:t>ensuring</w:t>
      </w:r>
      <w:r w:rsidR="005F15AC" w:rsidRPr="00694E8B">
        <w:rPr>
          <w:rFonts w:ascii="Garamond" w:hAnsi="Garamond"/>
          <w:iCs/>
          <w:sz w:val="24"/>
          <w:szCs w:val="24"/>
        </w:rPr>
        <w:t>” to specific details</w:t>
      </w:r>
      <w:r w:rsidRPr="00694E8B">
        <w:rPr>
          <w:rFonts w:ascii="Garamond" w:hAnsi="Garamond"/>
          <w:iCs/>
          <w:sz w:val="24"/>
          <w:szCs w:val="24"/>
        </w:rPr>
        <w:t xml:space="preserve"> as to how equitable distribution will occur and how it will be measured.  </w:t>
      </w:r>
    </w:p>
    <w:p w14:paraId="1D7A1CE5" w14:textId="276ED4C1" w:rsidR="00D31CE3" w:rsidRPr="00694E8B" w:rsidRDefault="00D31CE3" w:rsidP="00D31CE3">
      <w:pPr>
        <w:ind w:left="360"/>
        <w:rPr>
          <w:rFonts w:ascii="Garamond" w:hAnsi="Garamond"/>
          <w:iCs/>
          <w:sz w:val="24"/>
          <w:szCs w:val="24"/>
        </w:rPr>
      </w:pPr>
      <w:r w:rsidRPr="00694E8B">
        <w:rPr>
          <w:rFonts w:ascii="Garamond" w:hAnsi="Garamond"/>
          <w:iCs/>
          <w:sz w:val="24"/>
          <w:szCs w:val="24"/>
        </w:rPr>
        <w:t xml:space="preserve">It is encouraged that if you choose to pursue </w:t>
      </w:r>
      <w:r w:rsidR="004041A0">
        <w:rPr>
          <w:rFonts w:ascii="Garamond" w:hAnsi="Garamond"/>
          <w:iCs/>
          <w:sz w:val="24"/>
          <w:szCs w:val="24"/>
        </w:rPr>
        <w:t>Comparability Equivalence Exemption</w:t>
      </w:r>
      <w:r w:rsidR="001C25F4" w:rsidRPr="00694E8B">
        <w:rPr>
          <w:rFonts w:ascii="Garamond" w:hAnsi="Garamond"/>
          <w:iCs/>
          <w:sz w:val="24"/>
          <w:szCs w:val="24"/>
        </w:rPr>
        <w:t xml:space="preserve">, an </w:t>
      </w:r>
      <w:r w:rsidRPr="00694E8B">
        <w:rPr>
          <w:rFonts w:ascii="Garamond" w:hAnsi="Garamond"/>
          <w:iCs/>
          <w:sz w:val="24"/>
          <w:szCs w:val="24"/>
        </w:rPr>
        <w:t xml:space="preserve">email </w:t>
      </w:r>
      <w:r w:rsidR="001C25F4" w:rsidRPr="00694E8B">
        <w:rPr>
          <w:rFonts w:ascii="Garamond" w:hAnsi="Garamond"/>
          <w:iCs/>
          <w:sz w:val="24"/>
          <w:szCs w:val="24"/>
        </w:rPr>
        <w:t xml:space="preserve">be sent to </w:t>
      </w:r>
      <w:r w:rsidR="008A0681">
        <w:rPr>
          <w:rFonts w:ascii="Garamond" w:hAnsi="Garamond"/>
          <w:iCs/>
          <w:sz w:val="24"/>
          <w:szCs w:val="24"/>
        </w:rPr>
        <w:t>your Regional Program Administrator</w:t>
      </w:r>
      <w:r w:rsidR="001B1F3B" w:rsidRPr="00694E8B">
        <w:rPr>
          <w:rFonts w:ascii="Garamond" w:hAnsi="Garamond"/>
          <w:iCs/>
          <w:sz w:val="24"/>
          <w:szCs w:val="24"/>
        </w:rPr>
        <w:t xml:space="preserve"> </w:t>
      </w:r>
      <w:r w:rsidR="006A451F" w:rsidRPr="00694E8B">
        <w:rPr>
          <w:rFonts w:ascii="Garamond" w:hAnsi="Garamond"/>
          <w:iCs/>
          <w:sz w:val="24"/>
          <w:szCs w:val="24"/>
        </w:rPr>
        <w:t>including the</w:t>
      </w:r>
      <w:r w:rsidRPr="00694E8B">
        <w:rPr>
          <w:rFonts w:ascii="Garamond" w:hAnsi="Garamond"/>
          <w:iCs/>
          <w:sz w:val="24"/>
          <w:szCs w:val="24"/>
        </w:rPr>
        <w:t xml:space="preserve"> policies listed above. </w:t>
      </w:r>
      <w:r w:rsidR="006A451F" w:rsidRPr="00694E8B">
        <w:rPr>
          <w:rFonts w:ascii="Garamond" w:hAnsi="Garamond"/>
          <w:iCs/>
          <w:sz w:val="24"/>
          <w:szCs w:val="24"/>
        </w:rPr>
        <w:t>F</w:t>
      </w:r>
      <w:r w:rsidRPr="00694E8B">
        <w:rPr>
          <w:rFonts w:ascii="Garamond" w:hAnsi="Garamond"/>
          <w:iCs/>
          <w:sz w:val="24"/>
          <w:szCs w:val="24"/>
        </w:rPr>
        <w:t xml:space="preserve">eedback </w:t>
      </w:r>
      <w:r w:rsidR="006A451F" w:rsidRPr="00694E8B">
        <w:rPr>
          <w:rFonts w:ascii="Garamond" w:hAnsi="Garamond"/>
          <w:iCs/>
          <w:sz w:val="24"/>
          <w:szCs w:val="24"/>
        </w:rPr>
        <w:t xml:space="preserve">will </w:t>
      </w:r>
      <w:r w:rsidRPr="00694E8B">
        <w:rPr>
          <w:rFonts w:ascii="Garamond" w:hAnsi="Garamond"/>
          <w:iCs/>
          <w:sz w:val="24"/>
          <w:szCs w:val="24"/>
        </w:rPr>
        <w:t>be given on the policies</w:t>
      </w:r>
      <w:r w:rsidR="006A451F" w:rsidRPr="00694E8B">
        <w:rPr>
          <w:rFonts w:ascii="Garamond" w:hAnsi="Garamond"/>
          <w:iCs/>
          <w:sz w:val="24"/>
          <w:szCs w:val="24"/>
        </w:rPr>
        <w:t xml:space="preserve"> as </w:t>
      </w:r>
      <w:r w:rsidR="005F15AC" w:rsidRPr="00694E8B">
        <w:rPr>
          <w:rFonts w:ascii="Garamond" w:hAnsi="Garamond"/>
          <w:iCs/>
          <w:sz w:val="24"/>
          <w:szCs w:val="24"/>
        </w:rPr>
        <w:t>to let you know if</w:t>
      </w:r>
      <w:r w:rsidR="006A451F" w:rsidRPr="00694E8B">
        <w:rPr>
          <w:rFonts w:ascii="Garamond" w:hAnsi="Garamond"/>
          <w:iCs/>
          <w:sz w:val="24"/>
          <w:szCs w:val="24"/>
        </w:rPr>
        <w:t xml:space="preserve"> they meet the comparability requirements</w:t>
      </w:r>
      <w:r w:rsidRPr="00694E8B">
        <w:rPr>
          <w:rFonts w:ascii="Garamond" w:hAnsi="Garamond"/>
          <w:iCs/>
          <w:sz w:val="24"/>
          <w:szCs w:val="24"/>
        </w:rPr>
        <w:t xml:space="preserve">.  </w:t>
      </w:r>
      <w:r w:rsidR="006A451F" w:rsidRPr="00694E8B">
        <w:rPr>
          <w:rFonts w:ascii="Garamond" w:hAnsi="Garamond"/>
          <w:iCs/>
          <w:sz w:val="24"/>
          <w:szCs w:val="24"/>
        </w:rPr>
        <w:t xml:space="preserve">If the policies </w:t>
      </w:r>
      <w:r w:rsidR="00E53A58" w:rsidRPr="00694E8B">
        <w:rPr>
          <w:rFonts w:ascii="Garamond" w:hAnsi="Garamond"/>
          <w:iCs/>
          <w:sz w:val="24"/>
          <w:szCs w:val="24"/>
        </w:rPr>
        <w:t xml:space="preserve">do not meet the specificity required to demonstrate comparability, time needs to be allowed to complete the comparability worksheet.   </w:t>
      </w:r>
      <w:r w:rsidRPr="00694E8B">
        <w:rPr>
          <w:rFonts w:ascii="Garamond" w:hAnsi="Garamond"/>
          <w:iCs/>
          <w:sz w:val="24"/>
          <w:szCs w:val="24"/>
        </w:rPr>
        <w:t xml:space="preserve">  </w:t>
      </w:r>
    </w:p>
    <w:p w14:paraId="061C01A1" w14:textId="2C82AB37" w:rsidR="00FE717F" w:rsidRPr="000C0479" w:rsidRDefault="00167FF1" w:rsidP="000C0479">
      <w:pPr>
        <w:pStyle w:val="ListParagraph"/>
        <w:numPr>
          <w:ilvl w:val="0"/>
          <w:numId w:val="1"/>
        </w:numPr>
        <w:rPr>
          <w:rFonts w:ascii="Garamond" w:hAnsi="Garamond"/>
          <w:b/>
          <w:sz w:val="24"/>
          <w:szCs w:val="24"/>
        </w:rPr>
      </w:pPr>
      <w:r>
        <w:rPr>
          <w:rFonts w:ascii="Garamond" w:hAnsi="Garamond"/>
          <w:b/>
          <w:sz w:val="24"/>
          <w:szCs w:val="24"/>
        </w:rPr>
        <w:t>Should only one form be used to demonstrate comparability?</w:t>
      </w:r>
    </w:p>
    <w:p w14:paraId="4DEE1787" w14:textId="3C7B0112" w:rsidR="00FE717F" w:rsidRPr="008807A7" w:rsidRDefault="00717D29" w:rsidP="00167FF1">
      <w:pPr>
        <w:ind w:left="360"/>
        <w:rPr>
          <w:rFonts w:ascii="Garamond" w:hAnsi="Garamond"/>
          <w:iCs/>
          <w:sz w:val="24"/>
          <w:szCs w:val="24"/>
          <w:u w:val="single"/>
        </w:rPr>
      </w:pPr>
      <w:r w:rsidRPr="00694E8B">
        <w:rPr>
          <w:rFonts w:ascii="Garamond" w:hAnsi="Garamond"/>
          <w:iCs/>
          <w:sz w:val="24"/>
          <w:szCs w:val="24"/>
        </w:rPr>
        <w:t xml:space="preserve">One comparability form (A-D) should be used for each school grouping within the </w:t>
      </w:r>
      <w:r w:rsidR="001B1F3B" w:rsidRPr="00694E8B">
        <w:rPr>
          <w:rFonts w:ascii="Garamond" w:hAnsi="Garamond"/>
          <w:iCs/>
          <w:sz w:val="24"/>
          <w:szCs w:val="24"/>
        </w:rPr>
        <w:t>PSU</w:t>
      </w:r>
      <w:r w:rsidR="001D58A7" w:rsidRPr="00694E8B">
        <w:rPr>
          <w:rFonts w:ascii="Garamond" w:hAnsi="Garamond"/>
          <w:iCs/>
          <w:sz w:val="24"/>
          <w:szCs w:val="24"/>
        </w:rPr>
        <w:t>.</w:t>
      </w:r>
      <w:r w:rsidRPr="00694E8B">
        <w:rPr>
          <w:rFonts w:ascii="Garamond" w:hAnsi="Garamond"/>
          <w:iCs/>
          <w:sz w:val="24"/>
          <w:szCs w:val="24"/>
        </w:rPr>
        <w:t xml:space="preserve">  </w:t>
      </w:r>
      <w:r w:rsidR="001B1F3B" w:rsidRPr="00694E8B">
        <w:rPr>
          <w:rFonts w:ascii="Garamond" w:hAnsi="Garamond"/>
          <w:iCs/>
          <w:sz w:val="24"/>
          <w:szCs w:val="24"/>
        </w:rPr>
        <w:t>PSU</w:t>
      </w:r>
      <w:r w:rsidRPr="00694E8B">
        <w:rPr>
          <w:rFonts w:ascii="Garamond" w:hAnsi="Garamond"/>
          <w:iCs/>
          <w:sz w:val="24"/>
          <w:szCs w:val="24"/>
        </w:rPr>
        <w:t>s are allowed to group all schools into one grouping or to group based on grade span or school size or bo</w:t>
      </w:r>
      <w:r w:rsidR="00E53A58" w:rsidRPr="00694E8B">
        <w:rPr>
          <w:rFonts w:ascii="Garamond" w:hAnsi="Garamond"/>
          <w:iCs/>
          <w:sz w:val="24"/>
          <w:szCs w:val="24"/>
        </w:rPr>
        <w:t xml:space="preserve">th grade span and school size.  </w:t>
      </w:r>
      <w:r w:rsidR="00E53A58" w:rsidRPr="008807A7">
        <w:rPr>
          <w:rFonts w:ascii="Garamond" w:hAnsi="Garamond"/>
          <w:iCs/>
          <w:sz w:val="24"/>
          <w:szCs w:val="24"/>
          <w:u w:val="single"/>
        </w:rPr>
        <w:t xml:space="preserve">All forms not used </w:t>
      </w:r>
      <w:r w:rsidR="008F32AE" w:rsidRPr="008807A7">
        <w:rPr>
          <w:rFonts w:ascii="Garamond" w:hAnsi="Garamond"/>
          <w:iCs/>
          <w:sz w:val="24"/>
          <w:szCs w:val="24"/>
          <w:u w:val="single"/>
        </w:rPr>
        <w:t>should be deleted prior to uploading report into CCIP</w:t>
      </w:r>
      <w:r w:rsidR="008807A7">
        <w:rPr>
          <w:rFonts w:ascii="Garamond" w:hAnsi="Garamond"/>
          <w:iCs/>
          <w:sz w:val="24"/>
          <w:szCs w:val="24"/>
          <w:u w:val="single"/>
        </w:rPr>
        <w:t>.</w:t>
      </w:r>
    </w:p>
    <w:p w14:paraId="29FB864E" w14:textId="0AD0CD72" w:rsidR="00934086" w:rsidRDefault="00167FF1" w:rsidP="00FE717F">
      <w:pPr>
        <w:pStyle w:val="ListParagraph"/>
        <w:numPr>
          <w:ilvl w:val="0"/>
          <w:numId w:val="1"/>
        </w:numPr>
        <w:spacing w:after="0" w:line="240" w:lineRule="auto"/>
        <w:rPr>
          <w:rFonts w:ascii="Times New Roman" w:eastAsia="Arial Unicode MS" w:hAnsi="Times New Roman" w:cs="Times New Roman"/>
          <w:b/>
          <w:sz w:val="24"/>
        </w:rPr>
      </w:pPr>
      <w:r>
        <w:rPr>
          <w:rFonts w:ascii="Times New Roman" w:eastAsia="Arial Unicode MS" w:hAnsi="Times New Roman" w:cs="Times New Roman"/>
          <w:b/>
          <w:sz w:val="24"/>
        </w:rPr>
        <w:t>How is a school that bridges multiple grade spans reported</w:t>
      </w:r>
      <w:r w:rsidR="00934086">
        <w:rPr>
          <w:rFonts w:ascii="Times New Roman" w:eastAsia="Arial Unicode MS" w:hAnsi="Times New Roman" w:cs="Times New Roman"/>
          <w:b/>
          <w:sz w:val="24"/>
        </w:rPr>
        <w:t>?</w:t>
      </w:r>
    </w:p>
    <w:p w14:paraId="315C2931" w14:textId="77777777" w:rsidR="001D58A7" w:rsidRDefault="001D58A7" w:rsidP="001D58A7">
      <w:pPr>
        <w:pStyle w:val="ListParagraph"/>
        <w:spacing w:after="0" w:line="240" w:lineRule="auto"/>
        <w:ind w:left="360"/>
        <w:rPr>
          <w:rFonts w:ascii="Times New Roman" w:eastAsia="Arial Unicode MS" w:hAnsi="Times New Roman" w:cs="Times New Roman"/>
          <w:b/>
          <w:sz w:val="24"/>
        </w:rPr>
      </w:pPr>
    </w:p>
    <w:p w14:paraId="37A501E3" w14:textId="33D344F5" w:rsidR="001D58A7" w:rsidRPr="00694E8B" w:rsidRDefault="00C03FC8" w:rsidP="001D58A7">
      <w:pPr>
        <w:pStyle w:val="ListParagraph"/>
        <w:spacing w:after="0" w:line="240" w:lineRule="auto"/>
        <w:ind w:left="360"/>
        <w:rPr>
          <w:rFonts w:ascii="Garamond" w:eastAsia="Arial Unicode MS" w:hAnsi="Garamond" w:cs="Times New Roman"/>
          <w:iCs/>
          <w:sz w:val="24"/>
        </w:rPr>
      </w:pPr>
      <w:r w:rsidRPr="00694E8B">
        <w:rPr>
          <w:rFonts w:ascii="Garamond" w:eastAsia="Arial Unicode MS" w:hAnsi="Garamond" w:cs="Times New Roman"/>
          <w:iCs/>
          <w:sz w:val="24"/>
        </w:rPr>
        <w:t xml:space="preserve">A school that bridges multiple grade spans should be compared </w:t>
      </w:r>
      <w:r w:rsidR="005F15AC" w:rsidRPr="00694E8B">
        <w:rPr>
          <w:rFonts w:ascii="Garamond" w:eastAsia="Arial Unicode MS" w:hAnsi="Garamond" w:cs="Times New Roman"/>
          <w:iCs/>
          <w:sz w:val="24"/>
        </w:rPr>
        <w:t>with</w:t>
      </w:r>
      <w:r w:rsidR="003D03C9" w:rsidRPr="00694E8B">
        <w:rPr>
          <w:rFonts w:ascii="Garamond" w:eastAsia="Arial Unicode MS" w:hAnsi="Garamond" w:cs="Times New Roman"/>
          <w:iCs/>
          <w:sz w:val="24"/>
        </w:rPr>
        <w:t xml:space="preserve"> </w:t>
      </w:r>
      <w:r w:rsidRPr="00694E8B">
        <w:rPr>
          <w:rFonts w:ascii="Garamond" w:eastAsia="Arial Unicode MS" w:hAnsi="Garamond" w:cs="Times New Roman"/>
          <w:iCs/>
          <w:sz w:val="24"/>
        </w:rPr>
        <w:t xml:space="preserve">the grade span most like the bridge school.  For example, a school that serves grades 4-8 overlaps both the elementary and middle grade spans.  The </w:t>
      </w:r>
      <w:r w:rsidR="001B1F3B" w:rsidRPr="00694E8B">
        <w:rPr>
          <w:rFonts w:ascii="Garamond" w:eastAsia="Arial Unicode MS" w:hAnsi="Garamond" w:cs="Times New Roman"/>
          <w:iCs/>
          <w:sz w:val="24"/>
        </w:rPr>
        <w:t>PSU</w:t>
      </w:r>
      <w:r w:rsidRPr="00694E8B">
        <w:rPr>
          <w:rFonts w:ascii="Garamond" w:eastAsia="Arial Unicode MS" w:hAnsi="Garamond" w:cs="Times New Roman"/>
          <w:iCs/>
          <w:sz w:val="24"/>
        </w:rPr>
        <w:t xml:space="preserve"> would make the determination of the most appropriate group to place the school (elementary or middle).  </w:t>
      </w:r>
    </w:p>
    <w:p w14:paraId="50462713" w14:textId="77777777" w:rsidR="001D58A7" w:rsidRPr="001D58A7" w:rsidRDefault="001D58A7" w:rsidP="001D58A7">
      <w:pPr>
        <w:pStyle w:val="ListParagraph"/>
        <w:spacing w:after="0" w:line="240" w:lineRule="auto"/>
        <w:ind w:left="360"/>
        <w:rPr>
          <w:rFonts w:ascii="Garamond" w:eastAsia="Arial Unicode MS" w:hAnsi="Garamond" w:cs="Times New Roman"/>
          <w:i/>
          <w:sz w:val="24"/>
        </w:rPr>
      </w:pPr>
    </w:p>
    <w:p w14:paraId="2E55D3ED" w14:textId="6C49D456" w:rsidR="00ED5235" w:rsidRDefault="00167FF1" w:rsidP="00FE717F">
      <w:pPr>
        <w:pStyle w:val="ListParagraph"/>
        <w:numPr>
          <w:ilvl w:val="0"/>
          <w:numId w:val="1"/>
        </w:numPr>
        <w:spacing w:after="0" w:line="240" w:lineRule="auto"/>
        <w:rPr>
          <w:rFonts w:ascii="Times New Roman" w:eastAsia="Arial Unicode MS" w:hAnsi="Times New Roman" w:cs="Times New Roman"/>
          <w:b/>
          <w:sz w:val="24"/>
        </w:rPr>
      </w:pPr>
      <w:r>
        <w:rPr>
          <w:rFonts w:ascii="Times New Roman" w:eastAsia="Arial Unicode MS" w:hAnsi="Times New Roman" w:cs="Times New Roman"/>
          <w:b/>
          <w:sz w:val="24"/>
        </w:rPr>
        <w:lastRenderedPageBreak/>
        <w:t xml:space="preserve">Will the PowerPoint be </w:t>
      </w:r>
      <w:r w:rsidR="000F2A21">
        <w:rPr>
          <w:rFonts w:ascii="Times New Roman" w:eastAsia="Arial Unicode MS" w:hAnsi="Times New Roman" w:cs="Times New Roman"/>
          <w:b/>
          <w:sz w:val="24"/>
        </w:rPr>
        <w:t>shared</w:t>
      </w:r>
      <w:r w:rsidR="001D58A7">
        <w:rPr>
          <w:rFonts w:ascii="Times New Roman" w:eastAsia="Arial Unicode MS" w:hAnsi="Times New Roman" w:cs="Times New Roman"/>
          <w:b/>
          <w:sz w:val="24"/>
        </w:rPr>
        <w:t xml:space="preserve">? </w:t>
      </w:r>
    </w:p>
    <w:p w14:paraId="2DB004A3" w14:textId="77777777" w:rsidR="00ED5235" w:rsidRDefault="00ED5235" w:rsidP="00ED5235">
      <w:pPr>
        <w:pStyle w:val="ListParagraph"/>
        <w:spacing w:after="0" w:line="240" w:lineRule="auto"/>
        <w:ind w:left="360"/>
        <w:rPr>
          <w:rFonts w:ascii="Times New Roman" w:eastAsia="Arial Unicode MS" w:hAnsi="Times New Roman" w:cs="Times New Roman"/>
          <w:b/>
          <w:sz w:val="24"/>
        </w:rPr>
      </w:pPr>
    </w:p>
    <w:p w14:paraId="5255C49A" w14:textId="50024288" w:rsidR="00C72D41" w:rsidRPr="00694E8B" w:rsidRDefault="00C03FC8" w:rsidP="0085720F">
      <w:pPr>
        <w:pStyle w:val="ListParagraph"/>
        <w:spacing w:after="0" w:line="240" w:lineRule="auto"/>
        <w:ind w:left="360"/>
        <w:rPr>
          <w:rFonts w:ascii="Garamond" w:eastAsia="Arial Unicode MS" w:hAnsi="Garamond" w:cs="Times New Roman"/>
          <w:iCs/>
          <w:sz w:val="24"/>
        </w:rPr>
      </w:pPr>
      <w:r w:rsidRPr="00694E8B">
        <w:rPr>
          <w:rFonts w:ascii="Garamond" w:eastAsia="Arial Unicode MS" w:hAnsi="Garamond" w:cs="Times New Roman"/>
          <w:iCs/>
          <w:sz w:val="24"/>
        </w:rPr>
        <w:t xml:space="preserve">The PowerPoint and this FAQ will be posted on the “resource” page of the Federal Program Monitoring and Support webpage.  </w:t>
      </w:r>
      <w:r w:rsidR="00ED5235" w:rsidRPr="00694E8B">
        <w:rPr>
          <w:rFonts w:ascii="Garamond" w:eastAsia="Arial Unicode MS" w:hAnsi="Garamond" w:cs="Times New Roman"/>
          <w:iCs/>
          <w:sz w:val="24"/>
        </w:rPr>
        <w:t xml:space="preserve">  </w:t>
      </w:r>
    </w:p>
    <w:sectPr w:rsidR="00C72D41" w:rsidRPr="00694E8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D2F4A" w14:textId="77777777" w:rsidR="00242EE8" w:rsidRDefault="00242EE8" w:rsidP="0073156D">
      <w:pPr>
        <w:spacing w:after="0" w:line="240" w:lineRule="auto"/>
      </w:pPr>
      <w:r>
        <w:separator/>
      </w:r>
    </w:p>
  </w:endnote>
  <w:endnote w:type="continuationSeparator" w:id="0">
    <w:p w14:paraId="63D828A9" w14:textId="77777777" w:rsidR="00242EE8" w:rsidRDefault="00242EE8" w:rsidP="00731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AD978" w14:textId="6621C39E" w:rsidR="00A37284" w:rsidRPr="00E70472" w:rsidRDefault="005200E5">
    <w:pPr>
      <w:pStyle w:val="Footer"/>
      <w:rPr>
        <w:rFonts w:ascii="Times New Roman" w:hAnsi="Times New Roman" w:cs="Times New Roman"/>
      </w:rPr>
    </w:pPr>
    <w:r>
      <w:rPr>
        <w:rFonts w:ascii="Times New Roman" w:hAnsi="Times New Roman" w:cs="Times New Roman"/>
      </w:rPr>
      <w:t>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83A29" w14:textId="77777777" w:rsidR="00242EE8" w:rsidRDefault="00242EE8" w:rsidP="0073156D">
      <w:pPr>
        <w:spacing w:after="0" w:line="240" w:lineRule="auto"/>
      </w:pPr>
      <w:r>
        <w:separator/>
      </w:r>
    </w:p>
  </w:footnote>
  <w:footnote w:type="continuationSeparator" w:id="0">
    <w:p w14:paraId="777DE3C0" w14:textId="77777777" w:rsidR="00242EE8" w:rsidRDefault="00242EE8" w:rsidP="007315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58448" w14:textId="6A6DC7B4" w:rsidR="0073156D" w:rsidRPr="0073156D" w:rsidRDefault="00167FF1" w:rsidP="0073156D">
    <w:pPr>
      <w:pStyle w:val="Header"/>
      <w:jc w:val="center"/>
      <w:rPr>
        <w:rFonts w:ascii="Garamond" w:hAnsi="Garamond"/>
        <w:b/>
        <w:sz w:val="28"/>
      </w:rPr>
    </w:pPr>
    <w:r>
      <w:rPr>
        <w:rFonts w:ascii="Garamond" w:hAnsi="Garamond"/>
        <w:b/>
        <w:sz w:val="28"/>
      </w:rPr>
      <w:t>Comparability</w:t>
    </w:r>
    <w:r w:rsidR="00A37284">
      <w:rPr>
        <w:rFonts w:ascii="Garamond" w:hAnsi="Garamond"/>
        <w:b/>
        <w:sz w:val="28"/>
      </w:rPr>
      <w:t xml:space="preserve"> 202</w:t>
    </w:r>
    <w:r w:rsidR="0002541F">
      <w:rPr>
        <w:rFonts w:ascii="Garamond" w:hAnsi="Garamond"/>
        <w:b/>
        <w:sz w:val="28"/>
      </w:rPr>
      <w:t>3</w:t>
    </w:r>
    <w:r w:rsidR="00A37284">
      <w:rPr>
        <w:rFonts w:ascii="Garamond" w:hAnsi="Garamond"/>
        <w:b/>
        <w:sz w:val="28"/>
      </w:rPr>
      <w:t>-202</w:t>
    </w:r>
    <w:r w:rsidR="0002541F">
      <w:rPr>
        <w:rFonts w:ascii="Garamond" w:hAnsi="Garamond"/>
        <w:b/>
        <w:sz w:val="28"/>
      </w:rPr>
      <w:t>4</w:t>
    </w:r>
  </w:p>
  <w:p w14:paraId="1E00AAF4" w14:textId="77777777" w:rsidR="0073156D" w:rsidRPr="0073156D" w:rsidRDefault="0073156D" w:rsidP="0073156D">
    <w:pPr>
      <w:pStyle w:val="Header"/>
      <w:jc w:val="center"/>
      <w:rPr>
        <w:rFonts w:ascii="Garamond" w:hAnsi="Garamond"/>
        <w:b/>
        <w:sz w:val="28"/>
      </w:rPr>
    </w:pPr>
    <w:r w:rsidRPr="0073156D">
      <w:rPr>
        <w:rFonts w:ascii="Garamond" w:hAnsi="Garamond"/>
        <w:b/>
        <w:sz w:val="28"/>
      </w:rPr>
      <w:t>Frequently Asked Questions (FAQs)</w:t>
    </w:r>
  </w:p>
  <w:p w14:paraId="1AAB2297" w14:textId="257CE723" w:rsidR="0073156D" w:rsidRPr="0073156D" w:rsidRDefault="0073156D" w:rsidP="0073156D">
    <w:pPr>
      <w:pStyle w:val="Header"/>
      <w:jc w:val="center"/>
      <w:rPr>
        <w:rFonts w:ascii="Garamond" w:hAnsi="Garamond"/>
        <w:b/>
        <w:sz w:val="28"/>
      </w:rPr>
    </w:pPr>
  </w:p>
  <w:p w14:paraId="325ACD6D" w14:textId="77777777" w:rsidR="0073156D" w:rsidRDefault="007315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7A84B22"/>
    <w:multiLevelType w:val="hybridMultilevel"/>
    <w:tmpl w:val="5568D8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80B6B8A"/>
    <w:multiLevelType w:val="hybridMultilevel"/>
    <w:tmpl w:val="793C7BE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1B346F"/>
    <w:multiLevelType w:val="hybridMultilevel"/>
    <w:tmpl w:val="BBF2D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22139BA"/>
    <w:multiLevelType w:val="hybridMultilevel"/>
    <w:tmpl w:val="88C6735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488208080">
    <w:abstractNumId w:val="2"/>
  </w:num>
  <w:num w:numId="2" w16cid:durableId="1730492406">
    <w:abstractNumId w:val="1"/>
  </w:num>
  <w:num w:numId="3" w16cid:durableId="465783509">
    <w:abstractNumId w:val="3"/>
  </w:num>
  <w:num w:numId="4" w16cid:durableId="1222524620">
    <w:abstractNumId w:val="0"/>
  </w:num>
  <w:num w:numId="5" w16cid:durableId="15134500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D41"/>
    <w:rsid w:val="00007B98"/>
    <w:rsid w:val="0002541F"/>
    <w:rsid w:val="0003026E"/>
    <w:rsid w:val="000971F8"/>
    <w:rsid w:val="000B00A3"/>
    <w:rsid w:val="000C0479"/>
    <w:rsid w:val="000C3BB3"/>
    <w:rsid w:val="000C7EF4"/>
    <w:rsid w:val="000D1CC2"/>
    <w:rsid w:val="000F2A21"/>
    <w:rsid w:val="00140635"/>
    <w:rsid w:val="00155E4B"/>
    <w:rsid w:val="00167FF1"/>
    <w:rsid w:val="001B1F3B"/>
    <w:rsid w:val="001B71B1"/>
    <w:rsid w:val="001C25F4"/>
    <w:rsid w:val="001D58A7"/>
    <w:rsid w:val="0021532F"/>
    <w:rsid w:val="00234293"/>
    <w:rsid w:val="00242EE8"/>
    <w:rsid w:val="002A59C1"/>
    <w:rsid w:val="002C08BA"/>
    <w:rsid w:val="002C5C23"/>
    <w:rsid w:val="003418F3"/>
    <w:rsid w:val="00360530"/>
    <w:rsid w:val="00382672"/>
    <w:rsid w:val="00384725"/>
    <w:rsid w:val="003A4A81"/>
    <w:rsid w:val="003B6E78"/>
    <w:rsid w:val="003D03C9"/>
    <w:rsid w:val="004041A0"/>
    <w:rsid w:val="0047570F"/>
    <w:rsid w:val="0048518F"/>
    <w:rsid w:val="004C182E"/>
    <w:rsid w:val="004E7E08"/>
    <w:rsid w:val="00511848"/>
    <w:rsid w:val="00515953"/>
    <w:rsid w:val="005200E5"/>
    <w:rsid w:val="005A4243"/>
    <w:rsid w:val="005F15AC"/>
    <w:rsid w:val="005F4414"/>
    <w:rsid w:val="006339A3"/>
    <w:rsid w:val="00694E8B"/>
    <w:rsid w:val="006A3115"/>
    <w:rsid w:val="006A451F"/>
    <w:rsid w:val="006C1161"/>
    <w:rsid w:val="006D7625"/>
    <w:rsid w:val="006E73D4"/>
    <w:rsid w:val="00717D29"/>
    <w:rsid w:val="0073156D"/>
    <w:rsid w:val="00782CA6"/>
    <w:rsid w:val="008120FB"/>
    <w:rsid w:val="00814567"/>
    <w:rsid w:val="0085720F"/>
    <w:rsid w:val="008807A7"/>
    <w:rsid w:val="00884D3C"/>
    <w:rsid w:val="008A0681"/>
    <w:rsid w:val="008B4CB9"/>
    <w:rsid w:val="008E4A56"/>
    <w:rsid w:val="008E5470"/>
    <w:rsid w:val="008F32AE"/>
    <w:rsid w:val="008F45E2"/>
    <w:rsid w:val="009036FF"/>
    <w:rsid w:val="00907A5D"/>
    <w:rsid w:val="00934086"/>
    <w:rsid w:val="009417F3"/>
    <w:rsid w:val="00A07E07"/>
    <w:rsid w:val="00A23A04"/>
    <w:rsid w:val="00A27861"/>
    <w:rsid w:val="00A37284"/>
    <w:rsid w:val="00A67F6D"/>
    <w:rsid w:val="00AB17DB"/>
    <w:rsid w:val="00AD1163"/>
    <w:rsid w:val="00AE1F71"/>
    <w:rsid w:val="00B25045"/>
    <w:rsid w:val="00B7499D"/>
    <w:rsid w:val="00B96EF1"/>
    <w:rsid w:val="00B97C1C"/>
    <w:rsid w:val="00BA1FBB"/>
    <w:rsid w:val="00BB553D"/>
    <w:rsid w:val="00C03FC8"/>
    <w:rsid w:val="00C12A4F"/>
    <w:rsid w:val="00C12EC0"/>
    <w:rsid w:val="00C42DF8"/>
    <w:rsid w:val="00C72D41"/>
    <w:rsid w:val="00C85E0F"/>
    <w:rsid w:val="00CA0E54"/>
    <w:rsid w:val="00CA7A07"/>
    <w:rsid w:val="00D31CE3"/>
    <w:rsid w:val="00D5342A"/>
    <w:rsid w:val="00D538B9"/>
    <w:rsid w:val="00D91CC8"/>
    <w:rsid w:val="00E07476"/>
    <w:rsid w:val="00E17204"/>
    <w:rsid w:val="00E53A58"/>
    <w:rsid w:val="00E70472"/>
    <w:rsid w:val="00EA1E67"/>
    <w:rsid w:val="00ED5235"/>
    <w:rsid w:val="00F00598"/>
    <w:rsid w:val="00F80C89"/>
    <w:rsid w:val="00F9386F"/>
    <w:rsid w:val="00FC2D40"/>
    <w:rsid w:val="00FD65A1"/>
    <w:rsid w:val="00FE52CB"/>
    <w:rsid w:val="00FE7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1F9EA6"/>
  <w15:docId w15:val="{528766B6-1B5D-498A-9172-2513354CF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56D"/>
    <w:pPr>
      <w:ind w:left="720"/>
      <w:contextualSpacing/>
    </w:pPr>
  </w:style>
  <w:style w:type="paragraph" w:styleId="Header">
    <w:name w:val="header"/>
    <w:basedOn w:val="Normal"/>
    <w:link w:val="HeaderChar"/>
    <w:uiPriority w:val="99"/>
    <w:unhideWhenUsed/>
    <w:rsid w:val="007315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56D"/>
  </w:style>
  <w:style w:type="paragraph" w:styleId="Footer">
    <w:name w:val="footer"/>
    <w:basedOn w:val="Normal"/>
    <w:link w:val="FooterChar"/>
    <w:uiPriority w:val="99"/>
    <w:unhideWhenUsed/>
    <w:rsid w:val="007315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56D"/>
  </w:style>
  <w:style w:type="character" w:styleId="Hyperlink">
    <w:name w:val="Hyperlink"/>
    <w:basedOn w:val="DefaultParagraphFont"/>
    <w:uiPriority w:val="99"/>
    <w:unhideWhenUsed/>
    <w:rsid w:val="00B96EF1"/>
    <w:rPr>
      <w:color w:val="0563C1" w:themeColor="hyperlink"/>
      <w:u w:val="single"/>
    </w:rPr>
  </w:style>
  <w:style w:type="character" w:styleId="FollowedHyperlink">
    <w:name w:val="FollowedHyperlink"/>
    <w:basedOn w:val="DefaultParagraphFont"/>
    <w:uiPriority w:val="99"/>
    <w:semiHidden/>
    <w:unhideWhenUsed/>
    <w:rsid w:val="00D31CE3"/>
    <w:rPr>
      <w:color w:val="954F72" w:themeColor="followedHyperlink"/>
      <w:u w:val="single"/>
    </w:rPr>
  </w:style>
  <w:style w:type="character" w:styleId="UnresolvedMention">
    <w:name w:val="Unresolved Mention"/>
    <w:basedOn w:val="DefaultParagraphFont"/>
    <w:uiPriority w:val="99"/>
    <w:rsid w:val="001B1F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234010">
      <w:bodyDiv w:val="1"/>
      <w:marLeft w:val="0"/>
      <w:marRight w:val="0"/>
      <w:marTop w:val="0"/>
      <w:marBottom w:val="0"/>
      <w:divBdr>
        <w:top w:val="none" w:sz="0" w:space="0" w:color="auto"/>
        <w:left w:val="none" w:sz="0" w:space="0" w:color="auto"/>
        <w:bottom w:val="none" w:sz="0" w:space="0" w:color="auto"/>
        <w:right w:val="none" w:sz="0" w:space="0" w:color="auto"/>
      </w:divBdr>
    </w:div>
    <w:div w:id="1256475848">
      <w:bodyDiv w:val="1"/>
      <w:marLeft w:val="0"/>
      <w:marRight w:val="0"/>
      <w:marTop w:val="0"/>
      <w:marBottom w:val="0"/>
      <w:divBdr>
        <w:top w:val="none" w:sz="0" w:space="0" w:color="auto"/>
        <w:left w:val="none" w:sz="0" w:space="0" w:color="auto"/>
        <w:bottom w:val="none" w:sz="0" w:space="0" w:color="auto"/>
        <w:right w:val="none" w:sz="0" w:space="0" w:color="auto"/>
      </w:divBdr>
    </w:div>
    <w:div w:id="138899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 xmlns="c2193ac7-f074-497f-a938-4c812096122a" xsi:nil="true"/>
    <Date0 xmlns="c2193ac7-f074-497f-a938-4c812096122a" xsi:nil="true"/>
    <lcf76f155ced4ddcb4097134ff3c332f xmlns="c2193ac7-f074-497f-a938-4c812096122a">
      <Terms xmlns="http://schemas.microsoft.com/office/infopath/2007/PartnerControls"/>
    </lcf76f155ced4ddcb4097134ff3c332f>
    <TaxCatchAll xmlns="a663bc7e-d16f-4815-8c52-72575c0867ae" xsi:nil="true"/>
    <SharedWithUsers xmlns="a663bc7e-d16f-4815-8c52-72575c0867ae">
      <UserInfo>
        <DisplayName>Melissa Eddy</DisplayName>
        <AccountId>66</AccountId>
        <AccountType/>
      </UserInfo>
    </SharedWithUsers>
    <order0 xmlns="c2193ac7-f074-497f-a938-4c81209612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CA3E5C7B371A47AC6F693A16331DF8" ma:contentTypeVersion="22" ma:contentTypeDescription="Create a new document." ma:contentTypeScope="" ma:versionID="40d2216cf518e29fb9ef4abbb7afd40c">
  <xsd:schema xmlns:xsd="http://www.w3.org/2001/XMLSchema" xmlns:xs="http://www.w3.org/2001/XMLSchema" xmlns:p="http://schemas.microsoft.com/office/2006/metadata/properties" xmlns:ns1="http://schemas.microsoft.com/sharepoint/v3" xmlns:ns2="c2193ac7-f074-497f-a938-4c812096122a" xmlns:ns3="a663bc7e-d16f-4815-8c52-72575c0867ae" targetNamespace="http://schemas.microsoft.com/office/2006/metadata/properties" ma:root="true" ma:fieldsID="8b156716eaecbc3ac3c427122ff74641" ns1:_="" ns2:_="" ns3:_="">
    <xsd:import namespace="http://schemas.microsoft.com/sharepoint/v3"/>
    <xsd:import namespace="c2193ac7-f074-497f-a938-4c812096122a"/>
    <xsd:import namespace="a663bc7e-d16f-4815-8c52-72575c0867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date" minOccurs="0"/>
                <xsd:element ref="ns2:MediaLengthInSeconds" minOccurs="0"/>
                <xsd:element ref="ns2:Date0" minOccurs="0"/>
                <xsd:element ref="ns2:lcf76f155ced4ddcb4097134ff3c332f" minOccurs="0"/>
                <xsd:element ref="ns3:TaxCatchAll" minOccurs="0"/>
                <xsd:element ref="ns2:order0"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193ac7-f074-497f-a938-4c812096122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2" nillable="true" ma:displayName="date" ma:format="DateOnly" ma:internalName="date">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Date0" ma:index="24" nillable="true" ma:displayName="Date" ma:format="DateTime" ma:internalName="Date0">
      <xsd:simpleType>
        <xsd:restriction base="dms:DateTim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f04b984-fa73-4293-9547-6fa4c72eebf3" ma:termSetId="09814cd3-568e-fe90-9814-8d621ff8fb84" ma:anchorId="fba54fb3-c3e1-fe81-a776-ca4b69148c4d" ma:open="true" ma:isKeyword="false">
      <xsd:complexType>
        <xsd:sequence>
          <xsd:element ref="pc:Terms" minOccurs="0" maxOccurs="1"/>
        </xsd:sequence>
      </xsd:complexType>
    </xsd:element>
    <xsd:element name="order0" ma:index="28" nillable="true" ma:displayName="order" ma:format="Dropdown" ma:internalName="order0" ma:percentage="FALSE">
      <xsd:simpleType>
        <xsd:restriction base="dms:Number"/>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63bc7e-d16f-4815-8c52-72575c086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7" nillable="true" ma:displayName="Taxonomy Catch All Column" ma:hidden="true" ma:list="{7840795a-9655-47c9-aae7-7ade5dfbd823}" ma:internalName="TaxCatchAll" ma:showField="CatchAllData" ma:web="a663bc7e-d16f-4815-8c52-72575c0867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F69802-95DB-4592-ADEE-C64BD826E389}">
  <ds:schemaRefs>
    <ds:schemaRef ds:uri="http://schemas.microsoft.com/office/2006/metadata/properties"/>
    <ds:schemaRef ds:uri="http://schemas.microsoft.com/office/infopath/2007/PartnerControls"/>
    <ds:schemaRef ds:uri="http://schemas.microsoft.com/sharepoint/v3"/>
    <ds:schemaRef ds:uri="c2193ac7-f074-497f-a938-4c812096122a"/>
    <ds:schemaRef ds:uri="a663bc7e-d16f-4815-8c52-72575c0867ae"/>
  </ds:schemaRefs>
</ds:datastoreItem>
</file>

<file path=customXml/itemProps2.xml><?xml version="1.0" encoding="utf-8"?>
<ds:datastoreItem xmlns:ds="http://schemas.openxmlformats.org/officeDocument/2006/customXml" ds:itemID="{05142085-AFCF-4C8A-8946-62BA51D29FD8}">
  <ds:schemaRefs>
    <ds:schemaRef ds:uri="http://schemas.microsoft.com/sharepoint/v3/contenttype/forms"/>
  </ds:schemaRefs>
</ds:datastoreItem>
</file>

<file path=customXml/itemProps3.xml><?xml version="1.0" encoding="utf-8"?>
<ds:datastoreItem xmlns:ds="http://schemas.openxmlformats.org/officeDocument/2006/customXml" ds:itemID="{ABC8FFC4-BF17-4D07-9F16-DE60276E653C}"/>
</file>

<file path=docProps/app.xml><?xml version="1.0" encoding="utf-8"?>
<Properties xmlns="http://schemas.openxmlformats.org/officeDocument/2006/extended-properties" xmlns:vt="http://schemas.openxmlformats.org/officeDocument/2006/docPropsVTypes">
  <Template>Normal</Template>
  <TotalTime>8</TotalTime>
  <Pages>3</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Letchworth</dc:creator>
  <cp:keywords/>
  <dc:description/>
  <cp:lastModifiedBy>Masa Kinsey-Shipp</cp:lastModifiedBy>
  <cp:revision>10</cp:revision>
  <cp:lastPrinted>2017-11-21T19:53:00Z</cp:lastPrinted>
  <dcterms:created xsi:type="dcterms:W3CDTF">2023-09-21T15:11:00Z</dcterms:created>
  <dcterms:modified xsi:type="dcterms:W3CDTF">2023-09-21T15:49:00Z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0x0101003ACA3E5C7B371A47AC6F693A16331DF8</vt:lpwstr>
  </property>
  <property fmtid="{D5CDD505-2E9C-101B-9397-08002B2CF9AE}" pid="3" name="MediaServiceImageTags">
    <vt:lpwstr/>
  </property>
</Properties>
</file>