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27" r="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0"/>
        </w:rPr>
        <w:t xml:space="preserve">T-Chart for Improving Personal Responsibility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2"/>
          <w:szCs w:val="42"/>
        </w:rPr>
      </w:pPr>
      <w:r w:rsidDel="00000000" w:rsidR="00000000" w:rsidRPr="00000000">
        <w:rPr>
          <w:rFonts w:ascii="Calibri" w:cs="Calibri" w:eastAsia="Calibri" w:hAnsi="Calibri"/>
          <w:b w:val="1"/>
          <w:sz w:val="42"/>
          <w:szCs w:val="42"/>
          <w:rtl w:val="0"/>
        </w:rPr>
        <w:t xml:space="preserve">Grades 6-8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Personal Responsibility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Task Initiation: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recognize when to stop a task and begin a new task with minimal prompting.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set a goal for the task at hand and prepare to engage in the necessary steps to complete the task.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follow directions without prompting most of the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Planning/Prioritization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create a detailed plan to complete a task and follow through.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remain on schedule and complete the outlined plan.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Persistence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persist in getting tasks done accurately, with minimal assistance.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set and complete goals on time with minimal assistance.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recognize when I need help and ask for it.</w:t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Inter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personal Responsibility: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show care and concern for others through actions and words. 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understand the impact I have on others.</w:t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Intra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personal Responsibility: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self-regulate to work through a plan and correctly complete a task.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exhibit self-discipline and/or self-motivation.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am aware of my thoughts, feelings, and intentions and their consequences.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