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8BA68" w14:textId="77777777" w:rsidR="004B16EE" w:rsidRDefault="004A76D8">
      <w:pPr>
        <w:spacing w:before="34"/>
        <w:ind w:left="2089"/>
        <w:rPr>
          <w:rFonts w:ascii="Calibri"/>
          <w:b/>
          <w:sz w:val="24"/>
        </w:rPr>
      </w:pPr>
      <w:r>
        <w:rPr>
          <w:rFonts w:ascii="Calibri"/>
          <w:b/>
          <w:sz w:val="24"/>
        </w:rPr>
        <w:t>FEDERAL FUNDS NONCOMPETITIVE PROCUREMENT REQUEST</w:t>
      </w:r>
    </w:p>
    <w:p w14:paraId="5D4400DF" w14:textId="77777777" w:rsidR="004B16EE" w:rsidRDefault="004B16EE">
      <w:pPr>
        <w:pStyle w:val="BodyText"/>
        <w:spacing w:before="1"/>
        <w:rPr>
          <w:b/>
          <w:sz w:val="27"/>
        </w:rPr>
      </w:pPr>
    </w:p>
    <w:p w14:paraId="14E243BB" w14:textId="2F9D02DA" w:rsidR="004B16EE" w:rsidRDefault="004A76D8">
      <w:pPr>
        <w:pStyle w:val="BodyText"/>
        <w:spacing w:line="235" w:lineRule="auto"/>
        <w:ind w:left="125" w:right="753"/>
      </w:pPr>
      <w:r>
        <w:t xml:space="preserve">Submit the completed form via email to </w:t>
      </w:r>
      <w:hyperlink r:id="rId7" w:history="1">
        <w:r w:rsidRPr="002E0DB5">
          <w:rPr>
            <w:rStyle w:val="Hyperlink"/>
          </w:rPr>
          <w:t>ProcurementWaiversTeam@dpi.nc.gov</w:t>
        </w:r>
        <w:r w:rsidRPr="000915F3">
          <w:rPr>
            <w:rStyle w:val="Hyperlink"/>
            <w:u w:val="none"/>
          </w:rPr>
          <w:t xml:space="preserve"> </w:t>
        </w:r>
      </w:hyperlink>
      <w:r>
        <w:t>(attach any additional documentation). One request must be submitted for each individual issue (e.g., one email / request per vendor); they cannot be combined.</w:t>
      </w:r>
    </w:p>
    <w:p w14:paraId="474D12CF" w14:textId="77777777" w:rsidR="004B16EE" w:rsidRDefault="004B16EE">
      <w:pPr>
        <w:pStyle w:val="BodyText"/>
        <w:spacing w:before="3"/>
        <w:rPr>
          <w:sz w:val="20"/>
        </w:rPr>
      </w:pPr>
    </w:p>
    <w:tbl>
      <w:tblPr>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6"/>
      </w:tblGrid>
      <w:tr w:rsidR="004B16EE" w14:paraId="4A9830D1" w14:textId="77777777">
        <w:trPr>
          <w:trHeight w:val="575"/>
        </w:trPr>
        <w:tc>
          <w:tcPr>
            <w:tcW w:w="10346" w:type="dxa"/>
          </w:tcPr>
          <w:p w14:paraId="72D759AD" w14:textId="77777777" w:rsidR="004B16EE" w:rsidRDefault="004A76D8">
            <w:pPr>
              <w:pStyle w:val="TableParagraph"/>
              <w:spacing w:line="252" w:lineRule="exact"/>
              <w:ind w:left="2"/>
              <w:rPr>
                <w:b/>
              </w:rPr>
            </w:pPr>
            <w:r>
              <w:rPr>
                <w:b/>
              </w:rPr>
              <w:t>LEA Name and Unit Number:</w:t>
            </w:r>
          </w:p>
        </w:tc>
      </w:tr>
      <w:tr w:rsidR="004B16EE" w14:paraId="4596BF19" w14:textId="77777777">
        <w:trPr>
          <w:trHeight w:val="575"/>
        </w:trPr>
        <w:tc>
          <w:tcPr>
            <w:tcW w:w="10346" w:type="dxa"/>
          </w:tcPr>
          <w:p w14:paraId="4B959C37" w14:textId="77777777" w:rsidR="004B16EE" w:rsidRDefault="004A76D8">
            <w:pPr>
              <w:pStyle w:val="TableParagraph"/>
              <w:spacing w:line="252" w:lineRule="exact"/>
              <w:ind w:left="2"/>
              <w:rPr>
                <w:b/>
              </w:rPr>
            </w:pPr>
            <w:r>
              <w:rPr>
                <w:b/>
              </w:rPr>
              <w:t>Name and Title of Individual Submitting Request:</w:t>
            </w:r>
          </w:p>
        </w:tc>
      </w:tr>
      <w:tr w:rsidR="004B16EE" w14:paraId="582047A5" w14:textId="77777777">
        <w:trPr>
          <w:trHeight w:val="572"/>
        </w:trPr>
        <w:tc>
          <w:tcPr>
            <w:tcW w:w="10346" w:type="dxa"/>
          </w:tcPr>
          <w:p w14:paraId="432E091C" w14:textId="77777777" w:rsidR="004B16EE" w:rsidRDefault="004A76D8">
            <w:pPr>
              <w:pStyle w:val="TableParagraph"/>
              <w:spacing w:line="251" w:lineRule="exact"/>
              <w:ind w:left="57"/>
              <w:rPr>
                <w:b/>
              </w:rPr>
            </w:pPr>
            <w:r>
              <w:rPr>
                <w:b/>
              </w:rPr>
              <w:t>Vendor Name:</w:t>
            </w:r>
          </w:p>
        </w:tc>
      </w:tr>
      <w:tr w:rsidR="004B16EE" w14:paraId="0ADEAAE6" w14:textId="77777777">
        <w:trPr>
          <w:trHeight w:val="580"/>
        </w:trPr>
        <w:tc>
          <w:tcPr>
            <w:tcW w:w="10346" w:type="dxa"/>
          </w:tcPr>
          <w:p w14:paraId="696961ED" w14:textId="77777777" w:rsidR="004B16EE" w:rsidRDefault="004A76D8">
            <w:pPr>
              <w:pStyle w:val="TableParagraph"/>
              <w:spacing w:before="3"/>
              <w:ind w:left="57"/>
              <w:rPr>
                <w:b/>
              </w:rPr>
            </w:pPr>
            <w:r>
              <w:rPr>
                <w:b/>
              </w:rPr>
              <w:t>Federal Funding Source (including PRC):</w:t>
            </w:r>
          </w:p>
        </w:tc>
      </w:tr>
      <w:tr w:rsidR="004B16EE" w14:paraId="40A57E06" w14:textId="77777777">
        <w:trPr>
          <w:trHeight w:val="6223"/>
        </w:trPr>
        <w:tc>
          <w:tcPr>
            <w:tcW w:w="10346" w:type="dxa"/>
          </w:tcPr>
          <w:p w14:paraId="1B4EFF51" w14:textId="77777777" w:rsidR="004B16EE" w:rsidRDefault="004A76D8">
            <w:pPr>
              <w:pStyle w:val="TableParagraph"/>
              <w:spacing w:before="1"/>
              <w:ind w:left="57"/>
              <w:rPr>
                <w:b/>
              </w:rPr>
            </w:pPr>
            <w:r>
              <w:rPr>
                <w:b/>
              </w:rPr>
              <w:t>Scope of Work:</w:t>
            </w:r>
          </w:p>
        </w:tc>
      </w:tr>
      <w:tr w:rsidR="004B16EE" w14:paraId="6A3A8E3B" w14:textId="77777777">
        <w:trPr>
          <w:trHeight w:val="3066"/>
        </w:trPr>
        <w:tc>
          <w:tcPr>
            <w:tcW w:w="10346" w:type="dxa"/>
          </w:tcPr>
          <w:p w14:paraId="27E07D7B" w14:textId="77777777" w:rsidR="004B16EE" w:rsidRDefault="004A76D8">
            <w:pPr>
              <w:pStyle w:val="TableParagraph"/>
              <w:spacing w:before="4"/>
              <w:ind w:left="2"/>
              <w:rPr>
                <w:b/>
              </w:rPr>
            </w:pPr>
            <w:r>
              <w:rPr>
                <w:b/>
              </w:rPr>
              <w:t>Deliverables:</w:t>
            </w:r>
          </w:p>
        </w:tc>
      </w:tr>
      <w:tr w:rsidR="004B16EE" w14:paraId="40670A95" w14:textId="77777777">
        <w:trPr>
          <w:trHeight w:val="1007"/>
        </w:trPr>
        <w:tc>
          <w:tcPr>
            <w:tcW w:w="10346" w:type="dxa"/>
          </w:tcPr>
          <w:p w14:paraId="636F5043" w14:textId="77777777" w:rsidR="004B16EE" w:rsidRDefault="004A76D8">
            <w:pPr>
              <w:pStyle w:val="TableParagraph"/>
              <w:spacing w:line="251" w:lineRule="exact"/>
              <w:ind w:left="57"/>
              <w:rPr>
                <w:b/>
              </w:rPr>
            </w:pPr>
            <w:r>
              <w:rPr>
                <w:b/>
              </w:rPr>
              <w:t>Cost:</w:t>
            </w:r>
          </w:p>
        </w:tc>
      </w:tr>
    </w:tbl>
    <w:p w14:paraId="4C0DD3B7" w14:textId="77777777" w:rsidR="004B16EE" w:rsidRDefault="004B16EE">
      <w:pPr>
        <w:spacing w:line="251" w:lineRule="exact"/>
        <w:sectPr w:rsidR="004B16EE">
          <w:type w:val="continuous"/>
          <w:pgSz w:w="12240" w:h="15840"/>
          <w:pgMar w:top="340" w:right="820" w:bottom="280" w:left="8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
        <w:gridCol w:w="9566"/>
      </w:tblGrid>
      <w:tr w:rsidR="004B16EE" w14:paraId="4AFF9D20" w14:textId="77777777">
        <w:trPr>
          <w:trHeight w:val="810"/>
        </w:trPr>
        <w:tc>
          <w:tcPr>
            <w:tcW w:w="10349" w:type="dxa"/>
            <w:gridSpan w:val="2"/>
          </w:tcPr>
          <w:p w14:paraId="497FE84D" w14:textId="77777777" w:rsidR="004B16EE" w:rsidRDefault="004A76D8">
            <w:pPr>
              <w:pStyle w:val="TableParagraph"/>
              <w:spacing w:line="242" w:lineRule="auto"/>
              <w:ind w:left="4"/>
            </w:pPr>
            <w:r>
              <w:rPr>
                <w:b/>
              </w:rPr>
              <w:lastRenderedPageBreak/>
              <w:t xml:space="preserve">Noncompete Justification: </w:t>
            </w:r>
            <w:r>
              <w:t xml:space="preserve">Select one or more of the procurement </w:t>
            </w:r>
            <w:proofErr w:type="gramStart"/>
            <w:r>
              <w:t>policy</w:t>
            </w:r>
            <w:proofErr w:type="gramEnd"/>
            <w:r>
              <w:t xml:space="preserve"> provisions below that best describes the exception to the Uniform Guidance bidding requirements for procuring goods or services valued $10,000 or greater with federal funds.</w:t>
            </w:r>
          </w:p>
        </w:tc>
      </w:tr>
      <w:tr w:rsidR="004B16EE" w14:paraId="6168AEEB" w14:textId="77777777">
        <w:trPr>
          <w:trHeight w:val="1178"/>
        </w:trPr>
        <w:tc>
          <w:tcPr>
            <w:tcW w:w="783" w:type="dxa"/>
          </w:tcPr>
          <w:p w14:paraId="4B3BB595" w14:textId="77777777" w:rsidR="004B16EE" w:rsidRDefault="004B16EE">
            <w:pPr>
              <w:pStyle w:val="TableParagraph"/>
            </w:pPr>
          </w:p>
        </w:tc>
        <w:tc>
          <w:tcPr>
            <w:tcW w:w="9566" w:type="dxa"/>
          </w:tcPr>
          <w:p w14:paraId="4CB1F09E" w14:textId="77777777" w:rsidR="004B16EE" w:rsidRDefault="004A76D8">
            <w:pPr>
              <w:pStyle w:val="TableParagraph"/>
              <w:ind w:left="4" w:right="7"/>
            </w:pPr>
            <w:r>
              <w:rPr>
                <w:b/>
              </w:rPr>
              <w:t xml:space="preserve">Inadequate Competition: </w:t>
            </w:r>
            <w:r>
              <w:t xml:space="preserve">After solicitation of </w:t>
            </w:r>
            <w:proofErr w:type="gramStart"/>
            <w:r>
              <w:t>a number of</w:t>
            </w:r>
            <w:proofErr w:type="gramEnd"/>
            <w:r>
              <w:t xml:space="preserve"> potential sources, competition is determined to be inadequate. Bids were solicited and, no responsive bid is received, or only a single responsive bid is received and is rejected. Provide a copy of RFP or informal bid request, non-responsive answers, and, if one bid was received copy of the bid and reason for why it was rejected.</w:t>
            </w:r>
          </w:p>
        </w:tc>
      </w:tr>
      <w:tr w:rsidR="004B16EE" w14:paraId="0190B14A" w14:textId="77777777">
        <w:trPr>
          <w:trHeight w:val="1125"/>
        </w:trPr>
        <w:tc>
          <w:tcPr>
            <w:tcW w:w="783" w:type="dxa"/>
          </w:tcPr>
          <w:p w14:paraId="080B5F31" w14:textId="77777777" w:rsidR="004B16EE" w:rsidRDefault="004B16EE">
            <w:pPr>
              <w:pStyle w:val="TableParagraph"/>
            </w:pPr>
          </w:p>
        </w:tc>
        <w:tc>
          <w:tcPr>
            <w:tcW w:w="9566" w:type="dxa"/>
          </w:tcPr>
          <w:p w14:paraId="374F8AE8" w14:textId="77777777" w:rsidR="004B16EE" w:rsidRDefault="004A76D8">
            <w:pPr>
              <w:pStyle w:val="TableParagraph"/>
              <w:spacing w:before="8"/>
              <w:ind w:left="71" w:right="7"/>
            </w:pPr>
            <w:r>
              <w:rPr>
                <w:b/>
              </w:rPr>
              <w:t xml:space="preserve">Public Exigency: </w:t>
            </w:r>
            <w:r>
              <w:t>When life, safety or health of the public must be sustained through the immediate delivery of products or performance of services or a critical agency mandate, statutory or operational requirement must be fulfilled immediately. Please use the “other” box below to provide a narrative to support the selection of this justification.</w:t>
            </w:r>
          </w:p>
        </w:tc>
      </w:tr>
      <w:tr w:rsidR="004B16EE" w14:paraId="34A0378F" w14:textId="77777777">
        <w:trPr>
          <w:trHeight w:val="1521"/>
        </w:trPr>
        <w:tc>
          <w:tcPr>
            <w:tcW w:w="783" w:type="dxa"/>
          </w:tcPr>
          <w:p w14:paraId="26EE108B" w14:textId="77777777" w:rsidR="004B16EE" w:rsidRDefault="004B16EE">
            <w:pPr>
              <w:pStyle w:val="TableParagraph"/>
            </w:pPr>
          </w:p>
        </w:tc>
        <w:tc>
          <w:tcPr>
            <w:tcW w:w="9566" w:type="dxa"/>
          </w:tcPr>
          <w:p w14:paraId="15FD61DE" w14:textId="77777777" w:rsidR="004B16EE" w:rsidRDefault="004A76D8">
            <w:pPr>
              <w:pStyle w:val="TableParagraph"/>
              <w:spacing w:before="53" w:line="244" w:lineRule="auto"/>
              <w:ind w:left="4" w:right="239"/>
            </w:pPr>
            <w:r>
              <w:rPr>
                <w:b/>
              </w:rPr>
              <w:t xml:space="preserve">Highly Specialized Professional Services: </w:t>
            </w:r>
            <w:r>
              <w:t>The procurement of professional services should be conducted through a bid process, the requesting unit can demonstrate that such services, due to unique or special circumstances, can’t be procured in this manner. A resume or other details about the unique qualifications of this supplier must be attached. In addition, please use the “other” box below to provide a narrative to support the selection of this justification.</w:t>
            </w:r>
          </w:p>
        </w:tc>
      </w:tr>
      <w:tr w:rsidR="004B16EE" w14:paraId="7B5F73D0" w14:textId="77777777">
        <w:trPr>
          <w:trHeight w:val="1067"/>
        </w:trPr>
        <w:tc>
          <w:tcPr>
            <w:tcW w:w="783" w:type="dxa"/>
          </w:tcPr>
          <w:p w14:paraId="01804A19" w14:textId="77777777" w:rsidR="004B16EE" w:rsidRDefault="004B16EE">
            <w:pPr>
              <w:pStyle w:val="TableParagraph"/>
            </w:pPr>
          </w:p>
        </w:tc>
        <w:tc>
          <w:tcPr>
            <w:tcW w:w="9566" w:type="dxa"/>
          </w:tcPr>
          <w:p w14:paraId="31A75472" w14:textId="77777777" w:rsidR="004B16EE" w:rsidRDefault="004A76D8">
            <w:pPr>
              <w:pStyle w:val="TableParagraph"/>
              <w:spacing w:before="1"/>
              <w:ind w:left="4" w:right="7"/>
            </w:pPr>
            <w:r>
              <w:rPr>
                <w:b/>
              </w:rPr>
              <w:t xml:space="preserve">Highly Specialized Technical Services: </w:t>
            </w:r>
            <w:r>
              <w:t>Another supplier cannot be chosen because the supplier provides services in connection with the assembly, installation or servicing of equipment of a highly technical or specialized nature. In addition, please use the “other” box below to provide a narrative to support the selection of this justification.</w:t>
            </w:r>
          </w:p>
        </w:tc>
      </w:tr>
      <w:tr w:rsidR="004B16EE" w14:paraId="539FFB7A" w14:textId="77777777">
        <w:trPr>
          <w:trHeight w:val="1065"/>
        </w:trPr>
        <w:tc>
          <w:tcPr>
            <w:tcW w:w="783" w:type="dxa"/>
          </w:tcPr>
          <w:p w14:paraId="17EAF0D2" w14:textId="77777777" w:rsidR="004B16EE" w:rsidRDefault="004B16EE">
            <w:pPr>
              <w:pStyle w:val="TableParagraph"/>
            </w:pPr>
          </w:p>
        </w:tc>
        <w:tc>
          <w:tcPr>
            <w:tcW w:w="9566" w:type="dxa"/>
          </w:tcPr>
          <w:p w14:paraId="2B255E50" w14:textId="77777777" w:rsidR="004B16EE" w:rsidRDefault="004A76D8">
            <w:pPr>
              <w:pStyle w:val="TableParagraph"/>
              <w:ind w:left="4" w:right="7"/>
            </w:pPr>
            <w:r>
              <w:rPr>
                <w:b/>
              </w:rPr>
              <w:t xml:space="preserve">Proprietary Software / Hardware: </w:t>
            </w:r>
            <w:r>
              <w:t>The requested upgrade to proprietary software or hardware is available only from this supplier, which performs the service only on a direct basis. Attach documentation supporting that the hardware or software is proprietary and that only this supplier and can perform the requested upgrade.</w:t>
            </w:r>
          </w:p>
        </w:tc>
      </w:tr>
      <w:tr w:rsidR="004B16EE" w14:paraId="7D9CB042" w14:textId="77777777">
        <w:trPr>
          <w:trHeight w:val="1082"/>
        </w:trPr>
        <w:tc>
          <w:tcPr>
            <w:tcW w:w="783" w:type="dxa"/>
          </w:tcPr>
          <w:p w14:paraId="3B7F5E0C" w14:textId="77777777" w:rsidR="004B16EE" w:rsidRDefault="004B16EE">
            <w:pPr>
              <w:pStyle w:val="TableParagraph"/>
            </w:pPr>
          </w:p>
        </w:tc>
        <w:tc>
          <w:tcPr>
            <w:tcW w:w="9566" w:type="dxa"/>
          </w:tcPr>
          <w:p w14:paraId="2047CD53" w14:textId="77777777" w:rsidR="004B16EE" w:rsidRDefault="004A76D8">
            <w:pPr>
              <w:pStyle w:val="TableParagraph"/>
              <w:spacing w:before="10" w:line="225" w:lineRule="auto"/>
              <w:ind w:left="4" w:right="991"/>
            </w:pPr>
            <w:r>
              <w:rPr>
                <w:b/>
              </w:rPr>
              <w:t xml:space="preserve">Equipment Continuity: </w:t>
            </w:r>
            <w:r>
              <w:t xml:space="preserve">The requesting unit seeks equipment that must be compatible with existing equipment and/or standardizing on equipment which is necessary to assure </w:t>
            </w:r>
            <w:r>
              <w:rPr>
                <w:position w:val="1"/>
              </w:rPr>
              <w:t xml:space="preserve">interchangeability of parts. Please </w:t>
            </w:r>
            <w:r>
              <w:t>use the “other” box below to provide a narrative to support the selection of this justification.</w:t>
            </w:r>
          </w:p>
        </w:tc>
      </w:tr>
      <w:tr w:rsidR="004B16EE" w14:paraId="296727F2" w14:textId="77777777">
        <w:trPr>
          <w:trHeight w:val="1360"/>
        </w:trPr>
        <w:tc>
          <w:tcPr>
            <w:tcW w:w="783" w:type="dxa"/>
          </w:tcPr>
          <w:p w14:paraId="7F22BC46" w14:textId="77777777" w:rsidR="004B16EE" w:rsidRDefault="004B16EE">
            <w:pPr>
              <w:pStyle w:val="TableParagraph"/>
            </w:pPr>
          </w:p>
        </w:tc>
        <w:tc>
          <w:tcPr>
            <w:tcW w:w="9566" w:type="dxa"/>
          </w:tcPr>
          <w:p w14:paraId="729DC3A3" w14:textId="77777777" w:rsidR="004B16EE" w:rsidRDefault="004A76D8">
            <w:pPr>
              <w:pStyle w:val="TableParagraph"/>
              <w:spacing w:before="3"/>
              <w:ind w:left="4" w:right="177"/>
            </w:pPr>
            <w:r>
              <w:rPr>
                <w:b/>
              </w:rPr>
              <w:t xml:space="preserve">Curriculum Continuity: </w:t>
            </w:r>
            <w:r>
              <w:t>The requesting unit seeks curriculum that must be compatible with existing materials. Please provide a narrative in the “other” box below to explain how the existing materials are compatible with the requested material/services and how putting out for bid would cause a financial or significant hardship. You must also demonstrate that the Supplement vs Supplant compliance is being met for existing materials.</w:t>
            </w:r>
          </w:p>
        </w:tc>
      </w:tr>
      <w:tr w:rsidR="004B16EE" w14:paraId="43D586AE" w14:textId="77777777">
        <w:trPr>
          <w:trHeight w:val="1425"/>
        </w:trPr>
        <w:tc>
          <w:tcPr>
            <w:tcW w:w="783" w:type="dxa"/>
          </w:tcPr>
          <w:p w14:paraId="75743FC2" w14:textId="77777777" w:rsidR="004B16EE" w:rsidRDefault="004B16EE">
            <w:pPr>
              <w:pStyle w:val="TableParagraph"/>
            </w:pPr>
          </w:p>
        </w:tc>
        <w:tc>
          <w:tcPr>
            <w:tcW w:w="9566" w:type="dxa"/>
          </w:tcPr>
          <w:p w14:paraId="07BEF54F" w14:textId="5999D291" w:rsidR="00F000B6" w:rsidRDefault="004A76D8" w:rsidP="00F000B6">
            <w:pPr>
              <w:pStyle w:val="TableParagraph"/>
              <w:spacing w:before="125"/>
              <w:ind w:left="52" w:right="111" w:hanging="48"/>
            </w:pPr>
            <w:r>
              <w:rPr>
                <w:b/>
              </w:rPr>
              <w:t xml:space="preserve">Amendment/Change Order: </w:t>
            </w:r>
            <w:r>
              <w:t>Requests, not covered under existing contract, where current supplier is best positioned based on skill, knowledge, familiarity with the project to provide the extra work resulting in a cost savings to the unit over the cost of a new supplier. This also includes amendments that result in an extension of the term due to the successor contract or bidding process being incomplete prior to expiration of the current contract.</w:t>
            </w:r>
          </w:p>
        </w:tc>
      </w:tr>
      <w:tr w:rsidR="00F000B6" w14:paraId="436A88AD" w14:textId="77777777">
        <w:trPr>
          <w:trHeight w:val="1425"/>
        </w:trPr>
        <w:tc>
          <w:tcPr>
            <w:tcW w:w="783" w:type="dxa"/>
          </w:tcPr>
          <w:p w14:paraId="77F35DE6" w14:textId="77777777" w:rsidR="00F000B6" w:rsidRDefault="00F000B6">
            <w:pPr>
              <w:pStyle w:val="TableParagraph"/>
            </w:pPr>
          </w:p>
        </w:tc>
        <w:tc>
          <w:tcPr>
            <w:tcW w:w="9566" w:type="dxa"/>
          </w:tcPr>
          <w:p w14:paraId="071FC92B" w14:textId="77777777" w:rsidR="00F000B6" w:rsidRDefault="00F000B6" w:rsidP="00F000B6">
            <w:pPr>
              <w:spacing w:line="244" w:lineRule="exact"/>
              <w:rPr>
                <w:b/>
              </w:rPr>
            </w:pPr>
            <w:r>
              <w:rPr>
                <w:b/>
              </w:rPr>
              <w:t>Other (Please Explain in Detail):</w:t>
            </w:r>
          </w:p>
          <w:p w14:paraId="4E663E22" w14:textId="173968DD" w:rsidR="00F000B6" w:rsidRDefault="00F000B6" w:rsidP="00F000B6">
            <w:pPr>
              <w:pStyle w:val="TableParagraph"/>
              <w:spacing w:before="125"/>
              <w:ind w:left="52" w:right="111" w:hanging="48"/>
              <w:rPr>
                <w:b/>
              </w:rPr>
            </w:pPr>
          </w:p>
        </w:tc>
      </w:tr>
    </w:tbl>
    <w:p w14:paraId="719C96C7" w14:textId="77777777" w:rsidR="004B16EE" w:rsidRDefault="004B16EE">
      <w:pPr>
        <w:sectPr w:rsidR="004B16EE">
          <w:pgSz w:w="12240" w:h="15840"/>
          <w:pgMar w:top="360" w:right="820" w:bottom="280" w:left="820" w:header="720" w:footer="720" w:gutter="0"/>
          <w:cols w:space="720"/>
        </w:sectPr>
      </w:pPr>
    </w:p>
    <w:p w14:paraId="1F513AC5" w14:textId="7CA1EC9E" w:rsidR="004B16EE" w:rsidRDefault="004B16EE">
      <w:pPr>
        <w:pStyle w:val="BodyText"/>
        <w:ind w:left="115"/>
        <w:rPr>
          <w:sz w:val="20"/>
        </w:rPr>
      </w:pPr>
    </w:p>
    <w:sectPr w:rsidR="004B16EE">
      <w:pgSz w:w="12240" w:h="15840"/>
      <w:pgMar w:top="260" w:right="8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B16EE"/>
    <w:rsid w:val="000915F3"/>
    <w:rsid w:val="001A18B5"/>
    <w:rsid w:val="004A76D8"/>
    <w:rsid w:val="004B16EE"/>
    <w:rsid w:val="007C2C24"/>
    <w:rsid w:val="00A61D50"/>
    <w:rsid w:val="00BB5147"/>
    <w:rsid w:val="00D906FB"/>
    <w:rsid w:val="00F0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A90F"/>
  <w15:docId w15:val="{944CBD2D-9764-4C8D-A357-4D208AE8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76D8"/>
    <w:rPr>
      <w:color w:val="0000FF" w:themeColor="hyperlink"/>
      <w:u w:val="single"/>
    </w:rPr>
  </w:style>
  <w:style w:type="character" w:styleId="UnresolvedMention">
    <w:name w:val="Unresolved Mention"/>
    <w:basedOn w:val="DefaultParagraphFont"/>
    <w:uiPriority w:val="99"/>
    <w:semiHidden/>
    <w:unhideWhenUsed/>
    <w:rsid w:val="004A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rocurementWaiversTeam@dpi.nc.gov%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98257E013F34AA08DE9EC73699C56" ma:contentTypeVersion="12" ma:contentTypeDescription="Create a new document." ma:contentTypeScope="" ma:versionID="1f9c218a5603c7b1ea96d16efbea31fe">
  <xsd:schema xmlns:xsd="http://www.w3.org/2001/XMLSchema" xmlns:xs="http://www.w3.org/2001/XMLSchema" xmlns:p="http://schemas.microsoft.com/office/2006/metadata/properties" xmlns:ns1="http://schemas.microsoft.com/sharepoint/v3" xmlns:ns2="17e71e6d-6290-4eed-a727-36bb893e4801" xmlns:ns3="a6469654-0b06-4858-8733-92344105e4d7" targetNamespace="http://schemas.microsoft.com/office/2006/metadata/properties" ma:root="true" ma:fieldsID="93b0dc9970d72fbae575a87808ae679b" ns1:_="" ns2:_="" ns3:_="">
    <xsd:import namespace="http://schemas.microsoft.com/sharepoint/v3"/>
    <xsd:import namespace="17e71e6d-6290-4eed-a727-36bb893e4801"/>
    <xsd:import namespace="a6469654-0b06-4858-8733-92344105e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71e6d-6290-4eed-a727-36bb893e4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69654-0b06-4858-8733-92344105e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B7DFA-7BD7-4FF1-A1D2-2E59FC6F86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76226B-E86D-4203-8E4F-831E51029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71e6d-6290-4eed-a727-36bb893e4801"/>
    <ds:schemaRef ds:uri="a6469654-0b06-4858-8733-92344105e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18799-79A7-49D5-8076-717E945B1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Waiver of Bid Request Form (v1.JUN18)</dc:title>
  <dc:creator>mobryk</dc:creator>
  <cp:lastModifiedBy>Nicola Lefler</cp:lastModifiedBy>
  <cp:revision>2</cp:revision>
  <dcterms:created xsi:type="dcterms:W3CDTF">2021-05-05T13:38:00Z</dcterms:created>
  <dcterms:modified xsi:type="dcterms:W3CDTF">2021-05-05T13:38:00Z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for Office 365</vt:lpwstr>
  </property>
  <property fmtid="{D5CDD505-2E9C-101B-9397-08002B2CF9AE}" pid="4" name="LastSaved">
    <vt:filetime>2020-09-22T00:00:00Z</vt:filetime>
  </property>
  <property fmtid="{D5CDD505-2E9C-101B-9397-08002B2CF9AE}" pid="5" name="ContentTypeId">
    <vt:lpwstr>0x010100E3198257E013F34AA08DE9EC73699C56</vt:lpwstr>
  </property>
</Properties>
</file>