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58271" w14:textId="2829DD6E" w:rsidR="00752433" w:rsidRDefault="00752433"/>
    <w:p w14:paraId="3A67E3B6" w14:textId="77777777" w:rsidR="00752433" w:rsidRPr="00752433" w:rsidRDefault="00752433" w:rsidP="00752433">
      <w:pPr>
        <w:pStyle w:val="Title"/>
        <w:jc w:val="center"/>
        <w:rPr>
          <w:b/>
          <w:bCs/>
          <w:sz w:val="32"/>
          <w:szCs w:val="32"/>
        </w:rPr>
      </w:pPr>
    </w:p>
    <w:p w14:paraId="599AFA42" w14:textId="798EF0A1" w:rsidR="00752433" w:rsidRDefault="00752433" w:rsidP="00752433">
      <w:pPr>
        <w:pStyle w:val="Title"/>
        <w:jc w:val="right"/>
        <w:rPr>
          <w:b/>
          <w:bCs/>
          <w:sz w:val="32"/>
          <w:szCs w:val="32"/>
        </w:rPr>
      </w:pPr>
      <w:r w:rsidRPr="00752433">
        <w:rPr>
          <w:b/>
          <w:bCs/>
          <w:sz w:val="32"/>
          <w:szCs w:val="32"/>
        </w:rPr>
        <w:t xml:space="preserve">Nita M. Lowey 21st Century Community Learning Centers External </w:t>
      </w:r>
      <w:r>
        <w:rPr>
          <w:b/>
          <w:bCs/>
          <w:sz w:val="32"/>
          <w:szCs w:val="32"/>
        </w:rPr>
        <w:t xml:space="preserve">Organization </w:t>
      </w:r>
      <w:r w:rsidRPr="00752433">
        <w:rPr>
          <w:b/>
          <w:bCs/>
          <w:sz w:val="32"/>
          <w:szCs w:val="32"/>
        </w:rPr>
        <w:t>Partnership Listing Overview</w:t>
      </w:r>
    </w:p>
    <w:p w14:paraId="51C5F1B7" w14:textId="77777777" w:rsidR="00752433" w:rsidRDefault="00752433" w:rsidP="00752433"/>
    <w:p w14:paraId="5B23086D" w14:textId="47F9A803" w:rsidR="00D94311" w:rsidRDefault="00752433" w:rsidP="00D94311">
      <w:pPr>
        <w:rPr>
          <w:rFonts w:cstheme="minorHAnsi"/>
          <w:bCs/>
          <w:sz w:val="24"/>
          <w:szCs w:val="24"/>
        </w:rPr>
      </w:pPr>
      <w:r w:rsidRPr="00752433">
        <w:rPr>
          <w:rFonts w:cstheme="minorHAnsi"/>
          <w:bCs/>
          <w:w w:val="105"/>
          <w:sz w:val="24"/>
          <w:szCs w:val="24"/>
        </w:rPr>
        <w:t>The North Carolina Department of Public Instruction (NCPDI) Office of Federal Program</w:t>
      </w:r>
      <w:r w:rsidR="005E0139">
        <w:rPr>
          <w:rFonts w:cstheme="minorHAnsi"/>
          <w:bCs/>
          <w:w w:val="105"/>
          <w:sz w:val="24"/>
          <w:szCs w:val="24"/>
        </w:rPr>
        <w:t>s</w:t>
      </w:r>
      <w:r w:rsidRPr="00752433">
        <w:rPr>
          <w:rFonts w:cstheme="minorHAnsi"/>
          <w:bCs/>
          <w:w w:val="105"/>
          <w:sz w:val="24"/>
          <w:szCs w:val="24"/>
        </w:rPr>
        <w:t xml:space="preserve"> is pleased to announce the opportunity for nonprofit organizations to submit an external organization profile to be recognized as a prescreened external provider. </w:t>
      </w:r>
      <w:r w:rsidR="00692ED2">
        <w:rPr>
          <w:rFonts w:cstheme="minorHAnsi"/>
          <w:bCs/>
          <w:w w:val="105"/>
          <w:sz w:val="24"/>
          <w:szCs w:val="24"/>
        </w:rPr>
        <w:t xml:space="preserve">External organizations can aid subgrantees in carrying out program activities. </w:t>
      </w:r>
      <w:r w:rsidR="00D94311">
        <w:rPr>
          <w:sz w:val="24"/>
          <w:szCs w:val="24"/>
        </w:rPr>
        <w:t>By</w:t>
      </w:r>
      <w:r w:rsidR="00B73EC8">
        <w:rPr>
          <w:sz w:val="24"/>
          <w:szCs w:val="24"/>
        </w:rPr>
        <w:t xml:space="preserve"> NCDPI</w:t>
      </w:r>
      <w:r w:rsidR="00D94311">
        <w:rPr>
          <w:sz w:val="24"/>
          <w:szCs w:val="24"/>
        </w:rPr>
        <w:t xml:space="preserve"> collecting, screening, and publishing a list of external community organizations that have expressed interest, the potential for partnerships with current and future </w:t>
      </w:r>
      <w:r w:rsidR="005E0139">
        <w:rPr>
          <w:sz w:val="24"/>
          <w:szCs w:val="24"/>
        </w:rPr>
        <w:t>21</w:t>
      </w:r>
      <w:r w:rsidR="005E0139" w:rsidRPr="005E0139">
        <w:rPr>
          <w:sz w:val="24"/>
          <w:szCs w:val="24"/>
          <w:vertAlign w:val="superscript"/>
        </w:rPr>
        <w:t>st</w:t>
      </w:r>
      <w:r w:rsidR="005E0139">
        <w:rPr>
          <w:sz w:val="24"/>
          <w:szCs w:val="24"/>
        </w:rPr>
        <w:t xml:space="preserve"> </w:t>
      </w:r>
      <w:r w:rsidR="00D94311">
        <w:rPr>
          <w:sz w:val="24"/>
          <w:szCs w:val="24"/>
        </w:rPr>
        <w:t>Century Community Learning Centers (CCLCs) is more easily realized.</w:t>
      </w:r>
    </w:p>
    <w:p w14:paraId="6CC2ED3C" w14:textId="6A0719D5" w:rsidR="00752433" w:rsidRPr="00752433" w:rsidRDefault="00752433" w:rsidP="00752433">
      <w:pPr>
        <w:rPr>
          <w:rFonts w:cstheme="minorHAnsi"/>
          <w:bCs/>
          <w:sz w:val="24"/>
          <w:szCs w:val="24"/>
        </w:rPr>
      </w:pPr>
    </w:p>
    <w:p w14:paraId="54BAE43B" w14:textId="56219D89" w:rsidR="00752433" w:rsidRPr="00752433" w:rsidRDefault="00752433" w:rsidP="00752433">
      <w:pPr>
        <w:rPr>
          <w:rFonts w:cstheme="minorHAnsi"/>
          <w:bCs/>
          <w:sz w:val="24"/>
          <w:szCs w:val="24"/>
        </w:rPr>
      </w:pPr>
      <w:r w:rsidRPr="00752433">
        <w:rPr>
          <w:rFonts w:cstheme="minorHAnsi"/>
          <w:bCs/>
          <w:sz w:val="24"/>
          <w:szCs w:val="24"/>
        </w:rPr>
        <w:t xml:space="preserve">External organizations as defined by </w:t>
      </w:r>
      <w:r w:rsidRPr="00752433">
        <w:rPr>
          <w:rFonts w:cstheme="minorHAnsi"/>
          <w:sz w:val="24"/>
          <w:szCs w:val="24"/>
        </w:rPr>
        <w:t>(Section 4201(b)(4))</w:t>
      </w:r>
      <w:r w:rsidRPr="00752433">
        <w:rPr>
          <w:rFonts w:cstheme="minorHAnsi"/>
          <w:bCs/>
          <w:sz w:val="24"/>
          <w:szCs w:val="24"/>
        </w:rPr>
        <w:t xml:space="preserve"> are nonprofit organizations with a record of success in running or working with before and after-school programs and activities (or those that operate during school breaks); or, in the case of a community where there is no such organization, a nonprofit organization in the community that enters into a written agreement or partnership with an organization with a record of success to receive mentoring and guidance in running or working with before- and after-school programs and activities (or those that operate during school breaks). (Section 4203(a)(11)). (Section 4201(b)(4)).</w:t>
      </w:r>
    </w:p>
    <w:p w14:paraId="38CDA0AD" w14:textId="7E56BB95" w:rsidR="00752433" w:rsidRPr="00752433" w:rsidRDefault="00752433" w:rsidP="00752433">
      <w:pPr>
        <w:rPr>
          <w:rFonts w:cstheme="minorHAnsi"/>
          <w:bCs/>
          <w:sz w:val="24"/>
          <w:szCs w:val="24"/>
        </w:rPr>
      </w:pPr>
      <w:r w:rsidRPr="00752433">
        <w:rPr>
          <w:rFonts w:cstheme="minorHAnsi"/>
          <w:bCs/>
          <w:sz w:val="24"/>
          <w:szCs w:val="24"/>
        </w:rPr>
        <w:t>In accordance with Title IV, Part B, 21</w:t>
      </w:r>
      <w:r w:rsidRPr="00752433">
        <w:rPr>
          <w:rFonts w:cstheme="minorHAnsi"/>
          <w:bCs/>
          <w:sz w:val="24"/>
          <w:szCs w:val="24"/>
          <w:vertAlign w:val="superscript"/>
        </w:rPr>
        <w:t>st</w:t>
      </w:r>
      <w:r w:rsidRPr="00752433">
        <w:rPr>
          <w:rFonts w:cstheme="minorHAnsi"/>
          <w:bCs/>
          <w:sz w:val="24"/>
          <w:szCs w:val="24"/>
        </w:rPr>
        <w:t xml:space="preserve"> Century Community Learning Center (CCLC) of Every Student Succeeds Act (ESSA), NCDPI is required to provide a list of prescreened external organizations. (Section 4203(1)(11).</w:t>
      </w:r>
    </w:p>
    <w:p w14:paraId="629B13E0" w14:textId="77777777" w:rsidR="00752433" w:rsidRPr="00752433" w:rsidRDefault="00752433" w:rsidP="00752433">
      <w:pPr>
        <w:rPr>
          <w:rFonts w:cstheme="minorHAnsi"/>
          <w:bCs/>
          <w:sz w:val="24"/>
          <w:szCs w:val="24"/>
        </w:rPr>
      </w:pPr>
    </w:p>
    <w:p w14:paraId="78E6E83F" w14:textId="6F8B0E6C" w:rsidR="00752433" w:rsidRPr="00A424E7" w:rsidRDefault="00A424E7" w:rsidP="00752433">
      <w:pPr>
        <w:pStyle w:val="Subtitle"/>
        <w:rPr>
          <w:rStyle w:val="Strong"/>
          <w:rFonts w:cstheme="minorHAnsi"/>
          <w:color w:val="auto"/>
          <w:sz w:val="24"/>
          <w:szCs w:val="24"/>
        </w:rPr>
      </w:pPr>
      <w:r>
        <w:rPr>
          <w:rStyle w:val="Strong"/>
          <w:rFonts w:cstheme="minorHAnsi"/>
          <w:color w:val="auto"/>
          <w:sz w:val="24"/>
          <w:szCs w:val="24"/>
        </w:rPr>
        <w:t>REQUIREMENTS FOR INCLUSION</w:t>
      </w:r>
    </w:p>
    <w:p w14:paraId="2B8DE31D" w14:textId="371F898C" w:rsidR="00752433" w:rsidRPr="00752433" w:rsidRDefault="00752433" w:rsidP="00752433">
      <w:pPr>
        <w:rPr>
          <w:rFonts w:cstheme="minorHAnsi"/>
          <w:w w:val="105"/>
          <w:sz w:val="24"/>
          <w:szCs w:val="24"/>
        </w:rPr>
      </w:pPr>
      <w:r w:rsidRPr="00752433">
        <w:rPr>
          <w:rFonts w:cstheme="minorHAnsi"/>
          <w:w w:val="105"/>
          <w:sz w:val="24"/>
          <w:szCs w:val="24"/>
        </w:rPr>
        <w:t xml:space="preserve">To meet the criteria for the minimum “record of success” needed to qualify, each organization completing the profile must verify it has accomplished </w:t>
      </w:r>
      <w:proofErr w:type="gramStart"/>
      <w:r w:rsidRPr="00752433">
        <w:rPr>
          <w:rFonts w:cstheme="minorHAnsi"/>
          <w:w w:val="105"/>
          <w:sz w:val="24"/>
          <w:szCs w:val="24"/>
        </w:rPr>
        <w:t>all of</w:t>
      </w:r>
      <w:proofErr w:type="gramEnd"/>
      <w:r w:rsidRPr="00752433">
        <w:rPr>
          <w:rFonts w:cstheme="minorHAnsi"/>
          <w:w w:val="105"/>
          <w:sz w:val="24"/>
          <w:szCs w:val="24"/>
        </w:rPr>
        <w:t xml:space="preserve"> the following:</w:t>
      </w:r>
    </w:p>
    <w:p w14:paraId="3EF12980" w14:textId="77777777" w:rsidR="00752433" w:rsidRPr="00752433" w:rsidRDefault="00752433" w:rsidP="00752433">
      <w:pPr>
        <w:pStyle w:val="ListParagraph"/>
        <w:numPr>
          <w:ilvl w:val="0"/>
          <w:numId w:val="2"/>
        </w:numPr>
        <w:rPr>
          <w:rFonts w:asciiTheme="minorHAnsi" w:hAnsiTheme="minorHAnsi" w:cstheme="minorHAnsi"/>
          <w:w w:val="105"/>
          <w:sz w:val="24"/>
          <w:szCs w:val="24"/>
        </w:rPr>
      </w:pPr>
      <w:r w:rsidRPr="00752433">
        <w:rPr>
          <w:rFonts w:asciiTheme="minorHAnsi" w:hAnsiTheme="minorHAnsi" w:cstheme="minorHAnsi"/>
          <w:w w:val="105"/>
          <w:sz w:val="24"/>
          <w:szCs w:val="24"/>
        </w:rPr>
        <w:t>Operates</w:t>
      </w:r>
      <w:r w:rsidRPr="00752433">
        <w:rPr>
          <w:rFonts w:asciiTheme="minorHAnsi" w:hAnsiTheme="minorHAnsi" w:cstheme="minorHAnsi"/>
          <w:spacing w:val="-10"/>
          <w:w w:val="105"/>
          <w:sz w:val="24"/>
          <w:szCs w:val="24"/>
        </w:rPr>
        <w:t xml:space="preserve"> </w:t>
      </w:r>
      <w:r w:rsidRPr="00752433">
        <w:rPr>
          <w:rFonts w:asciiTheme="minorHAnsi" w:hAnsiTheme="minorHAnsi" w:cstheme="minorHAnsi"/>
          <w:w w:val="105"/>
          <w:sz w:val="24"/>
          <w:szCs w:val="24"/>
        </w:rPr>
        <w:t>as</w:t>
      </w:r>
      <w:r w:rsidRPr="00752433">
        <w:rPr>
          <w:rFonts w:asciiTheme="minorHAnsi" w:hAnsiTheme="minorHAnsi" w:cstheme="minorHAnsi"/>
          <w:spacing w:val="-12"/>
          <w:w w:val="105"/>
          <w:sz w:val="24"/>
          <w:szCs w:val="24"/>
        </w:rPr>
        <w:t xml:space="preserve"> a </w:t>
      </w:r>
      <w:r w:rsidRPr="00752433">
        <w:rPr>
          <w:rFonts w:asciiTheme="minorHAnsi" w:hAnsiTheme="minorHAnsi" w:cstheme="minorHAnsi"/>
          <w:w w:val="105"/>
          <w:sz w:val="24"/>
          <w:szCs w:val="24"/>
        </w:rPr>
        <w:t>nonprofit</w:t>
      </w:r>
      <w:r w:rsidRPr="00752433">
        <w:rPr>
          <w:rFonts w:asciiTheme="minorHAnsi" w:hAnsiTheme="minorHAnsi" w:cstheme="minorHAnsi"/>
          <w:spacing w:val="-11"/>
          <w:w w:val="105"/>
          <w:sz w:val="24"/>
          <w:szCs w:val="24"/>
        </w:rPr>
        <w:t xml:space="preserve"> </w:t>
      </w:r>
      <w:r w:rsidRPr="00752433">
        <w:rPr>
          <w:rFonts w:asciiTheme="minorHAnsi" w:hAnsiTheme="minorHAnsi" w:cstheme="minorHAnsi"/>
          <w:w w:val="105"/>
          <w:sz w:val="24"/>
          <w:szCs w:val="24"/>
        </w:rPr>
        <w:t>in</w:t>
      </w:r>
      <w:r w:rsidRPr="00752433">
        <w:rPr>
          <w:rFonts w:asciiTheme="minorHAnsi" w:hAnsiTheme="minorHAnsi" w:cstheme="minorHAnsi"/>
          <w:spacing w:val="-7"/>
          <w:w w:val="105"/>
          <w:sz w:val="24"/>
          <w:szCs w:val="24"/>
        </w:rPr>
        <w:t xml:space="preserve"> </w:t>
      </w:r>
      <w:r w:rsidRPr="00752433">
        <w:rPr>
          <w:rFonts w:asciiTheme="minorHAnsi" w:hAnsiTheme="minorHAnsi" w:cstheme="minorHAnsi"/>
          <w:w w:val="105"/>
          <w:sz w:val="24"/>
          <w:szCs w:val="24"/>
        </w:rPr>
        <w:t>good</w:t>
      </w:r>
      <w:r w:rsidRPr="00752433">
        <w:rPr>
          <w:rFonts w:asciiTheme="minorHAnsi" w:hAnsiTheme="minorHAnsi" w:cstheme="minorHAnsi"/>
          <w:spacing w:val="-15"/>
          <w:w w:val="105"/>
          <w:sz w:val="24"/>
          <w:szCs w:val="24"/>
        </w:rPr>
        <w:t xml:space="preserve"> </w:t>
      </w:r>
      <w:r w:rsidRPr="00752433">
        <w:rPr>
          <w:rFonts w:asciiTheme="minorHAnsi" w:hAnsiTheme="minorHAnsi" w:cstheme="minorHAnsi"/>
          <w:w w:val="105"/>
          <w:sz w:val="24"/>
          <w:szCs w:val="24"/>
        </w:rPr>
        <w:t>standing</w:t>
      </w:r>
      <w:r w:rsidRPr="00752433">
        <w:rPr>
          <w:rFonts w:asciiTheme="minorHAnsi" w:hAnsiTheme="minorHAnsi" w:cstheme="minorHAnsi"/>
          <w:spacing w:val="-16"/>
          <w:w w:val="105"/>
          <w:sz w:val="24"/>
          <w:szCs w:val="24"/>
        </w:rPr>
        <w:t xml:space="preserve"> </w:t>
      </w:r>
      <w:r w:rsidRPr="00752433">
        <w:rPr>
          <w:rFonts w:asciiTheme="minorHAnsi" w:hAnsiTheme="minorHAnsi" w:cstheme="minorHAnsi"/>
          <w:w w:val="105"/>
          <w:sz w:val="24"/>
          <w:szCs w:val="24"/>
        </w:rPr>
        <w:t>in</w:t>
      </w:r>
      <w:r w:rsidRPr="00752433">
        <w:rPr>
          <w:rFonts w:asciiTheme="minorHAnsi" w:hAnsiTheme="minorHAnsi" w:cstheme="minorHAnsi"/>
          <w:spacing w:val="-2"/>
          <w:w w:val="105"/>
          <w:sz w:val="24"/>
          <w:szCs w:val="24"/>
        </w:rPr>
        <w:t xml:space="preserve"> </w:t>
      </w:r>
      <w:r w:rsidRPr="00752433">
        <w:rPr>
          <w:rFonts w:asciiTheme="minorHAnsi" w:hAnsiTheme="minorHAnsi" w:cstheme="minorHAnsi"/>
          <w:w w:val="105"/>
          <w:sz w:val="24"/>
          <w:szCs w:val="24"/>
        </w:rPr>
        <w:t xml:space="preserve">North Carolina. </w:t>
      </w:r>
    </w:p>
    <w:p w14:paraId="2077589F" w14:textId="77777777" w:rsidR="00752433" w:rsidRPr="00752433" w:rsidRDefault="00752433" w:rsidP="00752433">
      <w:pPr>
        <w:pStyle w:val="ListParagraph"/>
        <w:numPr>
          <w:ilvl w:val="0"/>
          <w:numId w:val="2"/>
        </w:numPr>
        <w:rPr>
          <w:rFonts w:asciiTheme="minorHAnsi" w:hAnsiTheme="minorHAnsi" w:cstheme="minorHAnsi"/>
          <w:w w:val="105"/>
          <w:sz w:val="24"/>
          <w:szCs w:val="24"/>
        </w:rPr>
      </w:pPr>
      <w:r w:rsidRPr="00752433">
        <w:rPr>
          <w:rFonts w:asciiTheme="minorHAnsi" w:hAnsiTheme="minorHAnsi" w:cstheme="minorHAnsi"/>
          <w:w w:val="105"/>
          <w:sz w:val="24"/>
          <w:szCs w:val="24"/>
        </w:rPr>
        <w:t xml:space="preserve">Is not currently on the suspension or debarment list for the State or Federal government (federal list, </w:t>
      </w:r>
      <w:hyperlink r:id="rId7" w:history="1">
        <w:r w:rsidRPr="00752433">
          <w:rPr>
            <w:rStyle w:val="Hyperlink"/>
            <w:rFonts w:asciiTheme="minorHAnsi" w:hAnsiTheme="minorHAnsi" w:cstheme="minorHAnsi"/>
            <w:w w:val="105"/>
            <w:sz w:val="24"/>
            <w:szCs w:val="24"/>
          </w:rPr>
          <w:t>https://www.sam.gov</w:t>
        </w:r>
      </w:hyperlink>
      <w:r w:rsidRPr="00752433">
        <w:rPr>
          <w:rFonts w:asciiTheme="minorHAnsi" w:hAnsiTheme="minorHAnsi" w:cstheme="minorHAnsi"/>
          <w:w w:val="105"/>
          <w:sz w:val="24"/>
          <w:szCs w:val="24"/>
        </w:rPr>
        <w:t xml:space="preserve">; NC list: </w:t>
      </w:r>
      <w:hyperlink r:id="rId8" w:history="1">
        <w:r w:rsidRPr="00752433">
          <w:rPr>
            <w:rStyle w:val="Hyperlink"/>
            <w:rFonts w:asciiTheme="minorHAnsi" w:hAnsiTheme="minorHAnsi" w:cstheme="minorHAnsi"/>
            <w:w w:val="105"/>
            <w:sz w:val="24"/>
            <w:szCs w:val="24"/>
          </w:rPr>
          <w:t>http://www.doa.state.nc.us/PandC/actions.asp</w:t>
        </w:r>
      </w:hyperlink>
      <w:r w:rsidRPr="00752433">
        <w:rPr>
          <w:rFonts w:asciiTheme="minorHAnsi" w:hAnsiTheme="minorHAnsi" w:cstheme="minorHAnsi"/>
          <w:w w:val="105"/>
          <w:sz w:val="24"/>
          <w:szCs w:val="24"/>
        </w:rPr>
        <w:t>); and</w:t>
      </w:r>
      <w:r w:rsidRPr="00752433">
        <w:rPr>
          <w:rFonts w:asciiTheme="minorHAnsi" w:hAnsiTheme="minorHAnsi" w:cstheme="minorHAnsi"/>
          <w:spacing w:val="-12"/>
          <w:w w:val="105"/>
          <w:sz w:val="24"/>
          <w:szCs w:val="24"/>
        </w:rPr>
        <w:t xml:space="preserve"> </w:t>
      </w:r>
    </w:p>
    <w:p w14:paraId="29C9B04F" w14:textId="2AA89560" w:rsidR="00752433" w:rsidRPr="00752433" w:rsidRDefault="00752433" w:rsidP="00752433">
      <w:pPr>
        <w:pStyle w:val="ListParagraph"/>
        <w:numPr>
          <w:ilvl w:val="0"/>
          <w:numId w:val="2"/>
        </w:numPr>
        <w:rPr>
          <w:rFonts w:asciiTheme="minorHAnsi" w:hAnsiTheme="minorHAnsi" w:cstheme="minorHAnsi"/>
          <w:w w:val="105"/>
          <w:sz w:val="24"/>
          <w:szCs w:val="24"/>
        </w:rPr>
      </w:pPr>
      <w:r w:rsidRPr="00752433">
        <w:rPr>
          <w:rFonts w:asciiTheme="minorHAnsi" w:hAnsiTheme="minorHAnsi" w:cstheme="minorHAnsi"/>
          <w:w w:val="105"/>
          <w:sz w:val="24"/>
          <w:szCs w:val="24"/>
        </w:rPr>
        <w:t>Has a</w:t>
      </w:r>
      <w:r w:rsidRPr="00752433">
        <w:rPr>
          <w:rFonts w:asciiTheme="minorHAnsi" w:hAnsiTheme="minorHAnsi" w:cstheme="minorHAnsi"/>
          <w:spacing w:val="-8"/>
          <w:w w:val="105"/>
          <w:sz w:val="24"/>
          <w:szCs w:val="24"/>
        </w:rPr>
        <w:t xml:space="preserve"> </w:t>
      </w:r>
      <w:r w:rsidRPr="00752433">
        <w:rPr>
          <w:rFonts w:asciiTheme="minorHAnsi" w:hAnsiTheme="minorHAnsi" w:cstheme="minorHAnsi"/>
          <w:w w:val="105"/>
          <w:sz w:val="24"/>
          <w:szCs w:val="24"/>
        </w:rPr>
        <w:t>minimum</w:t>
      </w:r>
      <w:r w:rsidRPr="00752433">
        <w:rPr>
          <w:rFonts w:asciiTheme="minorHAnsi" w:hAnsiTheme="minorHAnsi" w:cstheme="minorHAnsi"/>
          <w:spacing w:val="-13"/>
          <w:w w:val="105"/>
          <w:sz w:val="24"/>
          <w:szCs w:val="24"/>
        </w:rPr>
        <w:t xml:space="preserve"> </w:t>
      </w:r>
      <w:r w:rsidRPr="00752433">
        <w:rPr>
          <w:rFonts w:asciiTheme="minorHAnsi" w:hAnsiTheme="minorHAnsi" w:cstheme="minorHAnsi"/>
          <w:w w:val="105"/>
          <w:sz w:val="24"/>
          <w:szCs w:val="24"/>
        </w:rPr>
        <w:t>of</w:t>
      </w:r>
      <w:r w:rsidRPr="00752433">
        <w:rPr>
          <w:rFonts w:asciiTheme="minorHAnsi" w:hAnsiTheme="minorHAnsi" w:cstheme="minorHAnsi"/>
          <w:spacing w:val="-10"/>
          <w:w w:val="105"/>
          <w:sz w:val="24"/>
          <w:szCs w:val="24"/>
        </w:rPr>
        <w:t xml:space="preserve"> </w:t>
      </w:r>
      <w:r w:rsidRPr="00752433">
        <w:rPr>
          <w:rFonts w:asciiTheme="minorHAnsi" w:hAnsiTheme="minorHAnsi" w:cstheme="minorHAnsi"/>
          <w:w w:val="105"/>
          <w:sz w:val="24"/>
          <w:szCs w:val="24"/>
        </w:rPr>
        <w:t>five</w:t>
      </w:r>
      <w:r w:rsidRPr="00752433">
        <w:rPr>
          <w:rFonts w:asciiTheme="minorHAnsi" w:hAnsiTheme="minorHAnsi" w:cstheme="minorHAnsi"/>
          <w:spacing w:val="-16"/>
          <w:w w:val="105"/>
          <w:sz w:val="24"/>
          <w:szCs w:val="24"/>
        </w:rPr>
        <w:t xml:space="preserve"> </w:t>
      </w:r>
      <w:r w:rsidRPr="00752433">
        <w:rPr>
          <w:rFonts w:asciiTheme="minorHAnsi" w:hAnsiTheme="minorHAnsi" w:cstheme="minorHAnsi"/>
          <w:w w:val="105"/>
          <w:sz w:val="24"/>
          <w:szCs w:val="24"/>
        </w:rPr>
        <w:t>years of</w:t>
      </w:r>
      <w:r w:rsidRPr="00752433">
        <w:rPr>
          <w:rFonts w:asciiTheme="minorHAnsi" w:hAnsiTheme="minorHAnsi" w:cstheme="minorHAnsi"/>
          <w:spacing w:val="-15"/>
          <w:w w:val="105"/>
          <w:sz w:val="24"/>
          <w:szCs w:val="24"/>
        </w:rPr>
        <w:t xml:space="preserve"> </w:t>
      </w:r>
      <w:r w:rsidRPr="00752433">
        <w:rPr>
          <w:rFonts w:asciiTheme="minorHAnsi" w:hAnsiTheme="minorHAnsi" w:cstheme="minorHAnsi"/>
          <w:w w:val="105"/>
          <w:sz w:val="24"/>
          <w:szCs w:val="24"/>
        </w:rPr>
        <w:t>experience</w:t>
      </w:r>
      <w:r w:rsidRPr="00752433">
        <w:rPr>
          <w:rFonts w:asciiTheme="minorHAnsi" w:hAnsiTheme="minorHAnsi" w:cstheme="minorHAnsi"/>
          <w:spacing w:val="-7"/>
          <w:w w:val="105"/>
          <w:sz w:val="24"/>
          <w:szCs w:val="24"/>
        </w:rPr>
        <w:t xml:space="preserve"> </w:t>
      </w:r>
      <w:r w:rsidRPr="00752433">
        <w:rPr>
          <w:rFonts w:asciiTheme="minorHAnsi" w:hAnsiTheme="minorHAnsi" w:cstheme="minorHAnsi"/>
          <w:w w:val="105"/>
          <w:sz w:val="24"/>
          <w:szCs w:val="24"/>
        </w:rPr>
        <w:t>operating</w:t>
      </w:r>
      <w:r w:rsidRPr="00752433">
        <w:rPr>
          <w:rFonts w:asciiTheme="minorHAnsi" w:hAnsiTheme="minorHAnsi" w:cstheme="minorHAnsi"/>
          <w:spacing w:val="-10"/>
          <w:w w:val="105"/>
          <w:sz w:val="24"/>
          <w:szCs w:val="24"/>
        </w:rPr>
        <w:t xml:space="preserve"> </w:t>
      </w:r>
      <w:r w:rsidRPr="00752433">
        <w:rPr>
          <w:rFonts w:asciiTheme="minorHAnsi" w:hAnsiTheme="minorHAnsi" w:cstheme="minorHAnsi"/>
          <w:w w:val="105"/>
          <w:sz w:val="24"/>
          <w:szCs w:val="24"/>
        </w:rPr>
        <w:t>or</w:t>
      </w:r>
      <w:r w:rsidRPr="00752433">
        <w:rPr>
          <w:rFonts w:asciiTheme="minorHAnsi" w:hAnsiTheme="minorHAnsi" w:cstheme="minorHAnsi"/>
          <w:spacing w:val="-18"/>
          <w:w w:val="105"/>
          <w:sz w:val="24"/>
          <w:szCs w:val="24"/>
        </w:rPr>
        <w:t xml:space="preserve"> </w:t>
      </w:r>
      <w:r w:rsidRPr="00752433">
        <w:rPr>
          <w:rFonts w:asciiTheme="minorHAnsi" w:hAnsiTheme="minorHAnsi" w:cstheme="minorHAnsi"/>
          <w:w w:val="105"/>
          <w:sz w:val="24"/>
          <w:szCs w:val="24"/>
        </w:rPr>
        <w:t>delivering</w:t>
      </w:r>
      <w:r w:rsidRPr="00752433">
        <w:rPr>
          <w:rFonts w:asciiTheme="minorHAnsi" w:hAnsiTheme="minorHAnsi" w:cstheme="minorHAnsi"/>
          <w:spacing w:val="-8"/>
          <w:w w:val="105"/>
          <w:sz w:val="24"/>
          <w:szCs w:val="24"/>
        </w:rPr>
        <w:t xml:space="preserve"> </w:t>
      </w:r>
      <w:r w:rsidRPr="00752433">
        <w:rPr>
          <w:rFonts w:asciiTheme="minorHAnsi" w:hAnsiTheme="minorHAnsi" w:cstheme="minorHAnsi"/>
          <w:w w:val="105"/>
          <w:sz w:val="24"/>
          <w:szCs w:val="24"/>
        </w:rPr>
        <w:t>services</w:t>
      </w:r>
      <w:r w:rsidRPr="00752433">
        <w:rPr>
          <w:rFonts w:asciiTheme="minorHAnsi" w:hAnsiTheme="minorHAnsi" w:cstheme="minorHAnsi"/>
          <w:spacing w:val="-8"/>
          <w:w w:val="105"/>
          <w:sz w:val="24"/>
          <w:szCs w:val="24"/>
        </w:rPr>
        <w:t xml:space="preserve"> </w:t>
      </w:r>
      <w:r w:rsidRPr="00752433">
        <w:rPr>
          <w:rFonts w:asciiTheme="minorHAnsi" w:hAnsiTheme="minorHAnsi" w:cstheme="minorHAnsi"/>
          <w:w w:val="105"/>
          <w:sz w:val="24"/>
          <w:szCs w:val="24"/>
        </w:rPr>
        <w:t>to</w:t>
      </w:r>
      <w:r w:rsidRPr="00752433">
        <w:rPr>
          <w:rFonts w:asciiTheme="minorHAnsi" w:hAnsiTheme="minorHAnsi" w:cstheme="minorHAnsi"/>
          <w:spacing w:val="-13"/>
          <w:w w:val="105"/>
          <w:sz w:val="24"/>
          <w:szCs w:val="24"/>
        </w:rPr>
        <w:t xml:space="preserve"> </w:t>
      </w:r>
      <w:r w:rsidRPr="00752433">
        <w:rPr>
          <w:rFonts w:asciiTheme="minorHAnsi" w:hAnsiTheme="minorHAnsi" w:cstheme="minorHAnsi"/>
          <w:w w:val="105"/>
          <w:sz w:val="24"/>
          <w:szCs w:val="24"/>
        </w:rPr>
        <w:t xml:space="preserve">out-of-school time programs in North Carolina. </w:t>
      </w:r>
    </w:p>
    <w:p w14:paraId="397D9886" w14:textId="77777777" w:rsidR="00752433" w:rsidRPr="00752433" w:rsidRDefault="00752433" w:rsidP="00752433">
      <w:pPr>
        <w:rPr>
          <w:rFonts w:cstheme="minorHAnsi"/>
          <w:w w:val="105"/>
          <w:sz w:val="24"/>
          <w:szCs w:val="24"/>
        </w:rPr>
      </w:pPr>
    </w:p>
    <w:p w14:paraId="22510DA5" w14:textId="27921BFF" w:rsidR="00752433" w:rsidRDefault="00752433" w:rsidP="00752433">
      <w:pPr>
        <w:rPr>
          <w:rFonts w:cstheme="minorHAnsi"/>
          <w:w w:val="105"/>
          <w:sz w:val="24"/>
          <w:szCs w:val="24"/>
        </w:rPr>
      </w:pPr>
      <w:r w:rsidRPr="00752433">
        <w:rPr>
          <w:rFonts w:cstheme="minorHAnsi"/>
          <w:w w:val="105"/>
          <w:sz w:val="24"/>
          <w:szCs w:val="24"/>
        </w:rPr>
        <w:lastRenderedPageBreak/>
        <w:t xml:space="preserve">If an organization meets all the requirements above, it is eligible to complete the External Organization Profile (EOP).  </w:t>
      </w:r>
    </w:p>
    <w:p w14:paraId="7F295D07" w14:textId="77777777" w:rsidR="003700A7" w:rsidRDefault="003700A7" w:rsidP="00752433">
      <w:pPr>
        <w:rPr>
          <w:rFonts w:cstheme="minorHAnsi"/>
          <w:w w:val="105"/>
          <w:sz w:val="24"/>
          <w:szCs w:val="24"/>
        </w:rPr>
      </w:pPr>
    </w:p>
    <w:p w14:paraId="268DBDF6" w14:textId="77777777" w:rsidR="003700A7" w:rsidRDefault="003700A7" w:rsidP="00752433"/>
    <w:p w14:paraId="47CABDD3" w14:textId="77777777" w:rsidR="003700A7" w:rsidRDefault="003700A7" w:rsidP="00752433"/>
    <w:p w14:paraId="24B75A76" w14:textId="77777777" w:rsidR="003700A7" w:rsidRDefault="003700A7" w:rsidP="00752433"/>
    <w:p w14:paraId="12ECECC0" w14:textId="15A98E4D" w:rsidR="003700A7" w:rsidRPr="003700A7" w:rsidRDefault="003700A7" w:rsidP="00752433">
      <w:pPr>
        <w:rPr>
          <w:b/>
          <w:bCs/>
          <w:sz w:val="24"/>
          <w:szCs w:val="24"/>
        </w:rPr>
      </w:pPr>
      <w:r w:rsidRPr="003700A7">
        <w:rPr>
          <w:b/>
          <w:bCs/>
          <w:sz w:val="24"/>
          <w:szCs w:val="24"/>
        </w:rPr>
        <w:t xml:space="preserve">HOW TO SUBMIT AN EXTERAL ORGANIATION PROFILE </w:t>
      </w:r>
    </w:p>
    <w:p w14:paraId="1363C988" w14:textId="10D3A30F" w:rsidR="003700A7" w:rsidRDefault="003700A7" w:rsidP="00752433">
      <w:pPr>
        <w:rPr>
          <w:sz w:val="24"/>
          <w:szCs w:val="24"/>
        </w:rPr>
      </w:pPr>
      <w:r w:rsidRPr="003700A7">
        <w:rPr>
          <w:sz w:val="24"/>
          <w:szCs w:val="24"/>
        </w:rPr>
        <w:t xml:space="preserve">Any organization that meets the requirement for inclusion may submit an External Organization Profile (via Microsoft Forms link) by </w:t>
      </w:r>
      <w:r w:rsidR="00D3746D">
        <w:rPr>
          <w:sz w:val="24"/>
          <w:szCs w:val="24"/>
        </w:rPr>
        <w:t>Wednesday</w:t>
      </w:r>
      <w:r w:rsidRPr="003700A7">
        <w:rPr>
          <w:sz w:val="24"/>
          <w:szCs w:val="24"/>
        </w:rPr>
        <w:t xml:space="preserve">, </w:t>
      </w:r>
      <w:r>
        <w:rPr>
          <w:sz w:val="24"/>
          <w:szCs w:val="24"/>
        </w:rPr>
        <w:t>July 1</w:t>
      </w:r>
      <w:r w:rsidR="0053365C">
        <w:rPr>
          <w:sz w:val="24"/>
          <w:szCs w:val="24"/>
        </w:rPr>
        <w:t>9</w:t>
      </w:r>
      <w:r>
        <w:rPr>
          <w:sz w:val="24"/>
          <w:szCs w:val="24"/>
        </w:rPr>
        <w:t>, 2023,</w:t>
      </w:r>
      <w:r w:rsidRPr="003700A7">
        <w:rPr>
          <w:sz w:val="24"/>
          <w:szCs w:val="24"/>
        </w:rPr>
        <w:t xml:space="preserve"> by 5pm EST. </w:t>
      </w:r>
    </w:p>
    <w:p w14:paraId="0630D47C" w14:textId="77777777" w:rsidR="003700A7" w:rsidRPr="003700A7" w:rsidRDefault="003700A7" w:rsidP="003700A7">
      <w:pPr>
        <w:pStyle w:val="ListParagraph"/>
        <w:numPr>
          <w:ilvl w:val="0"/>
          <w:numId w:val="5"/>
        </w:numPr>
        <w:rPr>
          <w:rFonts w:asciiTheme="minorHAnsi" w:hAnsiTheme="minorHAnsi" w:cstheme="minorHAnsi"/>
          <w:w w:val="105"/>
          <w:sz w:val="24"/>
          <w:szCs w:val="24"/>
        </w:rPr>
      </w:pPr>
      <w:r w:rsidRPr="003700A7">
        <w:rPr>
          <w:rFonts w:asciiTheme="minorHAnsi" w:hAnsiTheme="minorHAnsi" w:cstheme="minorHAnsi"/>
          <w:sz w:val="24"/>
          <w:szCs w:val="24"/>
        </w:rPr>
        <w:t>Applicants will be notified (via email) of their status within 30 days of the survey closing.</w:t>
      </w:r>
    </w:p>
    <w:p w14:paraId="597E18A9" w14:textId="55086599" w:rsidR="00A424E7" w:rsidRPr="003700A7" w:rsidRDefault="003700A7" w:rsidP="003700A7">
      <w:pPr>
        <w:pStyle w:val="ListParagraph"/>
        <w:numPr>
          <w:ilvl w:val="0"/>
          <w:numId w:val="5"/>
        </w:numPr>
        <w:rPr>
          <w:rFonts w:asciiTheme="minorHAnsi" w:hAnsiTheme="minorHAnsi" w:cstheme="minorHAnsi"/>
          <w:w w:val="105"/>
          <w:sz w:val="24"/>
          <w:szCs w:val="24"/>
        </w:rPr>
      </w:pPr>
      <w:r w:rsidRPr="003700A7">
        <w:rPr>
          <w:rFonts w:asciiTheme="minorHAnsi" w:hAnsiTheme="minorHAnsi" w:cstheme="minorHAnsi"/>
          <w:sz w:val="24"/>
          <w:szCs w:val="24"/>
        </w:rPr>
        <w:t xml:space="preserve">The prescreened list will be posted on the Department’s 21st CCLC webpage by Tuesday, August 14, </w:t>
      </w:r>
      <w:r w:rsidR="00A62CAC" w:rsidRPr="003700A7">
        <w:rPr>
          <w:rFonts w:asciiTheme="minorHAnsi" w:hAnsiTheme="minorHAnsi" w:cstheme="minorHAnsi"/>
          <w:sz w:val="24"/>
          <w:szCs w:val="24"/>
        </w:rPr>
        <w:t>2023,</w:t>
      </w:r>
      <w:r w:rsidRPr="003700A7">
        <w:rPr>
          <w:rFonts w:asciiTheme="minorHAnsi" w:hAnsiTheme="minorHAnsi" w:cstheme="minorHAnsi"/>
          <w:sz w:val="24"/>
          <w:szCs w:val="24"/>
        </w:rPr>
        <w:t xml:space="preserve"> by 5pm EST.</w:t>
      </w:r>
    </w:p>
    <w:p w14:paraId="2DB271BE" w14:textId="77777777" w:rsidR="003700A7" w:rsidRPr="003700A7" w:rsidRDefault="003700A7" w:rsidP="003700A7">
      <w:pPr>
        <w:pStyle w:val="ListParagraph"/>
        <w:ind w:left="720" w:firstLine="0"/>
        <w:rPr>
          <w:rFonts w:asciiTheme="minorHAnsi" w:hAnsiTheme="minorHAnsi" w:cstheme="minorHAnsi"/>
          <w:w w:val="105"/>
          <w:sz w:val="24"/>
          <w:szCs w:val="24"/>
        </w:rPr>
      </w:pPr>
    </w:p>
    <w:p w14:paraId="2DFF3CBC" w14:textId="44B52B36" w:rsidR="00752433" w:rsidRPr="00A424E7" w:rsidRDefault="00752433" w:rsidP="00A424E7">
      <w:pPr>
        <w:rPr>
          <w:rFonts w:cstheme="minorHAnsi"/>
          <w:b/>
          <w:sz w:val="24"/>
          <w:szCs w:val="24"/>
        </w:rPr>
      </w:pPr>
      <w:r w:rsidRPr="00752433">
        <w:rPr>
          <w:rFonts w:cstheme="minorHAnsi"/>
          <w:b/>
          <w:w w:val="105"/>
          <w:sz w:val="24"/>
          <w:szCs w:val="24"/>
        </w:rPr>
        <w:t>DISCLAIMERS</w:t>
      </w:r>
    </w:p>
    <w:p w14:paraId="2F90E3A8" w14:textId="4EEA1720" w:rsidR="00752433" w:rsidRPr="00752433" w:rsidRDefault="00752433" w:rsidP="00752433">
      <w:pPr>
        <w:pStyle w:val="ListParagraph"/>
        <w:numPr>
          <w:ilvl w:val="0"/>
          <w:numId w:val="3"/>
        </w:numPr>
        <w:tabs>
          <w:tab w:val="left" w:pos="1710"/>
        </w:tabs>
        <w:spacing w:after="120"/>
        <w:ind w:right="306"/>
        <w:rPr>
          <w:rFonts w:asciiTheme="minorHAnsi" w:hAnsiTheme="minorHAnsi" w:cstheme="minorHAnsi"/>
          <w:spacing w:val="-10"/>
          <w:sz w:val="24"/>
          <w:szCs w:val="24"/>
        </w:rPr>
      </w:pPr>
      <w:r w:rsidRPr="00752433">
        <w:rPr>
          <w:rFonts w:asciiTheme="minorHAnsi" w:hAnsiTheme="minorHAnsi" w:cstheme="minorHAnsi"/>
          <w:spacing w:val="-10"/>
          <w:w w:val="105"/>
          <w:sz w:val="24"/>
          <w:szCs w:val="24"/>
        </w:rPr>
        <w:t>Any external organization that meets and maintains the criteria outlined above, completes all sections in the survey, and submits by the deadline, will be included on the Prescreened External Organizations list for at least a two-year period. The list will be maintained on the NCDPI website for the 21</w:t>
      </w:r>
      <w:r w:rsidRPr="00752433">
        <w:rPr>
          <w:rFonts w:asciiTheme="minorHAnsi" w:hAnsiTheme="minorHAnsi" w:cstheme="minorHAnsi"/>
          <w:spacing w:val="-10"/>
          <w:w w:val="105"/>
          <w:sz w:val="24"/>
          <w:szCs w:val="24"/>
          <w:vertAlign w:val="superscript"/>
        </w:rPr>
        <w:t>st</w:t>
      </w:r>
      <w:r w:rsidRPr="00752433">
        <w:rPr>
          <w:rFonts w:asciiTheme="minorHAnsi" w:hAnsiTheme="minorHAnsi" w:cstheme="minorHAnsi"/>
          <w:spacing w:val="-10"/>
          <w:w w:val="105"/>
          <w:sz w:val="24"/>
          <w:szCs w:val="24"/>
        </w:rPr>
        <w:t xml:space="preserve"> CCLC Program, located at </w:t>
      </w:r>
      <w:hyperlink r:id="rId9" w:history="1">
        <w:r w:rsidRPr="00752433">
          <w:rPr>
            <w:rStyle w:val="Hyperlink"/>
            <w:rFonts w:asciiTheme="minorHAnsi" w:hAnsiTheme="minorHAnsi" w:cstheme="minorHAnsi"/>
            <w:sz w:val="24"/>
            <w:szCs w:val="24"/>
          </w:rPr>
          <w:t>https://www.dpi.nc.gov/districts-schools/federal-program-monitoring/title-iv-part-b-21st-century-community-learning-centers</w:t>
        </w:r>
      </w:hyperlink>
      <w:r w:rsidRPr="00752433">
        <w:rPr>
          <w:rFonts w:asciiTheme="minorHAnsi" w:hAnsiTheme="minorHAnsi" w:cstheme="minorHAnsi"/>
          <w:sz w:val="24"/>
          <w:szCs w:val="24"/>
        </w:rPr>
        <w:t>.</w:t>
      </w:r>
    </w:p>
    <w:p w14:paraId="5BAA12C5" w14:textId="77777777" w:rsidR="00752433" w:rsidRPr="00752433" w:rsidRDefault="00752433" w:rsidP="00752433">
      <w:pPr>
        <w:pStyle w:val="ListParagraph"/>
        <w:numPr>
          <w:ilvl w:val="0"/>
          <w:numId w:val="3"/>
        </w:numPr>
        <w:tabs>
          <w:tab w:val="left" w:pos="1710"/>
          <w:tab w:val="left" w:pos="1947"/>
        </w:tabs>
        <w:spacing w:before="94" w:after="120"/>
        <w:ind w:right="187"/>
        <w:rPr>
          <w:rFonts w:asciiTheme="minorHAnsi" w:hAnsiTheme="minorHAnsi" w:cstheme="minorHAnsi"/>
          <w:spacing w:val="-10"/>
          <w:sz w:val="24"/>
          <w:szCs w:val="24"/>
        </w:rPr>
      </w:pPr>
      <w:r w:rsidRPr="00752433">
        <w:rPr>
          <w:rFonts w:asciiTheme="minorHAnsi" w:hAnsiTheme="minorHAnsi" w:cstheme="minorHAnsi"/>
          <w:spacing w:val="-10"/>
          <w:w w:val="105"/>
          <w:sz w:val="24"/>
          <w:szCs w:val="24"/>
        </w:rPr>
        <w:t xml:space="preserve">No funding is directly associated with completion of this profile nor for inclusion on the Prescreened External Organizations list. </w:t>
      </w:r>
    </w:p>
    <w:p w14:paraId="269F0907" w14:textId="77777777" w:rsidR="00752433" w:rsidRPr="00752433" w:rsidRDefault="00752433" w:rsidP="00752433">
      <w:pPr>
        <w:pStyle w:val="ListParagraph"/>
        <w:numPr>
          <w:ilvl w:val="0"/>
          <w:numId w:val="3"/>
        </w:numPr>
        <w:tabs>
          <w:tab w:val="left" w:pos="1710"/>
          <w:tab w:val="left" w:pos="1947"/>
        </w:tabs>
        <w:spacing w:before="94" w:after="120"/>
        <w:ind w:right="185"/>
        <w:rPr>
          <w:rFonts w:asciiTheme="minorHAnsi" w:hAnsiTheme="minorHAnsi" w:cstheme="minorHAnsi"/>
          <w:b/>
          <w:spacing w:val="-10"/>
          <w:sz w:val="24"/>
          <w:szCs w:val="24"/>
        </w:rPr>
      </w:pPr>
      <w:r w:rsidRPr="00752433">
        <w:rPr>
          <w:rFonts w:asciiTheme="minorHAnsi" w:hAnsiTheme="minorHAnsi" w:cstheme="minorHAnsi"/>
          <w:spacing w:val="-10"/>
          <w:w w:val="105"/>
          <w:sz w:val="24"/>
          <w:szCs w:val="24"/>
        </w:rPr>
        <w:t xml:space="preserve">Completion of this profile or inclusion on the Prescreened External Organizations list </w:t>
      </w:r>
      <w:r w:rsidRPr="00752433">
        <w:rPr>
          <w:rFonts w:asciiTheme="minorHAnsi" w:hAnsiTheme="minorHAnsi" w:cstheme="minorHAnsi"/>
          <w:b/>
          <w:spacing w:val="-10"/>
          <w:w w:val="105"/>
          <w:sz w:val="24"/>
          <w:szCs w:val="24"/>
        </w:rPr>
        <w:t xml:space="preserve">will </w:t>
      </w:r>
      <w:r w:rsidRPr="00752433">
        <w:rPr>
          <w:rFonts w:asciiTheme="minorHAnsi" w:hAnsiTheme="minorHAnsi" w:cstheme="minorHAnsi"/>
          <w:b/>
          <w:spacing w:val="-10"/>
          <w:w w:val="105"/>
          <w:sz w:val="24"/>
          <w:szCs w:val="24"/>
          <w:u w:val="single"/>
        </w:rPr>
        <w:t>not</w:t>
      </w:r>
      <w:r w:rsidRPr="00752433">
        <w:rPr>
          <w:rFonts w:asciiTheme="minorHAnsi" w:hAnsiTheme="minorHAnsi" w:cstheme="minorHAnsi"/>
          <w:b/>
          <w:spacing w:val="-10"/>
          <w:w w:val="105"/>
          <w:sz w:val="24"/>
          <w:szCs w:val="24"/>
        </w:rPr>
        <w:t xml:space="preserve"> result in a contract with NCDPI.</w:t>
      </w:r>
    </w:p>
    <w:p w14:paraId="3E2A15E1" w14:textId="77777777" w:rsidR="00752433" w:rsidRPr="00752433" w:rsidRDefault="00752433" w:rsidP="00752433">
      <w:pPr>
        <w:pStyle w:val="ListParagraph"/>
        <w:numPr>
          <w:ilvl w:val="0"/>
          <w:numId w:val="3"/>
        </w:numPr>
        <w:tabs>
          <w:tab w:val="left" w:pos="1710"/>
          <w:tab w:val="left" w:pos="1929"/>
        </w:tabs>
        <w:spacing w:after="120"/>
        <w:ind w:right="101"/>
        <w:rPr>
          <w:rFonts w:asciiTheme="minorHAnsi" w:hAnsiTheme="minorHAnsi" w:cstheme="minorHAnsi"/>
          <w:spacing w:val="-10"/>
          <w:sz w:val="24"/>
          <w:szCs w:val="24"/>
        </w:rPr>
      </w:pPr>
      <w:r w:rsidRPr="00752433">
        <w:rPr>
          <w:rFonts w:asciiTheme="minorHAnsi" w:hAnsiTheme="minorHAnsi" w:cstheme="minorHAnsi"/>
          <w:spacing w:val="-10"/>
          <w:w w:val="105"/>
          <w:sz w:val="24"/>
          <w:szCs w:val="24"/>
        </w:rPr>
        <w:t xml:space="preserve">The NCDPI's inclusion of an organization on the eligible provider list </w:t>
      </w:r>
      <w:r w:rsidRPr="00752433">
        <w:rPr>
          <w:rFonts w:asciiTheme="minorHAnsi" w:hAnsiTheme="minorHAnsi" w:cstheme="minorHAnsi"/>
          <w:b/>
          <w:spacing w:val="-10"/>
          <w:w w:val="105"/>
          <w:sz w:val="24"/>
          <w:szCs w:val="24"/>
        </w:rPr>
        <w:t xml:space="preserve">is </w:t>
      </w:r>
      <w:r w:rsidRPr="00752433">
        <w:rPr>
          <w:rFonts w:asciiTheme="minorHAnsi" w:hAnsiTheme="minorHAnsi" w:cstheme="minorHAnsi"/>
          <w:b/>
          <w:spacing w:val="-10"/>
          <w:w w:val="105"/>
          <w:sz w:val="24"/>
          <w:szCs w:val="24"/>
          <w:u w:val="single"/>
        </w:rPr>
        <w:t>not</w:t>
      </w:r>
      <w:r w:rsidRPr="00752433">
        <w:rPr>
          <w:rFonts w:asciiTheme="minorHAnsi" w:hAnsiTheme="minorHAnsi" w:cstheme="minorHAnsi"/>
          <w:b/>
          <w:spacing w:val="-10"/>
          <w:w w:val="105"/>
          <w:sz w:val="24"/>
          <w:szCs w:val="24"/>
        </w:rPr>
        <w:t xml:space="preserve"> an endorsement of the organization, nor is it a certification of the quality of activities provided by the organizations</w:t>
      </w:r>
      <w:r w:rsidRPr="00752433">
        <w:rPr>
          <w:rFonts w:asciiTheme="minorHAnsi" w:hAnsiTheme="minorHAnsi" w:cstheme="minorHAnsi"/>
          <w:spacing w:val="-10"/>
          <w:w w:val="105"/>
          <w:sz w:val="24"/>
          <w:szCs w:val="24"/>
        </w:rPr>
        <w:t>. Inclusion on the list is solely verification that the organization has successfully completed the external organization prescreening process.</w:t>
      </w:r>
    </w:p>
    <w:p w14:paraId="6F962563" w14:textId="77777777" w:rsidR="00752433" w:rsidRPr="00752433" w:rsidRDefault="00752433" w:rsidP="00752433">
      <w:pPr>
        <w:pStyle w:val="ListParagraph"/>
        <w:numPr>
          <w:ilvl w:val="0"/>
          <w:numId w:val="3"/>
        </w:numPr>
        <w:tabs>
          <w:tab w:val="left" w:pos="1710"/>
          <w:tab w:val="left" w:pos="1943"/>
        </w:tabs>
        <w:spacing w:after="120"/>
        <w:ind w:right="131"/>
        <w:rPr>
          <w:rFonts w:asciiTheme="minorHAnsi" w:hAnsiTheme="minorHAnsi" w:cstheme="minorHAnsi"/>
          <w:spacing w:val="-10"/>
          <w:sz w:val="24"/>
          <w:szCs w:val="24"/>
        </w:rPr>
      </w:pPr>
      <w:r w:rsidRPr="00752433">
        <w:rPr>
          <w:rFonts w:asciiTheme="minorHAnsi" w:hAnsiTheme="minorHAnsi" w:cstheme="minorHAnsi"/>
          <w:spacing w:val="-10"/>
          <w:w w:val="105"/>
          <w:sz w:val="24"/>
          <w:szCs w:val="24"/>
        </w:rPr>
        <w:t>The NCDPI reserves the right to omit any organization from the list for failure to complete the profile in its entirety.</w:t>
      </w:r>
    </w:p>
    <w:p w14:paraId="6E254032" w14:textId="77777777" w:rsidR="00752433" w:rsidRPr="00752433" w:rsidRDefault="00752433" w:rsidP="00752433">
      <w:pPr>
        <w:pStyle w:val="ListParagraph"/>
        <w:numPr>
          <w:ilvl w:val="0"/>
          <w:numId w:val="3"/>
        </w:numPr>
        <w:tabs>
          <w:tab w:val="left" w:pos="1710"/>
          <w:tab w:val="left" w:pos="2001"/>
        </w:tabs>
        <w:spacing w:before="1" w:after="120"/>
        <w:ind w:right="391"/>
        <w:rPr>
          <w:rFonts w:asciiTheme="minorHAnsi" w:hAnsiTheme="minorHAnsi" w:cstheme="minorHAnsi"/>
          <w:spacing w:val="-10"/>
          <w:sz w:val="24"/>
          <w:szCs w:val="24"/>
        </w:rPr>
      </w:pPr>
      <w:r w:rsidRPr="00752433">
        <w:rPr>
          <w:rFonts w:asciiTheme="minorHAnsi" w:hAnsiTheme="minorHAnsi" w:cstheme="minorHAnsi"/>
          <w:spacing w:val="-10"/>
          <w:w w:val="105"/>
          <w:sz w:val="24"/>
          <w:szCs w:val="24"/>
        </w:rPr>
        <w:t>The NCDPI reserves the right to remove an organization from the list when it fails to meet the minimum record of success.</w:t>
      </w:r>
    </w:p>
    <w:p w14:paraId="261CBA79" w14:textId="77777777" w:rsidR="00752433" w:rsidRPr="00752433" w:rsidRDefault="00752433" w:rsidP="00752433">
      <w:pPr>
        <w:pStyle w:val="ListParagraph"/>
        <w:numPr>
          <w:ilvl w:val="0"/>
          <w:numId w:val="3"/>
        </w:numPr>
        <w:tabs>
          <w:tab w:val="left" w:pos="1710"/>
          <w:tab w:val="left" w:pos="1929"/>
        </w:tabs>
        <w:spacing w:after="120"/>
        <w:ind w:right="101"/>
        <w:rPr>
          <w:rFonts w:asciiTheme="minorHAnsi" w:hAnsiTheme="minorHAnsi" w:cstheme="minorHAnsi"/>
          <w:spacing w:val="-10"/>
          <w:sz w:val="24"/>
          <w:szCs w:val="24"/>
        </w:rPr>
      </w:pPr>
      <w:r w:rsidRPr="00752433">
        <w:rPr>
          <w:rFonts w:asciiTheme="minorHAnsi" w:hAnsiTheme="minorHAnsi" w:cstheme="minorHAnsi"/>
          <w:spacing w:val="-10"/>
          <w:w w:val="105"/>
          <w:sz w:val="24"/>
          <w:szCs w:val="24"/>
        </w:rPr>
        <w:t xml:space="preserve">The NCDPI does not guarantee the number of referrals or contracts, if any, which may result for any organizations on the Prescreened External Organizations list. </w:t>
      </w:r>
    </w:p>
    <w:p w14:paraId="372A749F" w14:textId="77777777" w:rsidR="00752433" w:rsidRPr="00752433" w:rsidRDefault="00752433" w:rsidP="00752433">
      <w:pPr>
        <w:pStyle w:val="ListParagraph"/>
        <w:numPr>
          <w:ilvl w:val="0"/>
          <w:numId w:val="4"/>
        </w:numPr>
        <w:tabs>
          <w:tab w:val="left" w:pos="1710"/>
        </w:tabs>
        <w:spacing w:after="120"/>
        <w:ind w:right="366"/>
        <w:rPr>
          <w:rFonts w:asciiTheme="minorHAnsi" w:hAnsiTheme="minorHAnsi" w:cstheme="minorHAnsi"/>
          <w:sz w:val="24"/>
          <w:szCs w:val="24"/>
        </w:rPr>
      </w:pPr>
      <w:r w:rsidRPr="00752433">
        <w:rPr>
          <w:rFonts w:asciiTheme="minorHAnsi" w:hAnsiTheme="minorHAnsi" w:cstheme="minorHAnsi"/>
          <w:spacing w:val="-10"/>
          <w:w w:val="105"/>
          <w:sz w:val="24"/>
          <w:szCs w:val="24"/>
        </w:rPr>
        <w:t xml:space="preserve">Once submitted, all information provided by an external organization in response to this profile solicitation is considered public information and must be shared upon request, </w:t>
      </w:r>
      <w:r w:rsidRPr="00752433">
        <w:rPr>
          <w:rFonts w:asciiTheme="minorHAnsi" w:hAnsiTheme="minorHAnsi" w:cstheme="minorHAnsi"/>
          <w:spacing w:val="-10"/>
          <w:w w:val="105"/>
          <w:sz w:val="24"/>
          <w:szCs w:val="24"/>
        </w:rPr>
        <w:lastRenderedPageBreak/>
        <w:t>except as may be exempted from public records disclosure by NC General Statute, Chapter 132, 1.1-1.2.</w:t>
      </w:r>
    </w:p>
    <w:p w14:paraId="72C8C83B" w14:textId="77777777" w:rsidR="00752433" w:rsidRPr="00752433" w:rsidRDefault="00752433" w:rsidP="00752433">
      <w:pPr>
        <w:pStyle w:val="ListParagraph"/>
        <w:numPr>
          <w:ilvl w:val="0"/>
          <w:numId w:val="3"/>
        </w:numPr>
        <w:tabs>
          <w:tab w:val="left" w:pos="1710"/>
        </w:tabs>
        <w:spacing w:after="120"/>
        <w:ind w:right="433"/>
        <w:rPr>
          <w:rFonts w:asciiTheme="minorHAnsi" w:hAnsiTheme="minorHAnsi" w:cstheme="minorHAnsi"/>
          <w:spacing w:val="-10"/>
          <w:sz w:val="24"/>
          <w:szCs w:val="24"/>
        </w:rPr>
      </w:pPr>
      <w:r w:rsidRPr="00752433">
        <w:rPr>
          <w:rFonts w:asciiTheme="minorHAnsi" w:hAnsiTheme="minorHAnsi" w:cstheme="minorHAnsi"/>
          <w:spacing w:val="-10"/>
          <w:w w:val="105"/>
          <w:sz w:val="24"/>
          <w:szCs w:val="24"/>
        </w:rPr>
        <w:t xml:space="preserve">The NCDPI is not responsible for any technical difficulty the organization may experience during the completion of the survey submission. </w:t>
      </w:r>
    </w:p>
    <w:p w14:paraId="1CD9DB68" w14:textId="77777777" w:rsidR="00752433" w:rsidRPr="00752433" w:rsidRDefault="00752433" w:rsidP="00752433">
      <w:pPr>
        <w:rPr>
          <w:rFonts w:cstheme="minorHAnsi"/>
          <w:sz w:val="24"/>
          <w:szCs w:val="24"/>
        </w:rPr>
      </w:pPr>
    </w:p>
    <w:sectPr w:rsidR="00752433" w:rsidRPr="0075243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38BC4" w14:textId="77777777" w:rsidR="00D36498" w:rsidRDefault="00D36498" w:rsidP="00752433">
      <w:pPr>
        <w:spacing w:after="0" w:line="240" w:lineRule="auto"/>
      </w:pPr>
      <w:r>
        <w:separator/>
      </w:r>
    </w:p>
  </w:endnote>
  <w:endnote w:type="continuationSeparator" w:id="0">
    <w:p w14:paraId="45064341" w14:textId="77777777" w:rsidR="00D36498" w:rsidRDefault="00D36498" w:rsidP="00752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D5FFF" w14:textId="77777777" w:rsidR="00D36498" w:rsidRDefault="00D36498" w:rsidP="00752433">
      <w:pPr>
        <w:spacing w:after="0" w:line="240" w:lineRule="auto"/>
      </w:pPr>
      <w:r>
        <w:separator/>
      </w:r>
    </w:p>
  </w:footnote>
  <w:footnote w:type="continuationSeparator" w:id="0">
    <w:p w14:paraId="1CDD41C5" w14:textId="77777777" w:rsidR="00D36498" w:rsidRDefault="00D36498" w:rsidP="00752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D3D2B" w14:textId="1BAF7C3B" w:rsidR="00752433" w:rsidRDefault="00752433">
    <w:pPr>
      <w:pStyle w:val="Header"/>
    </w:pPr>
    <w:r>
      <w:rPr>
        <w:noProof/>
      </w:rPr>
      <w:drawing>
        <wp:anchor distT="0" distB="0" distL="114300" distR="114300" simplePos="0" relativeHeight="251658240" behindDoc="0" locked="0" layoutInCell="1" allowOverlap="1" wp14:anchorId="76E087FC" wp14:editId="43ECBD20">
          <wp:simplePos x="0" y="0"/>
          <wp:positionH relativeFrom="page">
            <wp:align>left</wp:align>
          </wp:positionH>
          <wp:positionV relativeFrom="page">
            <wp:posOffset>63334</wp:posOffset>
          </wp:positionV>
          <wp:extent cx="7791450" cy="1085215"/>
          <wp:effectExtent l="0" t="0" r="0" b="635"/>
          <wp:wrapNone/>
          <wp:docPr id="11812020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145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F29B7"/>
    <w:multiLevelType w:val="hybridMultilevel"/>
    <w:tmpl w:val="F4481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9C1D79"/>
    <w:multiLevelType w:val="hybridMultilevel"/>
    <w:tmpl w:val="BA3E5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973AAA"/>
    <w:multiLevelType w:val="hybridMultilevel"/>
    <w:tmpl w:val="7CF0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EC5E0C"/>
    <w:multiLevelType w:val="hybridMultilevel"/>
    <w:tmpl w:val="9586B4F8"/>
    <w:lvl w:ilvl="0" w:tplc="40CC4018">
      <w:start w:val="1"/>
      <w:numFmt w:val="decimal"/>
      <w:lvlText w:val="%1)"/>
      <w:lvlJc w:val="left"/>
      <w:pPr>
        <w:ind w:left="189" w:hanging="189"/>
      </w:pPr>
      <w:rPr>
        <w:rFonts w:hint="default"/>
        <w:color w:val="313131"/>
        <w:w w:val="105"/>
        <w:sz w:val="24"/>
        <w:szCs w:val="24"/>
      </w:rPr>
    </w:lvl>
    <w:lvl w:ilvl="1" w:tplc="3B1AA768">
      <w:numFmt w:val="bullet"/>
      <w:lvlText w:val="•"/>
      <w:lvlJc w:val="left"/>
      <w:pPr>
        <w:ind w:left="1263" w:hanging="189"/>
      </w:pPr>
      <w:rPr>
        <w:rFonts w:hint="default"/>
      </w:rPr>
    </w:lvl>
    <w:lvl w:ilvl="2" w:tplc="B1A48702">
      <w:numFmt w:val="bullet"/>
      <w:lvlText w:val="•"/>
      <w:lvlJc w:val="left"/>
      <w:pPr>
        <w:ind w:left="2151" w:hanging="189"/>
      </w:pPr>
      <w:rPr>
        <w:rFonts w:hint="default"/>
      </w:rPr>
    </w:lvl>
    <w:lvl w:ilvl="3" w:tplc="00EA66D0">
      <w:numFmt w:val="bullet"/>
      <w:lvlText w:val="•"/>
      <w:lvlJc w:val="left"/>
      <w:pPr>
        <w:ind w:left="3039" w:hanging="189"/>
      </w:pPr>
      <w:rPr>
        <w:rFonts w:hint="default"/>
      </w:rPr>
    </w:lvl>
    <w:lvl w:ilvl="4" w:tplc="A094CAB4">
      <w:numFmt w:val="bullet"/>
      <w:lvlText w:val="•"/>
      <w:lvlJc w:val="left"/>
      <w:pPr>
        <w:ind w:left="3927" w:hanging="189"/>
      </w:pPr>
      <w:rPr>
        <w:rFonts w:hint="default"/>
      </w:rPr>
    </w:lvl>
    <w:lvl w:ilvl="5" w:tplc="1668F6D4">
      <w:numFmt w:val="bullet"/>
      <w:lvlText w:val="•"/>
      <w:lvlJc w:val="left"/>
      <w:pPr>
        <w:ind w:left="4815" w:hanging="189"/>
      </w:pPr>
      <w:rPr>
        <w:rFonts w:hint="default"/>
      </w:rPr>
    </w:lvl>
    <w:lvl w:ilvl="6" w:tplc="D54447D6">
      <w:numFmt w:val="bullet"/>
      <w:lvlText w:val="•"/>
      <w:lvlJc w:val="left"/>
      <w:pPr>
        <w:ind w:left="5703" w:hanging="189"/>
      </w:pPr>
      <w:rPr>
        <w:rFonts w:hint="default"/>
      </w:rPr>
    </w:lvl>
    <w:lvl w:ilvl="7" w:tplc="64ACA9A2">
      <w:numFmt w:val="bullet"/>
      <w:lvlText w:val="•"/>
      <w:lvlJc w:val="left"/>
      <w:pPr>
        <w:ind w:left="6591" w:hanging="189"/>
      </w:pPr>
      <w:rPr>
        <w:rFonts w:hint="default"/>
      </w:rPr>
    </w:lvl>
    <w:lvl w:ilvl="8" w:tplc="3AECC9A4">
      <w:numFmt w:val="bullet"/>
      <w:lvlText w:val="•"/>
      <w:lvlJc w:val="left"/>
      <w:pPr>
        <w:ind w:left="7479" w:hanging="189"/>
      </w:pPr>
      <w:rPr>
        <w:rFonts w:hint="default"/>
      </w:rPr>
    </w:lvl>
  </w:abstractNum>
  <w:abstractNum w:abstractNumId="4" w15:restartNumberingAfterBreak="0">
    <w:nsid w:val="7B2455CE"/>
    <w:multiLevelType w:val="hybridMultilevel"/>
    <w:tmpl w:val="FC2E0C6A"/>
    <w:lvl w:ilvl="0" w:tplc="E80A8C4E">
      <w:start w:val="1"/>
      <w:numFmt w:val="bullet"/>
      <w:lvlText w:val=""/>
      <w:lvlJc w:val="left"/>
      <w:pPr>
        <w:ind w:left="720" w:hanging="360"/>
      </w:pPr>
      <w:rPr>
        <w:rFonts w:ascii="Symbol" w:hAnsi="Symbol" w:hint="default"/>
        <w:color w:val="auto"/>
        <w:u w:color="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4924901">
    <w:abstractNumId w:val="3"/>
  </w:num>
  <w:num w:numId="2" w16cid:durableId="1001852562">
    <w:abstractNumId w:val="1"/>
  </w:num>
  <w:num w:numId="3" w16cid:durableId="594173618">
    <w:abstractNumId w:val="2"/>
  </w:num>
  <w:num w:numId="4" w16cid:durableId="784235019">
    <w:abstractNumId w:val="4"/>
  </w:num>
  <w:num w:numId="5" w16cid:durableId="2046246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433"/>
    <w:rsid w:val="003700A7"/>
    <w:rsid w:val="0053365C"/>
    <w:rsid w:val="005E0139"/>
    <w:rsid w:val="00692ED2"/>
    <w:rsid w:val="00752433"/>
    <w:rsid w:val="00A424E7"/>
    <w:rsid w:val="00A62CAC"/>
    <w:rsid w:val="00B73EC8"/>
    <w:rsid w:val="00C63DCB"/>
    <w:rsid w:val="00CA2BAB"/>
    <w:rsid w:val="00D36498"/>
    <w:rsid w:val="00D3746D"/>
    <w:rsid w:val="00D94311"/>
    <w:rsid w:val="00EC3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6265A"/>
  <w15:chartTrackingRefBased/>
  <w15:docId w15:val="{A81D84B0-2FF8-41CE-9599-B2774B420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24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524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24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433"/>
  </w:style>
  <w:style w:type="paragraph" w:styleId="Footer">
    <w:name w:val="footer"/>
    <w:basedOn w:val="Normal"/>
    <w:link w:val="FooterChar"/>
    <w:uiPriority w:val="99"/>
    <w:unhideWhenUsed/>
    <w:rsid w:val="007524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433"/>
  </w:style>
  <w:style w:type="character" w:customStyle="1" w:styleId="Heading2Char">
    <w:name w:val="Heading 2 Char"/>
    <w:basedOn w:val="DefaultParagraphFont"/>
    <w:link w:val="Heading2"/>
    <w:uiPriority w:val="9"/>
    <w:rsid w:val="00752433"/>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752433"/>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7524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24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243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52433"/>
    <w:rPr>
      <w:rFonts w:eastAsiaTheme="minorEastAsia"/>
      <w:color w:val="5A5A5A" w:themeColor="text1" w:themeTint="A5"/>
      <w:spacing w:val="15"/>
    </w:rPr>
  </w:style>
  <w:style w:type="character" w:styleId="SubtleEmphasis">
    <w:name w:val="Subtle Emphasis"/>
    <w:basedOn w:val="DefaultParagraphFont"/>
    <w:uiPriority w:val="19"/>
    <w:qFormat/>
    <w:rsid w:val="00752433"/>
    <w:rPr>
      <w:i/>
      <w:iCs/>
      <w:color w:val="404040" w:themeColor="text1" w:themeTint="BF"/>
    </w:rPr>
  </w:style>
  <w:style w:type="character" w:styleId="Strong">
    <w:name w:val="Strong"/>
    <w:basedOn w:val="DefaultParagraphFont"/>
    <w:uiPriority w:val="22"/>
    <w:qFormat/>
    <w:rsid w:val="00752433"/>
    <w:rPr>
      <w:b/>
      <w:bCs/>
    </w:rPr>
  </w:style>
  <w:style w:type="paragraph" w:styleId="ListParagraph">
    <w:name w:val="List Paragraph"/>
    <w:basedOn w:val="Normal"/>
    <w:uiPriority w:val="1"/>
    <w:qFormat/>
    <w:rsid w:val="00752433"/>
    <w:pPr>
      <w:widowControl w:val="0"/>
      <w:autoSpaceDE w:val="0"/>
      <w:autoSpaceDN w:val="0"/>
      <w:spacing w:after="0" w:line="240" w:lineRule="auto"/>
      <w:ind w:left="1716" w:hanging="1"/>
    </w:pPr>
    <w:rPr>
      <w:rFonts w:ascii="Arial" w:eastAsia="Arial" w:hAnsi="Arial" w:cs="Arial"/>
      <w:kern w:val="0"/>
      <w14:ligatures w14:val="none"/>
    </w:rPr>
  </w:style>
  <w:style w:type="character" w:styleId="Hyperlink">
    <w:name w:val="Hyperlink"/>
    <w:basedOn w:val="DefaultParagraphFont"/>
    <w:uiPriority w:val="99"/>
    <w:unhideWhenUsed/>
    <w:rsid w:val="00752433"/>
    <w:rPr>
      <w:color w:val="0563C1" w:themeColor="hyperlink"/>
      <w:u w:val="single"/>
    </w:rPr>
  </w:style>
  <w:style w:type="paragraph" w:styleId="BodyText">
    <w:name w:val="Body Text"/>
    <w:basedOn w:val="Normal"/>
    <w:link w:val="BodyTextChar"/>
    <w:uiPriority w:val="1"/>
    <w:qFormat/>
    <w:rsid w:val="00752433"/>
    <w:pPr>
      <w:widowControl w:val="0"/>
      <w:autoSpaceDE w:val="0"/>
      <w:autoSpaceDN w:val="0"/>
      <w:spacing w:after="0" w:line="240" w:lineRule="auto"/>
    </w:pPr>
    <w:rPr>
      <w:rFonts w:ascii="Arial" w:eastAsia="Arial" w:hAnsi="Arial" w:cs="Arial"/>
      <w:kern w:val="0"/>
      <w:sz w:val="20"/>
      <w:szCs w:val="20"/>
      <w14:ligatures w14:val="none"/>
    </w:rPr>
  </w:style>
  <w:style w:type="character" w:customStyle="1" w:styleId="BodyTextChar">
    <w:name w:val="Body Text Char"/>
    <w:basedOn w:val="DefaultParagraphFont"/>
    <w:link w:val="BodyText"/>
    <w:uiPriority w:val="1"/>
    <w:rsid w:val="00752433"/>
    <w:rPr>
      <w:rFonts w:ascii="Arial" w:eastAsia="Arial" w:hAnsi="Arial" w:cs="Arial"/>
      <w:kern w:val="0"/>
      <w:sz w:val="20"/>
      <w:szCs w:val="20"/>
      <w14:ligatures w14:val="none"/>
    </w:rPr>
  </w:style>
  <w:style w:type="character" w:styleId="FollowedHyperlink">
    <w:name w:val="FollowedHyperlink"/>
    <w:basedOn w:val="DefaultParagraphFont"/>
    <w:uiPriority w:val="99"/>
    <w:semiHidden/>
    <w:unhideWhenUsed/>
    <w:rsid w:val="00752433"/>
    <w:rPr>
      <w:color w:val="954F72" w:themeColor="followedHyperlink"/>
      <w:u w:val="single"/>
    </w:rPr>
  </w:style>
  <w:style w:type="character" w:styleId="UnresolvedMention">
    <w:name w:val="Unresolved Mention"/>
    <w:basedOn w:val="DefaultParagraphFont"/>
    <w:uiPriority w:val="99"/>
    <w:semiHidden/>
    <w:unhideWhenUsed/>
    <w:rsid w:val="007524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25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a.state.nc.us/PandC/actions.asp" TargetMode="External"/><Relationship Id="rId3" Type="http://schemas.openxmlformats.org/officeDocument/2006/relationships/settings" Target="settings.xml"/><Relationship Id="rId7" Type="http://schemas.openxmlformats.org/officeDocument/2006/relationships/hyperlink" Target="https://www.sam.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pi.nc.gov/districts-schools/federal-program-monitoring/title-iv-part-b-21st-century-community-learning-cent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Hawhana Locklear</dc:creator>
  <cp:keywords/>
  <dc:description/>
  <cp:lastModifiedBy>Hawhana Locklear</cp:lastModifiedBy>
  <cp:revision>2</cp:revision>
  <dcterms:created xsi:type="dcterms:W3CDTF">2023-06-15T17:48:00Z</dcterms:created>
  <dcterms:modified xsi:type="dcterms:W3CDTF">2023-06-15T17:48:00Z</dcterms:modified>
</cp:coreProperties>
</file>