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73CE" w14:textId="56CD00FF" w:rsidR="00EB7A5A" w:rsidRPr="005572A4" w:rsidRDefault="00EB7A5A" w:rsidP="00AF53F3">
      <w:pPr>
        <w:jc w:val="center"/>
        <w:rPr>
          <w:rFonts w:cs="Times New Roman"/>
          <w:b/>
          <w:bCs/>
          <w:color w:val="215E99" w:themeColor="text2" w:themeTint="BF"/>
          <w:sz w:val="56"/>
          <w:szCs w:val="56"/>
        </w:rPr>
      </w:pPr>
      <w:r w:rsidRPr="005572A4">
        <w:rPr>
          <w:rFonts w:cs="Times New Roman"/>
          <w:b/>
          <w:bCs/>
          <w:color w:val="215E99" w:themeColor="text2" w:themeTint="BF"/>
          <w:sz w:val="56"/>
          <w:szCs w:val="56"/>
        </w:rPr>
        <w:t>Comparability Reporting</w:t>
      </w:r>
    </w:p>
    <w:p w14:paraId="44D5F08A" w14:textId="77777777" w:rsidR="005572A4" w:rsidRDefault="005572A4" w:rsidP="00AF53F3">
      <w:pPr>
        <w:jc w:val="center"/>
        <w:rPr>
          <w:rFonts w:cs="Times New Roman"/>
          <w:b/>
          <w:bCs/>
          <w:color w:val="215E99" w:themeColor="text2" w:themeTint="BF"/>
          <w:sz w:val="40"/>
          <w:szCs w:val="40"/>
        </w:rPr>
      </w:pPr>
    </w:p>
    <w:p w14:paraId="23531D73" w14:textId="1FDA0C00" w:rsidR="005572A4" w:rsidRDefault="005572A4" w:rsidP="00AF53F3">
      <w:pPr>
        <w:jc w:val="center"/>
        <w:rPr>
          <w:rFonts w:cs="Times New Roman"/>
          <w:b/>
          <w:bCs/>
          <w:color w:val="215E99" w:themeColor="text2" w:themeTint="BF"/>
          <w:sz w:val="40"/>
          <w:szCs w:val="40"/>
        </w:rPr>
      </w:pPr>
      <w:r>
        <w:rPr>
          <w:rFonts w:cs="Times New Roman"/>
          <w:b/>
          <w:bCs/>
          <w:color w:val="215E99" w:themeColor="text2" w:themeTint="BF"/>
          <w:sz w:val="40"/>
          <w:szCs w:val="40"/>
        </w:rPr>
        <w:t>Step-By-Step Guide &amp; Instructions</w:t>
      </w:r>
    </w:p>
    <w:p w14:paraId="009EC599" w14:textId="77777777" w:rsidR="005572A4" w:rsidRPr="00D710F4" w:rsidRDefault="005572A4" w:rsidP="00AF53F3">
      <w:pPr>
        <w:jc w:val="center"/>
        <w:rPr>
          <w:rFonts w:cs="Times New Roman"/>
          <w:b/>
          <w:bCs/>
          <w:color w:val="215E99" w:themeColor="text2" w:themeTint="BF"/>
          <w:sz w:val="40"/>
          <w:szCs w:val="40"/>
        </w:rPr>
      </w:pPr>
    </w:p>
    <w:p w14:paraId="10CB58BA" w14:textId="0EF53F97" w:rsidR="00A5359B" w:rsidRPr="00D710F4" w:rsidRDefault="00EB7A5A" w:rsidP="00AF53F3">
      <w:pPr>
        <w:jc w:val="center"/>
        <w:rPr>
          <w:rFonts w:cs="Times New Roman"/>
          <w:b/>
          <w:bCs/>
          <w:color w:val="215E99" w:themeColor="text2" w:themeTint="BF"/>
          <w:sz w:val="40"/>
          <w:szCs w:val="40"/>
        </w:rPr>
      </w:pPr>
      <w:r w:rsidRPr="00D710F4">
        <w:rPr>
          <w:rFonts w:cs="Times New Roman"/>
          <w:b/>
          <w:bCs/>
          <w:color w:val="215E99" w:themeColor="text2" w:themeTint="BF"/>
          <w:sz w:val="40"/>
          <w:szCs w:val="40"/>
        </w:rPr>
        <w:t>2025-202</w:t>
      </w:r>
      <w:r w:rsidR="00A5359B" w:rsidRPr="00D710F4">
        <w:rPr>
          <w:rFonts w:cs="Times New Roman"/>
          <w:b/>
          <w:bCs/>
          <w:color w:val="215E99" w:themeColor="text2" w:themeTint="BF"/>
          <w:sz w:val="40"/>
          <w:szCs w:val="40"/>
        </w:rPr>
        <w:t>6</w:t>
      </w:r>
    </w:p>
    <w:p w14:paraId="4C2A2F79" w14:textId="77777777" w:rsidR="00CB11D9" w:rsidRPr="00D710F4" w:rsidRDefault="00CB11D9" w:rsidP="00AF53F3">
      <w:pPr>
        <w:jc w:val="center"/>
        <w:rPr>
          <w:rFonts w:cs="Times New Roman"/>
          <w:b/>
          <w:bCs/>
          <w:sz w:val="40"/>
          <w:szCs w:val="40"/>
        </w:rPr>
      </w:pPr>
    </w:p>
    <w:p w14:paraId="65C3F406" w14:textId="77777777" w:rsidR="004544B2" w:rsidRPr="00170F6A" w:rsidRDefault="004544B2" w:rsidP="00AF53F3">
      <w:pPr>
        <w:rPr>
          <w:rFonts w:cs="Times New Roman"/>
        </w:rPr>
      </w:pPr>
    </w:p>
    <w:p w14:paraId="6B51CE15" w14:textId="107C2443" w:rsidR="00D9721C" w:rsidRPr="00D710F4" w:rsidRDefault="00D80C39" w:rsidP="00AF53F3">
      <w:pPr>
        <w:rPr>
          <w:rFonts w:cs="Times New Roman"/>
          <w:sz w:val="32"/>
          <w:szCs w:val="32"/>
        </w:rPr>
      </w:pPr>
      <w:r w:rsidRPr="00D710F4">
        <w:rPr>
          <w:rFonts w:cs="Times New Roman"/>
          <w:sz w:val="32"/>
          <w:szCs w:val="32"/>
        </w:rPr>
        <w:t>The</w:t>
      </w:r>
      <w:r w:rsidR="009E5DAE" w:rsidRPr="00D710F4">
        <w:rPr>
          <w:rFonts w:cs="Times New Roman"/>
          <w:sz w:val="32"/>
          <w:szCs w:val="32"/>
        </w:rPr>
        <w:t xml:space="preserve"> </w:t>
      </w:r>
      <w:r w:rsidRPr="00D710F4">
        <w:rPr>
          <w:rFonts w:cs="Times New Roman"/>
          <w:i/>
          <w:iCs/>
          <w:sz w:val="32"/>
          <w:szCs w:val="32"/>
        </w:rPr>
        <w:t>Every</w:t>
      </w:r>
      <w:r w:rsidR="00DD3BE4" w:rsidRPr="00D710F4">
        <w:rPr>
          <w:rFonts w:cs="Times New Roman"/>
          <w:i/>
          <w:iCs/>
          <w:sz w:val="32"/>
          <w:szCs w:val="32"/>
        </w:rPr>
        <w:t xml:space="preserve"> Student Succeeds Act</w:t>
      </w:r>
      <w:r w:rsidR="00DD3BE4" w:rsidRPr="00D710F4">
        <w:rPr>
          <w:rFonts w:cs="Times New Roman"/>
          <w:sz w:val="32"/>
          <w:szCs w:val="32"/>
        </w:rPr>
        <w:t xml:space="preserve"> (ESSA)</w:t>
      </w:r>
      <w:r w:rsidR="00D75FA3" w:rsidRPr="00D710F4">
        <w:rPr>
          <w:rFonts w:cs="Times New Roman"/>
          <w:sz w:val="32"/>
          <w:szCs w:val="32"/>
        </w:rPr>
        <w:t>,</w:t>
      </w:r>
      <w:r w:rsidR="00DD3BE4" w:rsidRPr="00D710F4">
        <w:rPr>
          <w:rFonts w:cs="Times New Roman"/>
          <w:sz w:val="32"/>
          <w:szCs w:val="32"/>
        </w:rPr>
        <w:t xml:space="preserve"> </w:t>
      </w:r>
      <w:r w:rsidR="009D2894" w:rsidRPr="00D710F4">
        <w:rPr>
          <w:rFonts w:cs="Times New Roman"/>
          <w:sz w:val="32"/>
          <w:szCs w:val="32"/>
        </w:rPr>
        <w:t>Section 1118</w:t>
      </w:r>
      <w:r w:rsidR="00861318" w:rsidRPr="00D710F4">
        <w:rPr>
          <w:rFonts w:cs="Times New Roman"/>
          <w:sz w:val="32"/>
          <w:szCs w:val="32"/>
        </w:rPr>
        <w:t>,</w:t>
      </w:r>
      <w:r w:rsidR="009D2894" w:rsidRPr="00D710F4">
        <w:rPr>
          <w:rFonts w:cs="Times New Roman"/>
          <w:sz w:val="32"/>
          <w:szCs w:val="32"/>
        </w:rPr>
        <w:t xml:space="preserve"> requires</w:t>
      </w:r>
      <w:r w:rsidR="00AF53F3" w:rsidRPr="00D710F4">
        <w:rPr>
          <w:rFonts w:cs="Times New Roman"/>
          <w:sz w:val="32"/>
          <w:szCs w:val="32"/>
        </w:rPr>
        <w:t xml:space="preserve"> Public School Units (PSUs) </w:t>
      </w:r>
      <w:r w:rsidR="009D2894" w:rsidRPr="00D710F4">
        <w:rPr>
          <w:rFonts w:cs="Times New Roman"/>
          <w:sz w:val="32"/>
          <w:szCs w:val="32"/>
        </w:rPr>
        <w:t xml:space="preserve">to </w:t>
      </w:r>
      <w:r w:rsidR="00DD3BE4" w:rsidRPr="00D710F4">
        <w:rPr>
          <w:rFonts w:cs="Times New Roman"/>
          <w:sz w:val="32"/>
          <w:szCs w:val="32"/>
        </w:rPr>
        <w:t>demonstrate services provided to Title</w:t>
      </w:r>
      <w:r w:rsidR="00D9721C" w:rsidRPr="00D710F4">
        <w:rPr>
          <w:rFonts w:cs="Times New Roman"/>
          <w:sz w:val="32"/>
          <w:szCs w:val="32"/>
        </w:rPr>
        <w:t xml:space="preserve"> I-A </w:t>
      </w:r>
      <w:r w:rsidR="00DD3BE4" w:rsidRPr="00D710F4">
        <w:rPr>
          <w:rFonts w:cs="Times New Roman"/>
          <w:sz w:val="32"/>
          <w:szCs w:val="32"/>
        </w:rPr>
        <w:t>schools are comparable to those provided in non-Title I schools. The requirement</w:t>
      </w:r>
      <w:r w:rsidR="0000247D" w:rsidRPr="00D710F4">
        <w:rPr>
          <w:rFonts w:cs="Times New Roman"/>
          <w:sz w:val="32"/>
          <w:szCs w:val="32"/>
        </w:rPr>
        <w:t xml:space="preserve"> also</w:t>
      </w:r>
      <w:r w:rsidR="00DD3BE4" w:rsidRPr="00D710F4">
        <w:rPr>
          <w:rFonts w:cs="Times New Roman"/>
          <w:sz w:val="32"/>
          <w:szCs w:val="32"/>
        </w:rPr>
        <w:t xml:space="preserve"> applies t</w:t>
      </w:r>
      <w:r w:rsidR="00483E09" w:rsidRPr="00D710F4">
        <w:rPr>
          <w:rFonts w:cs="Times New Roman"/>
          <w:sz w:val="32"/>
          <w:szCs w:val="32"/>
        </w:rPr>
        <w:t xml:space="preserve">o </w:t>
      </w:r>
      <w:r w:rsidR="00AF53F3" w:rsidRPr="00D710F4">
        <w:rPr>
          <w:rFonts w:cs="Times New Roman"/>
          <w:sz w:val="32"/>
          <w:szCs w:val="32"/>
        </w:rPr>
        <w:t>PSU</w:t>
      </w:r>
      <w:r w:rsidR="000E7FAB" w:rsidRPr="00D710F4">
        <w:rPr>
          <w:rFonts w:cs="Times New Roman"/>
          <w:sz w:val="32"/>
          <w:szCs w:val="32"/>
        </w:rPr>
        <w:t xml:space="preserve">s </w:t>
      </w:r>
      <w:r w:rsidR="00DD3BE4" w:rsidRPr="00D710F4">
        <w:rPr>
          <w:rFonts w:cs="Times New Roman"/>
          <w:sz w:val="32"/>
          <w:szCs w:val="32"/>
        </w:rPr>
        <w:t xml:space="preserve">where all schools </w:t>
      </w:r>
      <w:r w:rsidR="00F82562" w:rsidRPr="00D710F4">
        <w:rPr>
          <w:rFonts w:cs="Times New Roman"/>
          <w:sz w:val="32"/>
          <w:szCs w:val="32"/>
        </w:rPr>
        <w:t xml:space="preserve">participate in Title </w:t>
      </w:r>
      <w:r w:rsidR="00E13D66" w:rsidRPr="00D710F4">
        <w:rPr>
          <w:rFonts w:cs="Times New Roman"/>
          <w:sz w:val="32"/>
          <w:szCs w:val="32"/>
        </w:rPr>
        <w:t>I</w:t>
      </w:r>
      <w:r w:rsidR="0000247D" w:rsidRPr="00D710F4">
        <w:rPr>
          <w:rFonts w:cs="Times New Roman"/>
          <w:sz w:val="32"/>
          <w:szCs w:val="32"/>
        </w:rPr>
        <w:t xml:space="preserve">. </w:t>
      </w:r>
      <w:r w:rsidR="00006530" w:rsidRPr="00D710F4">
        <w:rPr>
          <w:rFonts w:cs="Times New Roman"/>
          <w:sz w:val="32"/>
          <w:szCs w:val="32"/>
        </w:rPr>
        <w:t xml:space="preserve">Demonstrating </w:t>
      </w:r>
      <w:r w:rsidR="0009342C" w:rsidRPr="00D710F4">
        <w:rPr>
          <w:rFonts w:cs="Times New Roman"/>
          <w:sz w:val="32"/>
          <w:szCs w:val="32"/>
        </w:rPr>
        <w:t>c</w:t>
      </w:r>
      <w:r w:rsidR="00006530" w:rsidRPr="00D710F4">
        <w:rPr>
          <w:rFonts w:cs="Times New Roman"/>
          <w:sz w:val="32"/>
          <w:szCs w:val="32"/>
        </w:rPr>
        <w:t>omparability of services is a prerequisite for receiving Title I funds.</w:t>
      </w:r>
    </w:p>
    <w:p w14:paraId="3BF6C421" w14:textId="77777777" w:rsidR="00581691" w:rsidRPr="00D710F4" w:rsidRDefault="00581691" w:rsidP="00AF53F3">
      <w:pPr>
        <w:rPr>
          <w:rFonts w:cs="Times New Roman"/>
          <w:b/>
          <w:bCs/>
          <w:sz w:val="32"/>
          <w:szCs w:val="32"/>
        </w:rPr>
      </w:pPr>
    </w:p>
    <w:p w14:paraId="44822C3C" w14:textId="1E5B5D69" w:rsidR="004544B2" w:rsidRPr="00D710F4" w:rsidRDefault="00A11A89" w:rsidP="00AF53F3">
      <w:pPr>
        <w:rPr>
          <w:rFonts w:cs="Times New Roman"/>
          <w:sz w:val="32"/>
          <w:szCs w:val="32"/>
        </w:rPr>
      </w:pPr>
      <w:r w:rsidRPr="00D710F4">
        <w:rPr>
          <w:rFonts w:cs="Times New Roman"/>
          <w:sz w:val="32"/>
          <w:szCs w:val="32"/>
        </w:rPr>
        <w:t xml:space="preserve">Comparability is a school-level calculation that measures </w:t>
      </w:r>
      <w:r w:rsidR="00336FF9" w:rsidRPr="00D710F4">
        <w:rPr>
          <w:rFonts w:cs="Times New Roman"/>
          <w:sz w:val="32"/>
          <w:szCs w:val="32"/>
        </w:rPr>
        <w:t>s</w:t>
      </w:r>
      <w:r w:rsidRPr="00D710F4">
        <w:rPr>
          <w:rFonts w:cs="Times New Roman"/>
          <w:sz w:val="32"/>
          <w:szCs w:val="32"/>
        </w:rPr>
        <w:t>tate and local funds provided to</w:t>
      </w:r>
      <w:r w:rsidR="00A359D1" w:rsidRPr="00D710F4">
        <w:rPr>
          <w:rFonts w:cs="Times New Roman"/>
          <w:sz w:val="32"/>
          <w:szCs w:val="32"/>
        </w:rPr>
        <w:t xml:space="preserve"> </w:t>
      </w:r>
      <w:r w:rsidRPr="00D710F4">
        <w:rPr>
          <w:rFonts w:cs="Times New Roman"/>
          <w:sz w:val="32"/>
          <w:szCs w:val="32"/>
        </w:rPr>
        <w:t>Title I-A and non-Title I-A schools.</w:t>
      </w:r>
      <w:r w:rsidR="00024C73" w:rsidRPr="00D710F4">
        <w:rPr>
          <w:rFonts w:cs="Times New Roman"/>
          <w:sz w:val="32"/>
          <w:szCs w:val="32"/>
        </w:rPr>
        <w:t xml:space="preserve"> </w:t>
      </w:r>
      <w:r w:rsidR="000817A5" w:rsidRPr="00D710F4">
        <w:rPr>
          <w:rFonts w:cs="Times New Roman"/>
          <w:sz w:val="32"/>
          <w:szCs w:val="32"/>
        </w:rPr>
        <w:t xml:space="preserve">The requirement is intended to ensure that PSUs do not spend less from state and local resources </w:t>
      </w:r>
      <w:r w:rsidR="001A38AE" w:rsidRPr="00D710F4">
        <w:rPr>
          <w:rFonts w:cs="Times New Roman"/>
          <w:sz w:val="32"/>
          <w:szCs w:val="32"/>
        </w:rPr>
        <w:t xml:space="preserve">in higher poverty </w:t>
      </w:r>
      <w:r w:rsidR="00DF3E88" w:rsidRPr="00D710F4">
        <w:rPr>
          <w:rFonts w:cs="Times New Roman"/>
          <w:sz w:val="32"/>
          <w:szCs w:val="32"/>
        </w:rPr>
        <w:t xml:space="preserve">Title </w:t>
      </w:r>
      <w:r w:rsidR="002F5561" w:rsidRPr="00D710F4">
        <w:rPr>
          <w:rFonts w:cs="Times New Roman"/>
          <w:sz w:val="32"/>
          <w:szCs w:val="32"/>
        </w:rPr>
        <w:t>I</w:t>
      </w:r>
      <w:r w:rsidR="00DF3E88" w:rsidRPr="00D710F4">
        <w:rPr>
          <w:rFonts w:cs="Times New Roman"/>
          <w:sz w:val="32"/>
          <w:szCs w:val="32"/>
        </w:rPr>
        <w:t xml:space="preserve"> </w:t>
      </w:r>
      <w:r w:rsidR="001A38AE" w:rsidRPr="00D710F4">
        <w:rPr>
          <w:rFonts w:cs="Times New Roman"/>
          <w:sz w:val="32"/>
          <w:szCs w:val="32"/>
        </w:rPr>
        <w:t>schools than lower poverty schools</w:t>
      </w:r>
      <w:r w:rsidR="00320C73" w:rsidRPr="00D710F4">
        <w:rPr>
          <w:rFonts w:cs="Times New Roman"/>
          <w:sz w:val="32"/>
          <w:szCs w:val="32"/>
        </w:rPr>
        <w:t xml:space="preserve"> or non-Title </w:t>
      </w:r>
      <w:r w:rsidR="002F5561" w:rsidRPr="00D710F4">
        <w:rPr>
          <w:rFonts w:cs="Times New Roman"/>
          <w:sz w:val="32"/>
          <w:szCs w:val="32"/>
        </w:rPr>
        <w:t>I</w:t>
      </w:r>
      <w:r w:rsidR="00320C73" w:rsidRPr="00D710F4">
        <w:rPr>
          <w:rFonts w:cs="Times New Roman"/>
          <w:sz w:val="32"/>
          <w:szCs w:val="32"/>
        </w:rPr>
        <w:t xml:space="preserve"> schools.</w:t>
      </w:r>
      <w:r w:rsidR="001A38AE" w:rsidRPr="00D710F4">
        <w:rPr>
          <w:rFonts w:cs="Times New Roman"/>
          <w:sz w:val="32"/>
          <w:szCs w:val="32"/>
        </w:rPr>
        <w:t xml:space="preserve"> </w:t>
      </w:r>
    </w:p>
    <w:p w14:paraId="7868D6FD" w14:textId="77777777" w:rsidR="00240384" w:rsidRPr="00D710F4" w:rsidRDefault="00240384" w:rsidP="00AF53F3">
      <w:pPr>
        <w:rPr>
          <w:rFonts w:cs="Times New Roman"/>
          <w:sz w:val="32"/>
          <w:szCs w:val="32"/>
        </w:rPr>
      </w:pPr>
    </w:p>
    <w:p w14:paraId="1D1191EB" w14:textId="0172D37F" w:rsidR="00581691" w:rsidRPr="00D710F4" w:rsidRDefault="004544B2" w:rsidP="00AF53F3">
      <w:pPr>
        <w:rPr>
          <w:rFonts w:cs="Times New Roman"/>
          <w:sz w:val="32"/>
          <w:szCs w:val="32"/>
        </w:rPr>
      </w:pPr>
      <w:r w:rsidRPr="00D710F4">
        <w:rPr>
          <w:rFonts w:cs="Times New Roman"/>
          <w:sz w:val="32"/>
          <w:szCs w:val="32"/>
        </w:rPr>
        <w:t xml:space="preserve">This guide </w:t>
      </w:r>
      <w:r w:rsidR="00057DD4" w:rsidRPr="00D710F4">
        <w:rPr>
          <w:rFonts w:cs="Times New Roman"/>
          <w:sz w:val="32"/>
          <w:szCs w:val="32"/>
        </w:rPr>
        <w:t>is</w:t>
      </w:r>
      <w:r w:rsidRPr="00D710F4">
        <w:rPr>
          <w:rFonts w:cs="Times New Roman"/>
          <w:sz w:val="32"/>
          <w:szCs w:val="32"/>
        </w:rPr>
        <w:t xml:space="preserve"> </w:t>
      </w:r>
      <w:r w:rsidR="00C5686E" w:rsidRPr="00D710F4">
        <w:rPr>
          <w:rFonts w:cs="Times New Roman"/>
          <w:sz w:val="32"/>
          <w:szCs w:val="32"/>
        </w:rPr>
        <w:t xml:space="preserve">provided to </w:t>
      </w:r>
      <w:r w:rsidRPr="00D710F4">
        <w:rPr>
          <w:rFonts w:cs="Times New Roman"/>
          <w:sz w:val="32"/>
          <w:szCs w:val="32"/>
        </w:rPr>
        <w:t>assist</w:t>
      </w:r>
      <w:r w:rsidR="00240384" w:rsidRPr="00D710F4">
        <w:rPr>
          <w:rFonts w:cs="Times New Roman"/>
          <w:sz w:val="32"/>
          <w:szCs w:val="32"/>
        </w:rPr>
        <w:t xml:space="preserve"> </w:t>
      </w:r>
      <w:r w:rsidRPr="00D710F4">
        <w:rPr>
          <w:rFonts w:cs="Times New Roman"/>
          <w:sz w:val="32"/>
          <w:szCs w:val="32"/>
        </w:rPr>
        <w:t xml:space="preserve">in the completion of </w:t>
      </w:r>
      <w:r w:rsidR="0009342C" w:rsidRPr="00D710F4">
        <w:rPr>
          <w:rFonts w:cs="Times New Roman"/>
          <w:sz w:val="32"/>
          <w:szCs w:val="32"/>
        </w:rPr>
        <w:t>c</w:t>
      </w:r>
      <w:r w:rsidRPr="00D710F4">
        <w:rPr>
          <w:rFonts w:cs="Times New Roman"/>
          <w:sz w:val="32"/>
          <w:szCs w:val="32"/>
        </w:rPr>
        <w:t>omparability</w:t>
      </w:r>
      <w:r w:rsidR="0009342C" w:rsidRPr="00D710F4">
        <w:rPr>
          <w:rFonts w:cs="Times New Roman"/>
          <w:sz w:val="32"/>
          <w:szCs w:val="32"/>
        </w:rPr>
        <w:t xml:space="preserve"> </w:t>
      </w:r>
      <w:r w:rsidR="000F46EE" w:rsidRPr="00D710F4">
        <w:rPr>
          <w:rFonts w:cs="Times New Roman"/>
          <w:sz w:val="32"/>
          <w:szCs w:val="32"/>
        </w:rPr>
        <w:t>repor</w:t>
      </w:r>
      <w:r w:rsidR="00843116" w:rsidRPr="00D710F4">
        <w:rPr>
          <w:rFonts w:cs="Times New Roman"/>
          <w:sz w:val="32"/>
          <w:szCs w:val="32"/>
        </w:rPr>
        <w:t>ting</w:t>
      </w:r>
      <w:r w:rsidR="00BF617F" w:rsidRPr="00D710F4">
        <w:rPr>
          <w:rFonts w:cs="Times New Roman"/>
          <w:sz w:val="32"/>
          <w:szCs w:val="32"/>
        </w:rPr>
        <w:t xml:space="preserve"> for submission to the North Carolina</w:t>
      </w:r>
      <w:r w:rsidR="008B1B3A" w:rsidRPr="00D710F4">
        <w:rPr>
          <w:rFonts w:cs="Times New Roman"/>
          <w:sz w:val="32"/>
          <w:szCs w:val="32"/>
        </w:rPr>
        <w:t xml:space="preserve"> </w:t>
      </w:r>
      <w:r w:rsidR="00BF617F" w:rsidRPr="00D710F4">
        <w:rPr>
          <w:rFonts w:cs="Times New Roman"/>
          <w:sz w:val="32"/>
          <w:szCs w:val="32"/>
        </w:rPr>
        <w:t>Department of Public Instruction (</w:t>
      </w:r>
      <w:r w:rsidR="00336FF9" w:rsidRPr="00D710F4">
        <w:rPr>
          <w:rFonts w:cs="Times New Roman"/>
          <w:sz w:val="32"/>
          <w:szCs w:val="32"/>
        </w:rPr>
        <w:t>NC</w:t>
      </w:r>
      <w:r w:rsidR="00BF617F" w:rsidRPr="00D710F4">
        <w:rPr>
          <w:rFonts w:cs="Times New Roman"/>
          <w:sz w:val="32"/>
          <w:szCs w:val="32"/>
        </w:rPr>
        <w:t>DPI)</w:t>
      </w:r>
      <w:r w:rsidR="008B1B3A" w:rsidRPr="00D710F4">
        <w:rPr>
          <w:rFonts w:cs="Times New Roman"/>
          <w:sz w:val="32"/>
          <w:szCs w:val="32"/>
        </w:rPr>
        <w:t xml:space="preserve">, </w:t>
      </w:r>
      <w:r w:rsidR="001D58EF" w:rsidRPr="00D710F4">
        <w:rPr>
          <w:rFonts w:cs="Times New Roman"/>
          <w:sz w:val="32"/>
          <w:szCs w:val="32"/>
        </w:rPr>
        <w:t>Office of Federal Programs (OFP)</w:t>
      </w:r>
      <w:r w:rsidR="008B1B3A" w:rsidRPr="00D710F4">
        <w:rPr>
          <w:rFonts w:cs="Times New Roman"/>
          <w:sz w:val="32"/>
          <w:szCs w:val="32"/>
        </w:rPr>
        <w:t>.</w:t>
      </w:r>
      <w:r w:rsidR="000F46EE" w:rsidRPr="00D710F4">
        <w:rPr>
          <w:rFonts w:cs="Times New Roman"/>
          <w:sz w:val="32"/>
          <w:szCs w:val="32"/>
        </w:rPr>
        <w:t xml:space="preserve"> </w:t>
      </w:r>
      <w:r w:rsidR="00843116" w:rsidRPr="00D710F4">
        <w:rPr>
          <w:rFonts w:cs="Times New Roman"/>
          <w:sz w:val="32"/>
          <w:szCs w:val="32"/>
        </w:rPr>
        <w:t>Additional</w:t>
      </w:r>
      <w:r w:rsidR="00483E09" w:rsidRPr="00D710F4">
        <w:rPr>
          <w:rFonts w:cs="Times New Roman"/>
          <w:sz w:val="32"/>
          <w:szCs w:val="32"/>
        </w:rPr>
        <w:t xml:space="preserve"> guidance</w:t>
      </w:r>
      <w:r w:rsidR="00227836" w:rsidRPr="00D710F4">
        <w:rPr>
          <w:rFonts w:cs="Times New Roman"/>
          <w:sz w:val="32"/>
          <w:szCs w:val="32"/>
        </w:rPr>
        <w:t xml:space="preserve"> and resources</w:t>
      </w:r>
      <w:r w:rsidR="00483E09" w:rsidRPr="00D710F4">
        <w:rPr>
          <w:rFonts w:cs="Times New Roman"/>
          <w:sz w:val="32"/>
          <w:szCs w:val="32"/>
        </w:rPr>
        <w:t xml:space="preserve"> </w:t>
      </w:r>
      <w:r w:rsidR="00C23702" w:rsidRPr="00D710F4">
        <w:rPr>
          <w:rFonts w:cs="Times New Roman"/>
          <w:sz w:val="32"/>
          <w:szCs w:val="32"/>
        </w:rPr>
        <w:t>are avai</w:t>
      </w:r>
      <w:r w:rsidR="00DB0FC3" w:rsidRPr="00D710F4">
        <w:rPr>
          <w:rFonts w:cs="Times New Roman"/>
          <w:sz w:val="32"/>
          <w:szCs w:val="32"/>
        </w:rPr>
        <w:t xml:space="preserve">lable </w:t>
      </w:r>
      <w:r w:rsidR="001D39B2" w:rsidRPr="00D710F4">
        <w:rPr>
          <w:rFonts w:cs="Times New Roman"/>
          <w:sz w:val="32"/>
          <w:szCs w:val="32"/>
        </w:rPr>
        <w:t xml:space="preserve">at the end of this guide. </w:t>
      </w:r>
      <w:r w:rsidR="00074FDC" w:rsidRPr="00D710F4">
        <w:rPr>
          <w:rFonts w:cs="Times New Roman"/>
          <w:sz w:val="32"/>
          <w:szCs w:val="32"/>
        </w:rPr>
        <w:t xml:space="preserve">The </w:t>
      </w:r>
      <w:r w:rsidR="0036448E" w:rsidRPr="00D710F4">
        <w:rPr>
          <w:rFonts w:cs="Times New Roman"/>
          <w:sz w:val="32"/>
          <w:szCs w:val="32"/>
        </w:rPr>
        <w:t>information below provides a step-by-step process for rep</w:t>
      </w:r>
      <w:r w:rsidR="007D5D83" w:rsidRPr="00D710F4">
        <w:rPr>
          <w:rFonts w:cs="Times New Roman"/>
          <w:sz w:val="32"/>
          <w:szCs w:val="32"/>
        </w:rPr>
        <w:t>orting comparability.</w:t>
      </w:r>
    </w:p>
    <w:p w14:paraId="556C14C9" w14:textId="77777777" w:rsidR="002011D8" w:rsidRDefault="002011D8" w:rsidP="00AF53F3">
      <w:pPr>
        <w:rPr>
          <w:rFonts w:cs="Times New Roman"/>
        </w:rPr>
      </w:pPr>
    </w:p>
    <w:p w14:paraId="463C6263" w14:textId="699A737E" w:rsidR="00CB11D9" w:rsidRPr="002011D8" w:rsidRDefault="00CB11D9" w:rsidP="00AF53F3">
      <w:pPr>
        <w:rPr>
          <w:rFonts w:cs="Times New Roman"/>
        </w:rPr>
      </w:pPr>
    </w:p>
    <w:p w14:paraId="3B8F0EDC" w14:textId="77777777" w:rsidR="002011D8" w:rsidRDefault="002011D8" w:rsidP="00AF53F3">
      <w:pPr>
        <w:rPr>
          <w:rFonts w:ascii="The Hand Extrablack" w:hAnsi="The Hand Extrablack" w:cs="Times New Roman"/>
          <w:sz w:val="22"/>
          <w:szCs w:val="22"/>
        </w:rPr>
      </w:pPr>
    </w:p>
    <w:p w14:paraId="454E91EF" w14:textId="77777777" w:rsidR="00FB138E" w:rsidRDefault="00FB138E" w:rsidP="00AF53F3">
      <w:pPr>
        <w:rPr>
          <w:rFonts w:ascii="The Hand Extrablack" w:hAnsi="The Hand Extrablack" w:cs="Times New Roman"/>
          <w:sz w:val="22"/>
          <w:szCs w:val="22"/>
        </w:rPr>
      </w:pPr>
    </w:p>
    <w:p w14:paraId="139D4359" w14:textId="77777777" w:rsidR="00E4387C" w:rsidRPr="00A46EB3" w:rsidRDefault="00E4387C" w:rsidP="00AF53F3">
      <w:pPr>
        <w:rPr>
          <w:rFonts w:ascii="The Hand Extrablack" w:hAnsi="The Hand Extrablack" w:cs="Times New Roman"/>
          <w:sz w:val="22"/>
          <w:szCs w:val="22"/>
        </w:rPr>
      </w:pPr>
    </w:p>
    <w:p w14:paraId="67CC1772" w14:textId="77777777" w:rsidR="00CB11D9" w:rsidRPr="00A46EB3" w:rsidRDefault="00CB11D9" w:rsidP="00AF53F3">
      <w:pPr>
        <w:rPr>
          <w:rFonts w:ascii="The Hand Extrablack" w:hAnsi="The Hand Extrablack" w:cs="Times New Roman"/>
          <w:sz w:val="22"/>
          <w:szCs w:val="22"/>
        </w:rPr>
      </w:pPr>
    </w:p>
    <w:p w14:paraId="3F1BE995" w14:textId="77777777" w:rsidR="00CB11D9" w:rsidRPr="00A46EB3" w:rsidRDefault="00CB11D9" w:rsidP="00AF53F3">
      <w:pPr>
        <w:rPr>
          <w:rFonts w:ascii="The Hand Extrablack" w:hAnsi="The Hand Extrablack" w:cs="Times New Roman"/>
          <w:sz w:val="22"/>
          <w:szCs w:val="22"/>
        </w:rPr>
      </w:pPr>
    </w:p>
    <w:p w14:paraId="6CC4605E" w14:textId="77777777" w:rsidR="005572A4" w:rsidRPr="0098734E" w:rsidRDefault="005572A4" w:rsidP="00130F5D">
      <w:pPr>
        <w:rPr>
          <w:rFonts w:ascii="Arial Narrow" w:hAnsi="Arial Narrow" w:cs="Times New Roman"/>
          <w:b/>
          <w:bCs/>
          <w:color w:val="215E99" w:themeColor="text2" w:themeTint="BF"/>
          <w:sz w:val="28"/>
          <w:szCs w:val="28"/>
        </w:rPr>
      </w:pPr>
    </w:p>
    <w:p w14:paraId="045BF372" w14:textId="5697FDAD" w:rsidR="006E53AD" w:rsidRPr="00445A8B" w:rsidRDefault="006E53AD" w:rsidP="00130F5D">
      <w:pPr>
        <w:rPr>
          <w:rFonts w:cs="Times New Roman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lastRenderedPageBreak/>
        <w:t xml:space="preserve">Exempt </w:t>
      </w:r>
      <w:r w:rsidR="00D710F4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or</w:t>
      </w:r>
      <w:r w:rsidR="00130F5D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 xml:space="preserve"> </w:t>
      </w: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Not Exempt</w:t>
      </w:r>
    </w:p>
    <w:p w14:paraId="215A18B1" w14:textId="77777777" w:rsidR="0018523E" w:rsidRPr="00170F6A" w:rsidRDefault="0018523E" w:rsidP="00AF53F3">
      <w:pPr>
        <w:rPr>
          <w:rFonts w:cs="Times New Roman"/>
        </w:rPr>
      </w:pPr>
    </w:p>
    <w:p w14:paraId="0A169364" w14:textId="37C06A10" w:rsidR="00165846" w:rsidRPr="00170F6A" w:rsidRDefault="006F699F" w:rsidP="00AF53F3">
      <w:pPr>
        <w:rPr>
          <w:rFonts w:cs="Times New Roman"/>
        </w:rPr>
      </w:pPr>
      <w:r w:rsidRPr="00170F6A">
        <w:rPr>
          <w:rFonts w:cs="Times New Roman"/>
        </w:rPr>
        <w:t xml:space="preserve">Prior to </w:t>
      </w:r>
      <w:r w:rsidR="008F14EE" w:rsidRPr="00170F6A">
        <w:rPr>
          <w:rFonts w:cs="Times New Roman"/>
        </w:rPr>
        <w:t>reporting, the status</w:t>
      </w:r>
      <w:r w:rsidR="00D710F4">
        <w:rPr>
          <w:rFonts w:cs="Times New Roman"/>
        </w:rPr>
        <w:t xml:space="preserve"> (Exempt or Not Exempt)</w:t>
      </w:r>
      <w:r w:rsidR="008F14EE" w:rsidRPr="00170F6A">
        <w:rPr>
          <w:rFonts w:cs="Times New Roman"/>
        </w:rPr>
        <w:t xml:space="preserve"> of the </w:t>
      </w:r>
      <w:r w:rsidR="004D42AD" w:rsidRPr="00170F6A">
        <w:rPr>
          <w:rFonts w:cs="Times New Roman"/>
        </w:rPr>
        <w:t>PSU</w:t>
      </w:r>
      <w:r w:rsidR="00477E2E" w:rsidRPr="00170F6A">
        <w:rPr>
          <w:rFonts w:cs="Times New Roman"/>
        </w:rPr>
        <w:t xml:space="preserve"> </w:t>
      </w:r>
      <w:r w:rsidR="008F14EE" w:rsidRPr="00170F6A">
        <w:rPr>
          <w:rFonts w:cs="Times New Roman"/>
        </w:rPr>
        <w:t>must be</w:t>
      </w:r>
      <w:r w:rsidRPr="00170F6A">
        <w:rPr>
          <w:rFonts w:cs="Times New Roman"/>
        </w:rPr>
        <w:t xml:space="preserve"> determine</w:t>
      </w:r>
      <w:r w:rsidR="008F14EE" w:rsidRPr="00170F6A">
        <w:rPr>
          <w:rFonts w:cs="Times New Roman"/>
        </w:rPr>
        <w:t>d.</w:t>
      </w:r>
      <w:r w:rsidR="00165846" w:rsidRPr="00170F6A">
        <w:rPr>
          <w:rFonts w:cs="Times New Roman"/>
        </w:rPr>
        <w:t xml:space="preserve"> </w:t>
      </w:r>
    </w:p>
    <w:p w14:paraId="4878744D" w14:textId="77777777" w:rsidR="008439D9" w:rsidRPr="00170F6A" w:rsidRDefault="008439D9" w:rsidP="00AF53F3">
      <w:pPr>
        <w:rPr>
          <w:rFonts w:cs="Times New Roman"/>
        </w:rPr>
      </w:pPr>
    </w:p>
    <w:p w14:paraId="5081E959" w14:textId="1A2227AF" w:rsidR="00165846" w:rsidRPr="00170F6A" w:rsidRDefault="00165846" w:rsidP="003501B1">
      <w:pPr>
        <w:pStyle w:val="ListParagraph"/>
        <w:numPr>
          <w:ilvl w:val="0"/>
          <w:numId w:val="3"/>
        </w:numPr>
        <w:rPr>
          <w:rFonts w:cs="Times New Roman"/>
        </w:rPr>
      </w:pPr>
      <w:r w:rsidRPr="00170F6A">
        <w:rPr>
          <w:rFonts w:cs="Times New Roman"/>
        </w:rPr>
        <w:t>A</w:t>
      </w:r>
      <w:r w:rsidR="004D42AD" w:rsidRPr="00170F6A">
        <w:rPr>
          <w:rFonts w:cs="Times New Roman"/>
        </w:rPr>
        <w:t xml:space="preserve"> PSU </w:t>
      </w:r>
      <w:r w:rsidR="00395D11" w:rsidRPr="00170F6A">
        <w:rPr>
          <w:rFonts w:cs="Times New Roman"/>
          <w:b/>
          <w:bCs/>
          <w:u w:val="single"/>
        </w:rPr>
        <w:t xml:space="preserve">not </w:t>
      </w:r>
      <w:r w:rsidRPr="00170F6A">
        <w:rPr>
          <w:rFonts w:cs="Times New Roman"/>
          <w:b/>
          <w:bCs/>
          <w:u w:val="single"/>
        </w:rPr>
        <w:t>required</w:t>
      </w:r>
      <w:r w:rsidRPr="00170F6A">
        <w:rPr>
          <w:rFonts w:cs="Times New Roman"/>
          <w:b/>
          <w:bCs/>
        </w:rPr>
        <w:t xml:space="preserve"> </w:t>
      </w:r>
      <w:r w:rsidRPr="00170F6A">
        <w:rPr>
          <w:rFonts w:cs="Times New Roman"/>
        </w:rPr>
        <w:t xml:space="preserve">to complete comparability is identified as </w:t>
      </w:r>
      <w:r w:rsidRPr="00170F6A">
        <w:rPr>
          <w:rFonts w:cs="Times New Roman"/>
          <w:b/>
          <w:bCs/>
        </w:rPr>
        <w:t>Exempt</w:t>
      </w:r>
      <w:r w:rsidRPr="00170F6A">
        <w:rPr>
          <w:rFonts w:cs="Times New Roman"/>
        </w:rPr>
        <w:t xml:space="preserve">. </w:t>
      </w:r>
    </w:p>
    <w:p w14:paraId="239489BA" w14:textId="77777777" w:rsidR="002D62F9" w:rsidRPr="00170F6A" w:rsidRDefault="002D62F9" w:rsidP="00AF53F3">
      <w:pPr>
        <w:pStyle w:val="ListParagraph"/>
        <w:rPr>
          <w:rFonts w:cs="Times New Roman"/>
        </w:rPr>
      </w:pPr>
    </w:p>
    <w:p w14:paraId="7A3F2C97" w14:textId="7BB2CB82" w:rsidR="00395D11" w:rsidRPr="00170F6A" w:rsidRDefault="00165846" w:rsidP="003501B1">
      <w:pPr>
        <w:pStyle w:val="ListParagraph"/>
        <w:numPr>
          <w:ilvl w:val="0"/>
          <w:numId w:val="3"/>
        </w:numPr>
        <w:rPr>
          <w:rFonts w:cs="Times New Roman"/>
        </w:rPr>
      </w:pPr>
      <w:r w:rsidRPr="00170F6A">
        <w:rPr>
          <w:rFonts w:cs="Times New Roman"/>
        </w:rPr>
        <w:t xml:space="preserve">A </w:t>
      </w:r>
      <w:r w:rsidR="004D42AD" w:rsidRPr="00170F6A">
        <w:rPr>
          <w:rFonts w:cs="Times New Roman"/>
        </w:rPr>
        <w:t>PSU</w:t>
      </w:r>
      <w:r w:rsidR="0053718C" w:rsidRPr="00170F6A">
        <w:rPr>
          <w:rFonts w:cs="Times New Roman"/>
        </w:rPr>
        <w:t xml:space="preserve"> </w:t>
      </w:r>
      <w:r w:rsidRPr="00170F6A">
        <w:rPr>
          <w:rFonts w:cs="Times New Roman"/>
          <w:b/>
          <w:bCs/>
          <w:u w:val="single"/>
        </w:rPr>
        <w:t>required</w:t>
      </w:r>
      <w:r w:rsidRPr="00170F6A">
        <w:rPr>
          <w:rFonts w:cs="Times New Roman"/>
        </w:rPr>
        <w:t xml:space="preserve"> to complete comparability reporting is </w:t>
      </w:r>
      <w:r w:rsidR="00395D11" w:rsidRPr="00170F6A">
        <w:rPr>
          <w:rFonts w:cs="Times New Roman"/>
        </w:rPr>
        <w:t>identified as</w:t>
      </w:r>
      <w:r w:rsidR="008B1B3A" w:rsidRPr="00170F6A">
        <w:rPr>
          <w:rFonts w:cs="Times New Roman"/>
        </w:rPr>
        <w:t xml:space="preserve"> </w:t>
      </w:r>
      <w:r w:rsidR="008B1B3A" w:rsidRPr="00170F6A">
        <w:rPr>
          <w:rFonts w:cs="Times New Roman"/>
          <w:b/>
          <w:bCs/>
        </w:rPr>
        <w:t>Not</w:t>
      </w:r>
      <w:r w:rsidR="00395D11" w:rsidRPr="00170F6A">
        <w:rPr>
          <w:rFonts w:cs="Times New Roman"/>
          <w:b/>
          <w:bCs/>
        </w:rPr>
        <w:t xml:space="preserve"> </w:t>
      </w:r>
      <w:r w:rsidRPr="00170F6A">
        <w:rPr>
          <w:rFonts w:cs="Times New Roman"/>
          <w:b/>
          <w:bCs/>
        </w:rPr>
        <w:t>Exempt</w:t>
      </w:r>
      <w:r w:rsidRPr="00170F6A">
        <w:rPr>
          <w:rFonts w:cs="Times New Roman"/>
        </w:rPr>
        <w:t>.</w:t>
      </w:r>
    </w:p>
    <w:p w14:paraId="1170DE72" w14:textId="77777777" w:rsidR="002F1C28" w:rsidRPr="00170F6A" w:rsidRDefault="002F1C28" w:rsidP="002F1C28">
      <w:pPr>
        <w:pStyle w:val="ListParagraph"/>
        <w:rPr>
          <w:rFonts w:cs="Times New Roman"/>
        </w:rPr>
      </w:pPr>
    </w:p>
    <w:p w14:paraId="6C700B60" w14:textId="77777777" w:rsidR="008F14EE" w:rsidRPr="00170F6A" w:rsidRDefault="008F14EE" w:rsidP="00AF53F3">
      <w:pPr>
        <w:rPr>
          <w:rFonts w:cs="Times New Roman"/>
        </w:rPr>
      </w:pPr>
    </w:p>
    <w:p w14:paraId="35A7D6BC" w14:textId="3FB23B86" w:rsidR="00FE1A71" w:rsidRPr="00445A8B" w:rsidRDefault="0054516B" w:rsidP="00AF53F3">
      <w:pPr>
        <w:rPr>
          <w:rFonts w:cs="Times New Roman"/>
          <w:b/>
          <w:bCs/>
          <w:sz w:val="32"/>
          <w:szCs w:val="32"/>
        </w:rPr>
      </w:pP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 xml:space="preserve">Exempt </w:t>
      </w:r>
      <w:r w:rsidR="005849B6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Re</w:t>
      </w:r>
      <w:r w:rsidR="004817A4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quirements</w:t>
      </w:r>
    </w:p>
    <w:p w14:paraId="27D481B8" w14:textId="77777777" w:rsidR="00DD4202" w:rsidRPr="00170F6A" w:rsidRDefault="00DD4202" w:rsidP="00AF53F3">
      <w:pPr>
        <w:rPr>
          <w:rFonts w:cs="Times New Roman"/>
          <w:b/>
          <w:bCs/>
        </w:rPr>
      </w:pPr>
    </w:p>
    <w:p w14:paraId="61C3BE8D" w14:textId="35C7323E" w:rsidR="00FF228D" w:rsidRPr="00170F6A" w:rsidRDefault="00C80007" w:rsidP="00AF53F3">
      <w:pPr>
        <w:rPr>
          <w:rFonts w:cs="Times New Roman"/>
        </w:rPr>
      </w:pPr>
      <w:r w:rsidRPr="00170F6A">
        <w:rPr>
          <w:rFonts w:cs="Times New Roman"/>
        </w:rPr>
        <w:t>Specific</w:t>
      </w:r>
      <w:r w:rsidR="00DD4202" w:rsidRPr="00170F6A">
        <w:rPr>
          <w:rFonts w:cs="Times New Roman"/>
        </w:rPr>
        <w:t xml:space="preserve"> </w:t>
      </w:r>
      <w:r w:rsidRPr="00170F6A">
        <w:rPr>
          <w:rFonts w:cs="Times New Roman"/>
        </w:rPr>
        <w:t>criteria must be met for</w:t>
      </w:r>
      <w:r w:rsidR="00BD36E6" w:rsidRPr="00170F6A">
        <w:rPr>
          <w:rFonts w:cs="Times New Roman"/>
        </w:rPr>
        <w:t xml:space="preserve"> </w:t>
      </w:r>
      <w:r w:rsidR="00894B71" w:rsidRPr="00170F6A">
        <w:rPr>
          <w:rFonts w:cs="Times New Roman"/>
        </w:rPr>
        <w:t xml:space="preserve">reporting a </w:t>
      </w:r>
      <w:r w:rsidR="00BD18DE" w:rsidRPr="00170F6A">
        <w:rPr>
          <w:rFonts w:cs="Times New Roman"/>
        </w:rPr>
        <w:t xml:space="preserve">PSU </w:t>
      </w:r>
      <w:r w:rsidR="00752AE8" w:rsidRPr="00170F6A">
        <w:rPr>
          <w:rFonts w:cs="Times New Roman"/>
        </w:rPr>
        <w:t xml:space="preserve">as </w:t>
      </w:r>
      <w:r w:rsidR="00834295" w:rsidRPr="00170F6A">
        <w:rPr>
          <w:rFonts w:cs="Times New Roman"/>
        </w:rPr>
        <w:t>exempt</w:t>
      </w:r>
      <w:r w:rsidR="004809C0" w:rsidRPr="00170F6A">
        <w:rPr>
          <w:rFonts w:cs="Times New Roman"/>
        </w:rPr>
        <w:t xml:space="preserve">. </w:t>
      </w:r>
    </w:p>
    <w:p w14:paraId="08A9E5D6" w14:textId="77777777" w:rsidR="008056CC" w:rsidRPr="00170F6A" w:rsidRDefault="008056CC" w:rsidP="00AF53F3">
      <w:pPr>
        <w:rPr>
          <w:rFonts w:cs="Times New Roman"/>
        </w:rPr>
      </w:pP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9012"/>
      </w:tblGrid>
      <w:tr w:rsidR="00C951E3" w:rsidRPr="00170F6A" w14:paraId="1E17E5AD" w14:textId="77777777" w:rsidTr="0018523E">
        <w:trPr>
          <w:trHeight w:val="29"/>
        </w:trPr>
        <w:tc>
          <w:tcPr>
            <w:tcW w:w="9012" w:type="dxa"/>
            <w:shd w:val="clear" w:color="auto" w:fill="DAE9F7" w:themeFill="text2" w:themeFillTint="1A"/>
          </w:tcPr>
          <w:p w14:paraId="6A11AE9E" w14:textId="4AC80922" w:rsidR="00C951E3" w:rsidRPr="00170F6A" w:rsidRDefault="00C951E3" w:rsidP="00AF53F3">
            <w:pPr>
              <w:rPr>
                <w:rFonts w:cs="Times New Roman"/>
                <w:b/>
                <w:bCs/>
                <w:i/>
                <w:iCs/>
              </w:rPr>
            </w:pPr>
            <w:r w:rsidRPr="00170F6A">
              <w:rPr>
                <w:rFonts w:cs="Times New Roman"/>
                <w:b/>
                <w:bCs/>
                <w:i/>
                <w:iCs/>
              </w:rPr>
              <w:t>Exemption Criteria</w:t>
            </w:r>
          </w:p>
          <w:p w14:paraId="624409FE" w14:textId="77777777" w:rsidR="004817A4" w:rsidRPr="00170F6A" w:rsidRDefault="004817A4" w:rsidP="00AF53F3">
            <w:pPr>
              <w:rPr>
                <w:rFonts w:cs="Times New Roman"/>
                <w:b/>
                <w:bCs/>
                <w:i/>
                <w:iCs/>
              </w:rPr>
            </w:pPr>
          </w:p>
          <w:p w14:paraId="4364D823" w14:textId="408121F2" w:rsidR="00C951E3" w:rsidRPr="00170F6A" w:rsidRDefault="00A93887" w:rsidP="00AF53F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</w:rPr>
            </w:pPr>
            <w:r w:rsidRPr="00170F6A">
              <w:rPr>
                <w:rFonts w:cs="Times New Roman"/>
              </w:rPr>
              <w:t>A</w:t>
            </w:r>
            <w:r w:rsidR="00BD36E6" w:rsidRPr="00170F6A">
              <w:rPr>
                <w:rFonts w:cs="Times New Roman"/>
              </w:rPr>
              <w:t xml:space="preserve"> PSU</w:t>
            </w:r>
            <w:r w:rsidRPr="00170F6A">
              <w:rPr>
                <w:rFonts w:cs="Times New Roman"/>
              </w:rPr>
              <w:t xml:space="preserve"> </w:t>
            </w:r>
            <w:r w:rsidR="00C951E3" w:rsidRPr="00170F6A">
              <w:rPr>
                <w:rFonts w:cs="Times New Roman"/>
              </w:rPr>
              <w:t xml:space="preserve">with </w:t>
            </w:r>
            <w:r w:rsidR="003A1D5C" w:rsidRPr="00170F6A">
              <w:rPr>
                <w:rFonts w:cs="Times New Roman"/>
              </w:rPr>
              <w:t>one hundred</w:t>
            </w:r>
            <w:r w:rsidR="00C951E3" w:rsidRPr="00170F6A">
              <w:rPr>
                <w:rFonts w:cs="Times New Roman"/>
              </w:rPr>
              <w:t xml:space="preserve"> or fewer students </w:t>
            </w:r>
            <w:r w:rsidR="00984959" w:rsidRPr="00170F6A">
              <w:rPr>
                <w:rFonts w:cs="Times New Roman"/>
              </w:rPr>
              <w:t>is</w:t>
            </w:r>
            <w:r w:rsidR="00C951E3" w:rsidRPr="00170F6A">
              <w:rPr>
                <w:rFonts w:cs="Times New Roman"/>
              </w:rPr>
              <w:t xml:space="preserve"> exempt from reporting.</w:t>
            </w:r>
          </w:p>
          <w:p w14:paraId="0EC49068" w14:textId="77777777" w:rsidR="00C951E3" w:rsidRPr="00170F6A" w:rsidRDefault="00C951E3" w:rsidP="00AF53F3">
            <w:pPr>
              <w:ind w:left="360"/>
              <w:rPr>
                <w:rFonts w:cs="Times New Roman"/>
              </w:rPr>
            </w:pPr>
          </w:p>
          <w:p w14:paraId="2EF34883" w14:textId="1D20554B" w:rsidR="007C0496" w:rsidRPr="00170F6A" w:rsidRDefault="00A93887" w:rsidP="00AF53F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</w:rPr>
            </w:pPr>
            <w:r w:rsidRPr="00170F6A">
              <w:rPr>
                <w:rFonts w:cs="Times New Roman"/>
              </w:rPr>
              <w:t>A</w:t>
            </w:r>
            <w:r w:rsidR="00BD36E6" w:rsidRPr="00170F6A">
              <w:rPr>
                <w:rFonts w:cs="Times New Roman"/>
              </w:rPr>
              <w:t xml:space="preserve"> PSU </w:t>
            </w:r>
            <w:r w:rsidR="00C951E3" w:rsidRPr="00170F6A">
              <w:rPr>
                <w:rFonts w:cs="Times New Roman"/>
              </w:rPr>
              <w:t>with one school</w:t>
            </w:r>
            <w:r w:rsidR="007D315A" w:rsidRPr="00170F6A">
              <w:rPr>
                <w:rFonts w:cs="Times New Roman"/>
              </w:rPr>
              <w:t xml:space="preserve"> site</w:t>
            </w:r>
            <w:r w:rsidR="007C0496" w:rsidRPr="00170F6A">
              <w:rPr>
                <w:rFonts w:cs="Times New Roman"/>
              </w:rPr>
              <w:t xml:space="preserve"> </w:t>
            </w:r>
            <w:r w:rsidR="00A94ABB" w:rsidRPr="00170F6A">
              <w:rPr>
                <w:rFonts w:cs="Times New Roman"/>
              </w:rPr>
              <w:t xml:space="preserve">per grade spans </w:t>
            </w:r>
            <w:r w:rsidR="007C0496" w:rsidRPr="00170F6A">
              <w:rPr>
                <w:rFonts w:cs="Times New Roman"/>
              </w:rPr>
              <w:t xml:space="preserve">is exempt. </w:t>
            </w:r>
          </w:p>
          <w:p w14:paraId="50480E96" w14:textId="77777777" w:rsidR="00C951E3" w:rsidRPr="00170F6A" w:rsidRDefault="00C951E3" w:rsidP="00AF53F3">
            <w:pPr>
              <w:pStyle w:val="ListParagraph"/>
              <w:rPr>
                <w:rFonts w:cs="Times New Roman"/>
              </w:rPr>
            </w:pPr>
          </w:p>
          <w:p w14:paraId="77645DF7" w14:textId="383BB6C6" w:rsidR="00C951E3" w:rsidRPr="00170F6A" w:rsidRDefault="00A93887" w:rsidP="00AF53F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</w:rPr>
            </w:pPr>
            <w:r w:rsidRPr="00170F6A">
              <w:rPr>
                <w:rFonts w:cs="Times New Roman"/>
              </w:rPr>
              <w:t>A</w:t>
            </w:r>
            <w:r w:rsidR="00BD36E6" w:rsidRPr="00170F6A">
              <w:rPr>
                <w:rFonts w:cs="Times New Roman"/>
              </w:rPr>
              <w:t xml:space="preserve"> PSU</w:t>
            </w:r>
            <w:r w:rsidR="002E6F24" w:rsidRPr="00170F6A">
              <w:rPr>
                <w:rFonts w:cs="Times New Roman"/>
              </w:rPr>
              <w:t xml:space="preserve"> </w:t>
            </w:r>
            <w:r w:rsidR="00C951E3" w:rsidRPr="00170F6A">
              <w:rPr>
                <w:rFonts w:cs="Times New Roman"/>
              </w:rPr>
              <w:t xml:space="preserve">serving as a single site facility </w:t>
            </w:r>
            <w:r w:rsidR="009426E3" w:rsidRPr="00170F6A">
              <w:rPr>
                <w:rFonts w:cs="Times New Roman"/>
              </w:rPr>
              <w:t xml:space="preserve">is </w:t>
            </w:r>
            <w:r w:rsidR="00C951E3" w:rsidRPr="00170F6A">
              <w:rPr>
                <w:rFonts w:cs="Times New Roman"/>
              </w:rPr>
              <w:t>exempt.</w:t>
            </w:r>
            <w:r w:rsidR="0076066C" w:rsidRPr="00170F6A">
              <w:rPr>
                <w:rFonts w:cs="Times New Roman"/>
              </w:rPr>
              <w:t xml:space="preserve"> </w:t>
            </w:r>
          </w:p>
          <w:p w14:paraId="307FBDC4" w14:textId="77777777" w:rsidR="004817A4" w:rsidRPr="00170F6A" w:rsidRDefault="004817A4" w:rsidP="00AF53F3">
            <w:pPr>
              <w:pStyle w:val="ListParagraph"/>
              <w:rPr>
                <w:rFonts w:cs="Times New Roman"/>
              </w:rPr>
            </w:pPr>
          </w:p>
          <w:p w14:paraId="778B7567" w14:textId="38C92D23" w:rsidR="002413D8" w:rsidRPr="00170F6A" w:rsidRDefault="004817A4" w:rsidP="00AF53F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</w:rPr>
            </w:pPr>
            <w:r w:rsidRPr="00170F6A">
              <w:rPr>
                <w:rFonts w:cs="Times New Roman"/>
              </w:rPr>
              <w:t>A</w:t>
            </w:r>
            <w:r w:rsidR="007D315A" w:rsidRPr="00170F6A">
              <w:rPr>
                <w:rFonts w:cs="Times New Roman"/>
              </w:rPr>
              <w:t xml:space="preserve"> PSU</w:t>
            </w:r>
            <w:r w:rsidR="002E6F24" w:rsidRPr="00170F6A">
              <w:rPr>
                <w:rFonts w:cs="Times New Roman"/>
              </w:rPr>
              <w:t xml:space="preserve"> </w:t>
            </w:r>
            <w:r w:rsidRPr="00170F6A">
              <w:rPr>
                <w:rFonts w:cs="Times New Roman"/>
              </w:rPr>
              <w:t>with no like grade spans to compare is exempt.</w:t>
            </w:r>
          </w:p>
          <w:p w14:paraId="5829F4C2" w14:textId="77777777" w:rsidR="00DF10F7" w:rsidRPr="00170F6A" w:rsidRDefault="00DF10F7" w:rsidP="00DF10F7">
            <w:pPr>
              <w:pStyle w:val="ListParagraph"/>
              <w:rPr>
                <w:rFonts w:cs="Times New Roman"/>
              </w:rPr>
            </w:pPr>
          </w:p>
          <w:p w14:paraId="3A11CE73" w14:textId="4F724DAB" w:rsidR="00DF10F7" w:rsidRPr="00170F6A" w:rsidRDefault="00DF10F7" w:rsidP="00AF53F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</w:rPr>
            </w:pPr>
            <w:r w:rsidRPr="00170F6A">
              <w:rPr>
                <w:rFonts w:cs="Times New Roman"/>
              </w:rPr>
              <w:t xml:space="preserve">A PSU that does </w:t>
            </w:r>
            <w:r w:rsidR="00834295" w:rsidRPr="00170F6A">
              <w:rPr>
                <w:rFonts w:cs="Times New Roman"/>
              </w:rPr>
              <w:t xml:space="preserve">not </w:t>
            </w:r>
            <w:r w:rsidRPr="00170F6A">
              <w:rPr>
                <w:rFonts w:cs="Times New Roman"/>
              </w:rPr>
              <w:t xml:space="preserve">accept Title </w:t>
            </w:r>
            <w:r w:rsidR="00181D34">
              <w:rPr>
                <w:rFonts w:cs="Times New Roman"/>
              </w:rPr>
              <w:t>I</w:t>
            </w:r>
            <w:r w:rsidRPr="00170F6A">
              <w:rPr>
                <w:rFonts w:cs="Times New Roman"/>
              </w:rPr>
              <w:t xml:space="preserve"> funds is exempt.</w:t>
            </w:r>
          </w:p>
          <w:p w14:paraId="21358ABB" w14:textId="06A1DED6" w:rsidR="00354170" w:rsidRPr="00170F6A" w:rsidRDefault="00354170" w:rsidP="00AF53F3">
            <w:pPr>
              <w:rPr>
                <w:rFonts w:cs="Times New Roman"/>
              </w:rPr>
            </w:pPr>
          </w:p>
        </w:tc>
      </w:tr>
    </w:tbl>
    <w:p w14:paraId="31C49597" w14:textId="77777777" w:rsidR="002C1692" w:rsidRPr="0098734E" w:rsidRDefault="002C1692" w:rsidP="00137031">
      <w:pPr>
        <w:rPr>
          <w:rFonts w:cs="Times New Roman"/>
          <w:color w:val="0070C0"/>
          <w:sz w:val="28"/>
          <w:szCs w:val="28"/>
        </w:rPr>
      </w:pPr>
    </w:p>
    <w:p w14:paraId="0CA51937" w14:textId="0E7C9FA6" w:rsidR="00637426" w:rsidRPr="00445A8B" w:rsidRDefault="00433AF4" w:rsidP="00D234D3">
      <w:pPr>
        <w:rPr>
          <w:rFonts w:cs="Times New Roman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Exempt</w:t>
      </w:r>
      <w:r w:rsidR="004D48A0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 xml:space="preserve"> Reporting </w:t>
      </w:r>
    </w:p>
    <w:p w14:paraId="3B7581DE" w14:textId="77777777" w:rsidR="00764B31" w:rsidRPr="00170F6A" w:rsidRDefault="00764B31" w:rsidP="00137031">
      <w:pPr>
        <w:rPr>
          <w:rFonts w:cs="Times New Roman"/>
          <w:b/>
          <w:bCs/>
          <w:color w:val="0070C0"/>
        </w:rPr>
      </w:pPr>
    </w:p>
    <w:p w14:paraId="434BC21E" w14:textId="6B08CE5D" w:rsidR="005F397E" w:rsidRDefault="005661F5" w:rsidP="00137031">
      <w:pPr>
        <w:rPr>
          <w:rFonts w:cs="Times New Roman"/>
        </w:rPr>
      </w:pPr>
      <w:r w:rsidRPr="00170F6A">
        <w:rPr>
          <w:rFonts w:cs="Times New Roman"/>
        </w:rPr>
        <w:t>To report</w:t>
      </w:r>
      <w:r w:rsidR="00395D11" w:rsidRPr="00170F6A">
        <w:rPr>
          <w:rFonts w:cs="Times New Roman"/>
        </w:rPr>
        <w:t xml:space="preserve"> </w:t>
      </w:r>
      <w:r w:rsidR="00012739" w:rsidRPr="00170F6A">
        <w:rPr>
          <w:rFonts w:cs="Times New Roman"/>
        </w:rPr>
        <w:t>a PSU exemption</w:t>
      </w:r>
      <w:r w:rsidR="00024EAB">
        <w:rPr>
          <w:rFonts w:cs="Times New Roman"/>
        </w:rPr>
        <w:t>,</w:t>
      </w:r>
      <w:r w:rsidRPr="00170F6A">
        <w:rPr>
          <w:rFonts w:cs="Times New Roman"/>
        </w:rPr>
        <w:t xml:space="preserve"> an assigned PSU representative must access the </w:t>
      </w:r>
      <w:r w:rsidR="003463E6" w:rsidRPr="00170F6A">
        <w:rPr>
          <w:rFonts w:cs="Times New Roman"/>
        </w:rPr>
        <w:t>Comprehensive Continuous Improvement Plan (CCIP)</w:t>
      </w:r>
      <w:r w:rsidR="005F397E">
        <w:rPr>
          <w:rFonts w:cs="Times New Roman"/>
        </w:rPr>
        <w:t xml:space="preserve"> to report the exemption</w:t>
      </w:r>
      <w:r w:rsidR="00723037">
        <w:rPr>
          <w:rFonts w:cs="Times New Roman"/>
        </w:rPr>
        <w:t>.</w:t>
      </w:r>
    </w:p>
    <w:p w14:paraId="088E7391" w14:textId="77777777" w:rsidR="005F397E" w:rsidRDefault="005F397E" w:rsidP="00137031">
      <w:pPr>
        <w:rPr>
          <w:rFonts w:cs="Times New Roman"/>
        </w:rPr>
      </w:pPr>
    </w:p>
    <w:p w14:paraId="7A36AA49" w14:textId="4C62E23F" w:rsidR="00110CDC" w:rsidRPr="00170F6A" w:rsidRDefault="00764B31" w:rsidP="00137031">
      <w:pPr>
        <w:rPr>
          <w:rFonts w:cs="Times New Roman"/>
        </w:rPr>
      </w:pPr>
      <w:r w:rsidRPr="00170F6A">
        <w:rPr>
          <w:rFonts w:cs="Times New Roman"/>
        </w:rPr>
        <w:t>Follow the guide below to enter the exemption status and exemption criteria.</w:t>
      </w:r>
    </w:p>
    <w:p w14:paraId="3E35419F" w14:textId="77777777" w:rsidR="00764B31" w:rsidRPr="00170F6A" w:rsidRDefault="00764B31" w:rsidP="00137031">
      <w:pPr>
        <w:rPr>
          <w:rFonts w:cs="Times New Roman"/>
        </w:rPr>
      </w:pPr>
    </w:p>
    <w:p w14:paraId="37B43BBA" w14:textId="68A8DE1F" w:rsidR="00D25638" w:rsidRPr="00170F6A" w:rsidRDefault="00D25638" w:rsidP="003501B1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>Sign into CCIP</w:t>
      </w:r>
      <w:r w:rsidRPr="003A6317">
        <w:rPr>
          <w:rFonts w:cs="Times New Roman"/>
          <w:b/>
          <w:bCs/>
          <w:color w:val="99FF66"/>
        </w:rPr>
        <w:t xml:space="preserve"> </w:t>
      </w:r>
      <w:bookmarkStart w:id="0" w:name="_Hlk208417537"/>
      <w:r w:rsidR="00F707A2" w:rsidRPr="003A6317">
        <w:rPr>
          <w:rFonts w:cs="Times New Roman"/>
          <w:b/>
          <w:bCs/>
          <w:color w:val="4C94D8" w:themeColor="text2" w:themeTint="80"/>
        </w:rPr>
        <w:fldChar w:fldCharType="begin"/>
      </w:r>
      <w:r w:rsidR="00F707A2" w:rsidRPr="003A6317">
        <w:rPr>
          <w:rFonts w:cs="Times New Roman"/>
          <w:b/>
          <w:bCs/>
          <w:color w:val="4C94D8" w:themeColor="text2" w:themeTint="80"/>
        </w:rPr>
        <w:instrText>HYPERLINK "https://ccip.schools.nc.gov/Default.aspx?ccipSessionKey=638931341586141064"</w:instrText>
      </w:r>
      <w:r w:rsidR="00F707A2" w:rsidRPr="003A6317">
        <w:rPr>
          <w:rFonts w:cs="Times New Roman"/>
          <w:b/>
          <w:bCs/>
          <w:color w:val="4C94D8" w:themeColor="text2" w:themeTint="80"/>
        </w:rPr>
      </w:r>
      <w:r w:rsidR="00F707A2" w:rsidRPr="003A6317">
        <w:rPr>
          <w:rFonts w:cs="Times New Roman"/>
          <w:b/>
          <w:bCs/>
          <w:color w:val="4C94D8" w:themeColor="text2" w:themeTint="80"/>
        </w:rPr>
        <w:fldChar w:fldCharType="separate"/>
      </w:r>
      <w:proofErr w:type="spellStart"/>
      <w:r w:rsidR="00F707A2" w:rsidRPr="003A6317">
        <w:rPr>
          <w:rStyle w:val="Hyperlink"/>
          <w:rFonts w:cs="Times New Roman"/>
          <w:b/>
          <w:bCs/>
          <w:color w:val="4C94D8" w:themeColor="text2" w:themeTint="80"/>
        </w:rPr>
        <w:t>CCIP</w:t>
      </w:r>
      <w:proofErr w:type="spellEnd"/>
      <w:r w:rsidR="00F707A2" w:rsidRPr="003A6317">
        <w:rPr>
          <w:rStyle w:val="Hyperlink"/>
          <w:rFonts w:cs="Times New Roman"/>
          <w:b/>
          <w:bCs/>
          <w:color w:val="4C94D8" w:themeColor="text2" w:themeTint="80"/>
        </w:rPr>
        <w:t xml:space="preserve"> LINK</w:t>
      </w:r>
      <w:r w:rsidR="00F707A2" w:rsidRPr="003A6317">
        <w:rPr>
          <w:rFonts w:cs="Times New Roman"/>
          <w:b/>
          <w:bCs/>
          <w:color w:val="4C94D8" w:themeColor="text2" w:themeTint="80"/>
        </w:rPr>
        <w:fldChar w:fldCharType="end"/>
      </w:r>
      <w:bookmarkEnd w:id="0"/>
    </w:p>
    <w:p w14:paraId="67D854D1" w14:textId="4A4EDA1B" w:rsidR="000D54D9" w:rsidRPr="00D710F4" w:rsidRDefault="00D25638" w:rsidP="00D710F4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>Scroll to F</w:t>
      </w:r>
      <w:r w:rsidR="000D54D9" w:rsidRPr="00170F6A">
        <w:rPr>
          <w:rFonts w:cs="Times New Roman"/>
        </w:rPr>
        <w:t xml:space="preserve">unding </w:t>
      </w:r>
      <w:r w:rsidR="00D710F4">
        <w:rPr>
          <w:rFonts w:cs="Times New Roman"/>
        </w:rPr>
        <w:t>–</w:t>
      </w:r>
      <w:r w:rsidR="000D54D9" w:rsidRPr="00D710F4">
        <w:rPr>
          <w:rFonts w:cs="Times New Roman"/>
        </w:rPr>
        <w:t xml:space="preserve"> Funding Applications</w:t>
      </w:r>
      <w:r w:rsidR="00AC6C03" w:rsidRPr="00D710F4">
        <w:rPr>
          <w:rFonts w:cs="Times New Roman"/>
        </w:rPr>
        <w:t xml:space="preserve"> </w:t>
      </w:r>
      <w:r w:rsidR="00D710F4">
        <w:rPr>
          <w:rFonts w:cs="Times New Roman"/>
        </w:rPr>
        <w:t>–</w:t>
      </w:r>
      <w:r w:rsidR="002F1866" w:rsidRPr="00D710F4">
        <w:rPr>
          <w:rFonts w:cs="Times New Roman"/>
        </w:rPr>
        <w:t xml:space="preserve"> Sections</w:t>
      </w:r>
    </w:p>
    <w:p w14:paraId="25C1737D" w14:textId="03137129" w:rsidR="00D25638" w:rsidRPr="00170F6A" w:rsidRDefault="000D54D9" w:rsidP="003501B1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>Click F</w:t>
      </w:r>
      <w:r w:rsidR="00D25638" w:rsidRPr="00170F6A">
        <w:rPr>
          <w:rFonts w:cs="Times New Roman"/>
        </w:rPr>
        <w:t>P Consolidated</w:t>
      </w:r>
      <w:r w:rsidR="004C60CF" w:rsidRPr="00170F6A">
        <w:rPr>
          <w:rFonts w:cs="Times New Roman"/>
        </w:rPr>
        <w:t xml:space="preserve"> </w:t>
      </w:r>
      <w:r w:rsidR="00241807" w:rsidRPr="00170F6A">
        <w:rPr>
          <w:rFonts w:cs="Times New Roman"/>
        </w:rPr>
        <w:t xml:space="preserve">– Title </w:t>
      </w:r>
      <w:r w:rsidR="00181D34">
        <w:rPr>
          <w:rFonts w:cs="Times New Roman"/>
        </w:rPr>
        <w:t>I</w:t>
      </w:r>
    </w:p>
    <w:p w14:paraId="37F8BFE9" w14:textId="0139CAB7" w:rsidR="00D25638" w:rsidRPr="00170F6A" w:rsidRDefault="00D25638" w:rsidP="003501B1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>Click Sections</w:t>
      </w:r>
      <w:r w:rsidR="000531B3" w:rsidRPr="00170F6A">
        <w:rPr>
          <w:rFonts w:cs="Times New Roman"/>
        </w:rPr>
        <w:t xml:space="preserve"> –</w:t>
      </w:r>
      <w:r w:rsidR="005A7231" w:rsidRPr="00170F6A">
        <w:rPr>
          <w:rFonts w:cs="Times New Roman"/>
        </w:rPr>
        <w:t xml:space="preserve"> </w:t>
      </w:r>
      <w:r w:rsidR="00535840" w:rsidRPr="00170F6A">
        <w:rPr>
          <w:rFonts w:cs="Times New Roman"/>
        </w:rPr>
        <w:t>History Log – Create Comment</w:t>
      </w:r>
    </w:p>
    <w:p w14:paraId="55D11E36" w14:textId="44780AF5" w:rsidR="001A4DD8" w:rsidRPr="00170F6A" w:rsidRDefault="00535840" w:rsidP="003501B1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 xml:space="preserve">Enter </w:t>
      </w:r>
      <w:r w:rsidR="001A4DD8" w:rsidRPr="00170F6A">
        <w:rPr>
          <w:rFonts w:cs="Times New Roman"/>
        </w:rPr>
        <w:t>a c</w:t>
      </w:r>
      <w:r w:rsidRPr="00170F6A">
        <w:rPr>
          <w:rFonts w:cs="Times New Roman"/>
        </w:rPr>
        <w:t>ommen</w:t>
      </w:r>
      <w:r w:rsidR="00B10C3B" w:rsidRPr="00170F6A">
        <w:rPr>
          <w:rFonts w:cs="Times New Roman"/>
        </w:rPr>
        <w:t>t</w:t>
      </w:r>
      <w:r w:rsidR="001A4DD8" w:rsidRPr="00170F6A">
        <w:rPr>
          <w:rFonts w:cs="Times New Roman"/>
        </w:rPr>
        <w:t xml:space="preserve"> stating the exemption status and criteria</w:t>
      </w:r>
    </w:p>
    <w:p w14:paraId="36D3E8F4" w14:textId="6574134D" w:rsidR="00313294" w:rsidRPr="00170F6A" w:rsidRDefault="00761E4E" w:rsidP="00684F69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>Check Send Email to North Carolina CCIP Contacts</w:t>
      </w:r>
    </w:p>
    <w:p w14:paraId="003A8E3F" w14:textId="53376C6C" w:rsidR="00BE6C51" w:rsidRPr="00170F6A" w:rsidRDefault="00761E4E" w:rsidP="003501B1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 xml:space="preserve">Select </w:t>
      </w:r>
      <w:r w:rsidR="003D6386" w:rsidRPr="00170F6A">
        <w:rPr>
          <w:rFonts w:cs="Times New Roman"/>
        </w:rPr>
        <w:t xml:space="preserve">NC DPI </w:t>
      </w:r>
      <w:r w:rsidR="00BE6C51" w:rsidRPr="00170F6A">
        <w:rPr>
          <w:rFonts w:cs="Times New Roman"/>
        </w:rPr>
        <w:t xml:space="preserve">Contacts </w:t>
      </w:r>
      <w:r w:rsidR="00684F69" w:rsidRPr="00170F6A">
        <w:rPr>
          <w:rFonts w:cs="Times New Roman"/>
        </w:rPr>
        <w:t xml:space="preserve">– </w:t>
      </w:r>
      <w:r w:rsidR="00024EAB">
        <w:rPr>
          <w:rFonts w:cs="Times New Roman"/>
        </w:rPr>
        <w:t>c</w:t>
      </w:r>
      <w:r w:rsidR="00684F69" w:rsidRPr="00170F6A">
        <w:rPr>
          <w:rFonts w:cs="Times New Roman"/>
        </w:rPr>
        <w:t xml:space="preserve">lick </w:t>
      </w:r>
      <w:r w:rsidR="00EC2AB1" w:rsidRPr="00170F6A">
        <w:rPr>
          <w:rFonts w:cs="Times New Roman"/>
        </w:rPr>
        <w:t xml:space="preserve">Dr. Sue Hatley – </w:t>
      </w:r>
      <w:r w:rsidR="00024EAB">
        <w:rPr>
          <w:rFonts w:cs="Times New Roman"/>
        </w:rPr>
        <w:t>c</w:t>
      </w:r>
      <w:r w:rsidR="00EC2AB1" w:rsidRPr="00170F6A">
        <w:rPr>
          <w:rFonts w:cs="Times New Roman"/>
        </w:rPr>
        <w:t>lick Judi Godfrey</w:t>
      </w:r>
    </w:p>
    <w:p w14:paraId="6371C875" w14:textId="03B12A91" w:rsidR="008F325D" w:rsidRPr="00170F6A" w:rsidRDefault="00BE6C51" w:rsidP="003501B1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>Save and Go</w:t>
      </w:r>
    </w:p>
    <w:p w14:paraId="6A18B211" w14:textId="166167D4" w:rsidR="00EF0439" w:rsidRPr="00416EDC" w:rsidRDefault="00EC2AB1" w:rsidP="00EF0439">
      <w:pPr>
        <w:pStyle w:val="ListParagraph"/>
        <w:numPr>
          <w:ilvl w:val="0"/>
          <w:numId w:val="14"/>
        </w:numPr>
        <w:rPr>
          <w:rFonts w:cs="Times New Roman"/>
        </w:rPr>
      </w:pPr>
      <w:r w:rsidRPr="00170F6A">
        <w:rPr>
          <w:rFonts w:cs="Times New Roman"/>
        </w:rPr>
        <w:t xml:space="preserve">Do not </w:t>
      </w:r>
      <w:r w:rsidR="00024EAB">
        <w:rPr>
          <w:rFonts w:cs="Times New Roman"/>
        </w:rPr>
        <w:t>C</w:t>
      </w:r>
      <w:r w:rsidRPr="00170F6A">
        <w:rPr>
          <w:rFonts w:cs="Times New Roman"/>
        </w:rPr>
        <w:t>hange Status on Sections page</w:t>
      </w:r>
    </w:p>
    <w:p w14:paraId="0BFD045F" w14:textId="06E0B5C6" w:rsidR="00583E37" w:rsidRPr="00C34DF5" w:rsidRDefault="00677BF5" w:rsidP="00AF53F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695E0" wp14:editId="35F1E259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00725" cy="1676400"/>
                <wp:effectExtent l="0" t="0" r="28575" b="19050"/>
                <wp:wrapSquare wrapText="bothSides"/>
                <wp:docPr id="43043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676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FE723" w14:textId="50D92521" w:rsidR="00677BF5" w:rsidRPr="00C34DF5" w:rsidRDefault="00067A7C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34DF5">
                              <w:rPr>
                                <w:b/>
                                <w:bCs/>
                                <w:i/>
                                <w:iCs/>
                              </w:rPr>
                              <w:t>Helpful Examples</w:t>
                            </w:r>
                          </w:p>
                          <w:p w14:paraId="1580DA2B" w14:textId="77777777" w:rsidR="00DA2824" w:rsidRDefault="00DA282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AEB1537" w14:textId="7A8AAF2A" w:rsidR="002F081E" w:rsidRDefault="00FA42BE" w:rsidP="002F081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 xml:space="preserve">Intelligent Academy </w:t>
                            </w:r>
                            <w:r w:rsidR="00F50631">
                              <w:t xml:space="preserve">(121) </w:t>
                            </w:r>
                            <w:r>
                              <w:t>is exempt from</w:t>
                            </w:r>
                            <w:r w:rsidR="002F081E">
                              <w:t xml:space="preserve"> 2025-2026 comparability reporting due to enrollment of 51 students. </w:t>
                            </w:r>
                          </w:p>
                          <w:p w14:paraId="6ACAD94F" w14:textId="77777777" w:rsidR="002F081E" w:rsidRDefault="002F081E" w:rsidP="00583E37"/>
                          <w:p w14:paraId="7FDCF1BE" w14:textId="08EA010A" w:rsidR="00583E37" w:rsidRPr="00F946F6" w:rsidRDefault="00583E37" w:rsidP="00583E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Career Academy</w:t>
                            </w:r>
                            <w:r w:rsidR="00F50631">
                              <w:t xml:space="preserve"> (556)</w:t>
                            </w:r>
                            <w:r>
                              <w:t xml:space="preserve"> is exempt from </w:t>
                            </w:r>
                            <w:r w:rsidR="001D5B7A">
                              <w:t>comparability reporting in 2025-2026. We are a single site charter.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7695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75pt;width:456.75pt;height:13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" fillcolor="#dceaf7 [351]">
                <v:textbox>
                  <w:txbxContent>
                    <w:p w14:paraId="54EFE723" w14:textId="50D92521" w:rsidR="00677BF5" w:rsidRPr="00C34DF5" w:rsidRDefault="00067A7C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C34DF5">
                        <w:rPr>
                          <w:b/>
                          <w:bCs/>
                          <w:i/>
                          <w:iCs/>
                        </w:rPr>
                        <w:t>Helpful Examples</w:t>
                      </w:r>
                    </w:p>
                    <w:p w14:paraId="1580DA2B" w14:textId="77777777" w:rsidR="00DA2824" w:rsidRDefault="00DA2824">
                      <w:pPr>
                        <w:rPr>
                          <w:i/>
                          <w:iCs/>
                        </w:rPr>
                      </w:pPr>
                    </w:p>
                    <w:p w14:paraId="0AEB1537" w14:textId="7A8AAF2A" w:rsidR="002F081E" w:rsidRDefault="00FA42BE" w:rsidP="002F081E">
                      <w:pPr>
                        <w:pStyle w:val="ListParagraph"/>
                        <w:numPr>
                          <w:ilvl w:val="0"/>
                          <w:numId w:val="33"/>
                        </w:numPr>
                      </w:pPr>
                      <w:r>
                        <w:t xml:space="preserve">Intelligent Academy </w:t>
                      </w:r>
                      <w:r w:rsidR="00F50631">
                        <w:t xml:space="preserve">(121) </w:t>
                      </w:r>
                      <w:r>
                        <w:t>is exempt from</w:t>
                      </w:r>
                      <w:r w:rsidR="002F081E">
                        <w:t xml:space="preserve"> 2025-2026 comparability reporting due to enrollment of 51 students. </w:t>
                      </w:r>
                    </w:p>
                    <w:p w14:paraId="6ACAD94F" w14:textId="77777777" w:rsidR="002F081E" w:rsidRDefault="002F081E" w:rsidP="00583E37"/>
                    <w:p w14:paraId="7FDCF1BE" w14:textId="08EA010A" w:rsidR="00583E37" w:rsidRPr="00F946F6" w:rsidRDefault="00583E37" w:rsidP="00583E37">
                      <w:pPr>
                        <w:pStyle w:val="ListParagraph"/>
                        <w:numPr>
                          <w:ilvl w:val="0"/>
                          <w:numId w:val="33"/>
                        </w:numPr>
                      </w:pPr>
                      <w:r>
                        <w:t>Career Academy</w:t>
                      </w:r>
                      <w:r w:rsidR="00F50631">
                        <w:t xml:space="preserve"> (556)</w:t>
                      </w:r>
                      <w:r>
                        <w:t xml:space="preserve"> is exempt from </w:t>
                      </w:r>
                      <w:r w:rsidR="001D5B7A">
                        <w:t>comparability reporting in 2025-2026. We are a single site charter.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A3D0D" w14:textId="092745D3" w:rsidR="00C46472" w:rsidRPr="003E5C8D" w:rsidRDefault="0069746F" w:rsidP="00C46472">
      <w:pPr>
        <w:jc w:val="center"/>
        <w:rPr>
          <w:rFonts w:cs="Times New Roman"/>
          <w:b/>
          <w:bCs/>
          <w:i/>
          <w:iCs/>
        </w:rPr>
      </w:pPr>
      <w:r w:rsidRPr="00416EDC">
        <w:rPr>
          <w:rFonts w:cs="Times New Roman"/>
          <w:b/>
          <w:bCs/>
          <w:i/>
          <w:iCs/>
          <w:highlight w:val="yellow"/>
        </w:rPr>
        <w:t>Note: Documentation should be kept at the PSU level</w:t>
      </w:r>
      <w:r w:rsidR="00416EDC">
        <w:rPr>
          <w:rFonts w:cs="Times New Roman"/>
          <w:b/>
          <w:bCs/>
          <w:i/>
          <w:iCs/>
          <w:highlight w:val="yellow"/>
        </w:rPr>
        <w:t xml:space="preserve">/site </w:t>
      </w:r>
      <w:r w:rsidRPr="00416EDC">
        <w:rPr>
          <w:rFonts w:cs="Times New Roman"/>
          <w:b/>
          <w:bCs/>
          <w:i/>
          <w:iCs/>
          <w:highlight w:val="yellow"/>
        </w:rPr>
        <w:t xml:space="preserve">and </w:t>
      </w:r>
      <w:r w:rsidR="00416EDC">
        <w:rPr>
          <w:rFonts w:cs="Times New Roman"/>
          <w:b/>
          <w:bCs/>
          <w:i/>
          <w:iCs/>
          <w:highlight w:val="yellow"/>
        </w:rPr>
        <w:t xml:space="preserve">made </w:t>
      </w:r>
      <w:r w:rsidRPr="00416EDC">
        <w:rPr>
          <w:rFonts w:cs="Times New Roman"/>
          <w:b/>
          <w:bCs/>
          <w:i/>
          <w:iCs/>
          <w:highlight w:val="yellow"/>
        </w:rPr>
        <w:t xml:space="preserve">available </w:t>
      </w:r>
      <w:r w:rsidR="00E46D5A" w:rsidRPr="00416EDC">
        <w:rPr>
          <w:rFonts w:cs="Times New Roman"/>
          <w:b/>
          <w:bCs/>
          <w:i/>
          <w:iCs/>
          <w:highlight w:val="yellow"/>
        </w:rPr>
        <w:t xml:space="preserve">upon request </w:t>
      </w:r>
      <w:r w:rsidR="00C46472">
        <w:rPr>
          <w:rFonts w:cs="Times New Roman"/>
          <w:b/>
          <w:bCs/>
          <w:i/>
          <w:iCs/>
          <w:highlight w:val="yellow"/>
        </w:rPr>
        <w:t xml:space="preserve">by the Office of Federal Programs </w:t>
      </w:r>
      <w:r w:rsidR="00E46D5A" w:rsidRPr="00416EDC">
        <w:rPr>
          <w:rFonts w:cs="Times New Roman"/>
          <w:b/>
          <w:bCs/>
          <w:i/>
          <w:iCs/>
          <w:highlight w:val="yellow"/>
        </w:rPr>
        <w:t>for monitoring purposes.</w:t>
      </w:r>
      <w:r w:rsidR="00C46472" w:rsidRPr="00C46472">
        <w:rPr>
          <w:rFonts w:cs="Times New Roman"/>
          <w:b/>
          <w:bCs/>
          <w:i/>
          <w:iCs/>
          <w:highlight w:val="yellow"/>
        </w:rPr>
        <w:t xml:space="preserve"> </w:t>
      </w:r>
      <w:r w:rsidR="00C46472">
        <w:rPr>
          <w:rFonts w:cs="Times New Roman"/>
          <w:b/>
          <w:bCs/>
          <w:i/>
          <w:iCs/>
          <w:highlight w:val="yellow"/>
        </w:rPr>
        <w:t>In addition, the Comparability process</w:t>
      </w:r>
      <w:r w:rsidR="00C46472" w:rsidRPr="00C46472">
        <w:rPr>
          <w:rFonts w:cs="Times New Roman"/>
          <w:b/>
          <w:bCs/>
          <w:i/>
          <w:iCs/>
          <w:highlight w:val="yellow"/>
        </w:rPr>
        <w:t xml:space="preserve"> </w:t>
      </w:r>
      <w:r w:rsidR="00C46472">
        <w:rPr>
          <w:rFonts w:cs="Times New Roman"/>
          <w:b/>
          <w:bCs/>
          <w:i/>
          <w:iCs/>
          <w:highlight w:val="yellow"/>
        </w:rPr>
        <w:t>is required to</w:t>
      </w:r>
      <w:r w:rsidR="00C46472" w:rsidRPr="00C46472">
        <w:rPr>
          <w:rFonts w:cs="Times New Roman"/>
          <w:b/>
          <w:bCs/>
          <w:i/>
          <w:iCs/>
          <w:highlight w:val="yellow"/>
        </w:rPr>
        <w:t xml:space="preserve"> be updated annually.</w:t>
      </w:r>
    </w:p>
    <w:p w14:paraId="1B5159AB" w14:textId="72C4F63C" w:rsidR="00BD18DE" w:rsidRPr="00416EDC" w:rsidRDefault="00BD18DE" w:rsidP="00C46472">
      <w:pPr>
        <w:jc w:val="center"/>
        <w:rPr>
          <w:rFonts w:cs="Times New Roman"/>
          <w:b/>
          <w:bCs/>
          <w:i/>
          <w:iCs/>
        </w:rPr>
      </w:pPr>
    </w:p>
    <w:p w14:paraId="1DA25544" w14:textId="77777777" w:rsidR="00C34DF5" w:rsidRPr="00170F6A" w:rsidRDefault="00C34DF5" w:rsidP="00AF53F3">
      <w:pPr>
        <w:rPr>
          <w:rFonts w:cs="Times New Roman"/>
          <w:b/>
          <w:bCs/>
          <w:color w:val="0070C0"/>
        </w:rPr>
      </w:pPr>
    </w:p>
    <w:p w14:paraId="27F43B6B" w14:textId="04AC0E6C" w:rsidR="00F66CCE" w:rsidRPr="00445A8B" w:rsidRDefault="00BB1727" w:rsidP="00AF53F3">
      <w:pPr>
        <w:rPr>
          <w:rFonts w:cs="Times New Roman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 xml:space="preserve">Not Exempt </w:t>
      </w:r>
      <w:r w:rsidR="005849B6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Reporting</w:t>
      </w:r>
    </w:p>
    <w:p w14:paraId="26A841F6" w14:textId="1FF73171" w:rsidR="00354170" w:rsidRPr="00170F6A" w:rsidRDefault="00354170" w:rsidP="00AF53F3">
      <w:pPr>
        <w:rPr>
          <w:rFonts w:cs="Times New Roman"/>
          <w:b/>
          <w:bCs/>
        </w:rPr>
      </w:pPr>
      <w:r w:rsidRPr="00170F6A">
        <w:rPr>
          <w:rFonts w:cs="Times New Roman"/>
          <w:b/>
          <w:bCs/>
        </w:rPr>
        <w:t xml:space="preserve"> </w:t>
      </w:r>
    </w:p>
    <w:p w14:paraId="4F829289" w14:textId="0FE9A2AE" w:rsidR="007B2A95" w:rsidRDefault="00354170" w:rsidP="00AF53F3">
      <w:pPr>
        <w:rPr>
          <w:rFonts w:cs="Times New Roman"/>
          <w:b/>
          <w:bCs/>
          <w:color w:val="215E99" w:themeColor="text2" w:themeTint="BF"/>
          <w:sz w:val="28"/>
          <w:szCs w:val="28"/>
        </w:rPr>
      </w:pPr>
      <w:r w:rsidRPr="00453F20">
        <w:rPr>
          <w:rFonts w:cs="Times New Roman"/>
          <w:b/>
          <w:bCs/>
          <w:color w:val="215E99" w:themeColor="text2" w:themeTint="BF"/>
          <w:sz w:val="28"/>
          <w:szCs w:val="28"/>
        </w:rPr>
        <w:t>Planning</w:t>
      </w:r>
      <w:r w:rsidR="00D710F4">
        <w:rPr>
          <w:rFonts w:cs="Times New Roman"/>
          <w:b/>
          <w:bCs/>
          <w:color w:val="215E99" w:themeColor="text2" w:themeTint="BF"/>
          <w:sz w:val="28"/>
          <w:szCs w:val="28"/>
        </w:rPr>
        <w:t xml:space="preserve"> Phase:</w:t>
      </w:r>
    </w:p>
    <w:p w14:paraId="0F704F54" w14:textId="77777777" w:rsidR="00453F20" w:rsidRPr="00453F20" w:rsidRDefault="00453F20" w:rsidP="00AF53F3">
      <w:pPr>
        <w:rPr>
          <w:rFonts w:cs="Times New Roman"/>
          <w:b/>
          <w:bCs/>
          <w:color w:val="215E99" w:themeColor="text2" w:themeTint="BF"/>
          <w:sz w:val="28"/>
          <w:szCs w:val="28"/>
        </w:rPr>
      </w:pPr>
    </w:p>
    <w:p w14:paraId="5671E746" w14:textId="02E8C32C" w:rsidR="00A5283C" w:rsidRPr="00170F6A" w:rsidRDefault="00A5283C" w:rsidP="00B410E7">
      <w:pPr>
        <w:rPr>
          <w:rFonts w:cs="Times New Roman"/>
        </w:rPr>
      </w:pPr>
      <w:r w:rsidRPr="00170F6A">
        <w:rPr>
          <w:rFonts w:cs="Times New Roman"/>
        </w:rPr>
        <w:t>Begin</w:t>
      </w:r>
      <w:r w:rsidR="009F3839" w:rsidRPr="00170F6A">
        <w:rPr>
          <w:rFonts w:cs="Times New Roman"/>
        </w:rPr>
        <w:t xml:space="preserve"> planning</w:t>
      </w:r>
      <w:r w:rsidRPr="00170F6A">
        <w:rPr>
          <w:rFonts w:cs="Times New Roman"/>
        </w:rPr>
        <w:t xml:space="preserve"> early </w:t>
      </w:r>
      <w:r w:rsidR="00F30B18" w:rsidRPr="00170F6A">
        <w:rPr>
          <w:rFonts w:cs="Times New Roman"/>
        </w:rPr>
        <w:t xml:space="preserve">by projecting </w:t>
      </w:r>
      <w:r w:rsidR="00ED581E" w:rsidRPr="00170F6A">
        <w:rPr>
          <w:rFonts w:cs="Times New Roman"/>
        </w:rPr>
        <w:t xml:space="preserve">student </w:t>
      </w:r>
      <w:r w:rsidR="002061B0" w:rsidRPr="00170F6A">
        <w:rPr>
          <w:rFonts w:cs="Times New Roman"/>
        </w:rPr>
        <w:t>enrollment numbers and</w:t>
      </w:r>
      <w:r w:rsidR="00E4507E" w:rsidRPr="00170F6A">
        <w:rPr>
          <w:rFonts w:cs="Times New Roman"/>
        </w:rPr>
        <w:t xml:space="preserve"> projected </w:t>
      </w:r>
      <w:r w:rsidR="007B2A95" w:rsidRPr="00170F6A">
        <w:rPr>
          <w:rFonts w:cs="Times New Roman"/>
        </w:rPr>
        <w:t>classroom teachers</w:t>
      </w:r>
      <w:r w:rsidR="004C28CF" w:rsidRPr="00170F6A">
        <w:rPr>
          <w:rFonts w:cs="Times New Roman"/>
        </w:rPr>
        <w:t xml:space="preserve"> or</w:t>
      </w:r>
      <w:r w:rsidR="007B2A95" w:rsidRPr="00170F6A">
        <w:rPr>
          <w:rFonts w:cs="Times New Roman"/>
        </w:rPr>
        <w:t xml:space="preserve"> instructional staff.</w:t>
      </w:r>
      <w:r w:rsidR="00E4507E" w:rsidRPr="00170F6A">
        <w:rPr>
          <w:rFonts w:cs="Times New Roman"/>
        </w:rPr>
        <w:t xml:space="preserve"> For comparability purposes</w:t>
      </w:r>
      <w:r w:rsidR="005C4C27" w:rsidRPr="00170F6A">
        <w:rPr>
          <w:rFonts w:cs="Times New Roman"/>
        </w:rPr>
        <w:t>,</w:t>
      </w:r>
      <w:r w:rsidR="00E4507E" w:rsidRPr="00170F6A">
        <w:rPr>
          <w:rFonts w:cs="Times New Roman"/>
        </w:rPr>
        <w:t xml:space="preserve"> </w:t>
      </w:r>
      <w:r w:rsidR="004B6616" w:rsidRPr="00170F6A">
        <w:rPr>
          <w:rFonts w:cs="Times New Roman"/>
        </w:rPr>
        <w:t>instructional staff</w:t>
      </w:r>
      <w:r w:rsidR="00E4507E" w:rsidRPr="00170F6A">
        <w:rPr>
          <w:rFonts w:cs="Times New Roman"/>
        </w:rPr>
        <w:t xml:space="preserve"> </w:t>
      </w:r>
      <w:r w:rsidR="005C4C27" w:rsidRPr="00170F6A">
        <w:rPr>
          <w:rFonts w:cs="Times New Roman"/>
        </w:rPr>
        <w:t xml:space="preserve">positions are </w:t>
      </w:r>
      <w:r w:rsidR="00FB77ED" w:rsidRPr="00170F6A">
        <w:rPr>
          <w:rFonts w:cs="Times New Roman"/>
        </w:rPr>
        <w:t xml:space="preserve">defined as: </w:t>
      </w:r>
    </w:p>
    <w:p w14:paraId="6C367EB5" w14:textId="77777777" w:rsidR="0074565D" w:rsidRPr="00170F6A" w:rsidRDefault="0074565D" w:rsidP="00AF53F3">
      <w:pPr>
        <w:pStyle w:val="ListParagraph"/>
        <w:rPr>
          <w:rFonts w:cs="Times New Roman"/>
        </w:rPr>
      </w:pPr>
    </w:p>
    <w:p w14:paraId="747F6685" w14:textId="3AF73E61" w:rsidR="00663120" w:rsidRPr="00170F6A" w:rsidRDefault="005636BE" w:rsidP="003501B1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F</w:t>
      </w:r>
      <w:r w:rsidR="00663120" w:rsidRPr="00170F6A">
        <w:rPr>
          <w:rFonts w:cs="Times New Roman"/>
        </w:rPr>
        <w:t>ull</w:t>
      </w:r>
      <w:r w:rsidR="00336FF9">
        <w:rPr>
          <w:rFonts w:cs="Times New Roman"/>
        </w:rPr>
        <w:t>-</w:t>
      </w:r>
      <w:r w:rsidR="00663120" w:rsidRPr="00170F6A">
        <w:rPr>
          <w:rFonts w:cs="Times New Roman"/>
        </w:rPr>
        <w:t xml:space="preserve">time equivalent </w:t>
      </w:r>
      <w:r w:rsidR="008F5C59" w:rsidRPr="00170F6A">
        <w:rPr>
          <w:rFonts w:cs="Times New Roman"/>
        </w:rPr>
        <w:t>certified teachers (FTEs)</w:t>
      </w:r>
      <w:r w:rsidR="00883D6A" w:rsidRPr="00170F6A">
        <w:rPr>
          <w:rFonts w:cs="Times New Roman"/>
        </w:rPr>
        <w:t xml:space="preserve"> (1.0)</w:t>
      </w:r>
    </w:p>
    <w:p w14:paraId="2B6AD616" w14:textId="77777777" w:rsidR="0031059F" w:rsidRPr="00170F6A" w:rsidRDefault="0031059F" w:rsidP="00AF53F3">
      <w:pPr>
        <w:ind w:left="1440"/>
        <w:rPr>
          <w:rFonts w:cs="Times New Roman"/>
        </w:rPr>
      </w:pPr>
    </w:p>
    <w:p w14:paraId="66F20162" w14:textId="1B77F77E" w:rsidR="008F5C59" w:rsidRPr="00170F6A" w:rsidRDefault="005636BE" w:rsidP="003501B1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C</w:t>
      </w:r>
      <w:r w:rsidR="00D7225F" w:rsidRPr="00170F6A">
        <w:rPr>
          <w:rFonts w:cs="Times New Roman"/>
        </w:rPr>
        <w:t>redentialed</w:t>
      </w:r>
      <w:r w:rsidR="00883D6A" w:rsidRPr="00170F6A">
        <w:rPr>
          <w:rFonts w:cs="Times New Roman"/>
        </w:rPr>
        <w:t>,</w:t>
      </w:r>
      <w:r w:rsidR="00D7225F" w:rsidRPr="00170F6A">
        <w:rPr>
          <w:rFonts w:cs="Times New Roman"/>
        </w:rPr>
        <w:t xml:space="preserve"> licensed</w:t>
      </w:r>
      <w:r w:rsidR="00883D6A" w:rsidRPr="00170F6A">
        <w:rPr>
          <w:rFonts w:cs="Times New Roman"/>
        </w:rPr>
        <w:t>,</w:t>
      </w:r>
      <w:r w:rsidR="00D7225F" w:rsidRPr="00170F6A">
        <w:rPr>
          <w:rFonts w:cs="Times New Roman"/>
        </w:rPr>
        <w:t xml:space="preserve"> or certified </w:t>
      </w:r>
      <w:r w:rsidR="0031059F" w:rsidRPr="00170F6A">
        <w:rPr>
          <w:rFonts w:cs="Times New Roman"/>
        </w:rPr>
        <w:t>s</w:t>
      </w:r>
      <w:r w:rsidR="001C789E" w:rsidRPr="00170F6A">
        <w:rPr>
          <w:rFonts w:cs="Times New Roman"/>
        </w:rPr>
        <w:t>upport instructional personnel</w:t>
      </w:r>
      <w:r w:rsidR="00D7225F" w:rsidRPr="00170F6A">
        <w:rPr>
          <w:rFonts w:cs="Times New Roman"/>
        </w:rPr>
        <w:t xml:space="preserve"> </w:t>
      </w:r>
      <w:r w:rsidR="001C789E" w:rsidRPr="00170F6A">
        <w:rPr>
          <w:rFonts w:cs="Times New Roman"/>
        </w:rPr>
        <w:t xml:space="preserve">providing </w:t>
      </w:r>
      <w:r w:rsidR="003649B2" w:rsidRPr="00170F6A">
        <w:rPr>
          <w:rFonts w:cs="Times New Roman"/>
        </w:rPr>
        <w:t xml:space="preserve">direct </w:t>
      </w:r>
      <w:r w:rsidR="00FB4D01">
        <w:rPr>
          <w:rFonts w:cs="Times New Roman"/>
        </w:rPr>
        <w:t xml:space="preserve">instruction </w:t>
      </w:r>
      <w:r w:rsidR="00722DE6">
        <w:rPr>
          <w:rFonts w:cs="Times New Roman"/>
        </w:rPr>
        <w:t xml:space="preserve">or </w:t>
      </w:r>
      <w:r w:rsidR="00090FE9">
        <w:rPr>
          <w:rFonts w:cs="Times New Roman"/>
        </w:rPr>
        <w:t xml:space="preserve">supporting </w:t>
      </w:r>
      <w:r w:rsidR="003649B2" w:rsidRPr="00170F6A">
        <w:rPr>
          <w:rFonts w:cs="Times New Roman"/>
        </w:rPr>
        <w:t>instructio</w:t>
      </w:r>
      <w:r w:rsidR="00090FE9">
        <w:rPr>
          <w:rFonts w:cs="Times New Roman"/>
        </w:rPr>
        <w:t>n by percentage</w:t>
      </w:r>
    </w:p>
    <w:p w14:paraId="507B323D" w14:textId="77777777" w:rsidR="00D61ACB" w:rsidRPr="00170F6A" w:rsidRDefault="00D61ACB" w:rsidP="00D61ACB">
      <w:pPr>
        <w:pStyle w:val="ListParagraph"/>
        <w:rPr>
          <w:rFonts w:cs="Times New Roman"/>
        </w:rPr>
      </w:pPr>
    </w:p>
    <w:p w14:paraId="1CFDD258" w14:textId="12D1A690" w:rsidR="00D61ACB" w:rsidRPr="00170F6A" w:rsidRDefault="005636BE" w:rsidP="003501B1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I</w:t>
      </w:r>
      <w:r w:rsidR="00D61ACB" w:rsidRPr="00170F6A">
        <w:rPr>
          <w:rFonts w:cs="Times New Roman"/>
        </w:rPr>
        <w:t xml:space="preserve">tinerant by percentage of time spent at </w:t>
      </w:r>
      <w:r w:rsidR="00935E17" w:rsidRPr="00170F6A">
        <w:rPr>
          <w:rFonts w:cs="Times New Roman"/>
        </w:rPr>
        <w:t>a school location</w:t>
      </w:r>
      <w:r w:rsidR="00FB4305" w:rsidRPr="00170F6A">
        <w:rPr>
          <w:rFonts w:cs="Times New Roman"/>
        </w:rPr>
        <w:t xml:space="preserve"> working with students</w:t>
      </w:r>
    </w:p>
    <w:p w14:paraId="20340A19" w14:textId="77777777" w:rsidR="003649B2" w:rsidRPr="00170F6A" w:rsidRDefault="003649B2" w:rsidP="00AF53F3">
      <w:pPr>
        <w:rPr>
          <w:rFonts w:cs="Times New Roman"/>
        </w:rPr>
      </w:pPr>
    </w:p>
    <w:p w14:paraId="088E690E" w14:textId="73CB49A4" w:rsidR="00E469B3" w:rsidRPr="00170F6A" w:rsidRDefault="005636BE" w:rsidP="003501B1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S</w:t>
      </w:r>
      <w:r w:rsidR="003649B2" w:rsidRPr="00170F6A">
        <w:rPr>
          <w:rFonts w:cs="Times New Roman"/>
        </w:rPr>
        <w:t xml:space="preserve">upport licensed/certified </w:t>
      </w:r>
      <w:r w:rsidR="003D50AB" w:rsidRPr="00170F6A">
        <w:rPr>
          <w:rFonts w:cs="Times New Roman"/>
        </w:rPr>
        <w:t xml:space="preserve">personnel </w:t>
      </w:r>
      <w:r w:rsidR="0092451B" w:rsidRPr="00170F6A">
        <w:rPr>
          <w:rFonts w:cs="Times New Roman"/>
        </w:rPr>
        <w:t xml:space="preserve">impacting </w:t>
      </w:r>
      <w:r w:rsidR="006C4EF8" w:rsidRPr="00170F6A">
        <w:rPr>
          <w:rFonts w:cs="Times New Roman"/>
        </w:rPr>
        <w:t xml:space="preserve">instruction </w:t>
      </w:r>
      <w:r w:rsidR="00FB4D01">
        <w:rPr>
          <w:rFonts w:cs="Times New Roman"/>
        </w:rPr>
        <w:t xml:space="preserve">by providing services to </w:t>
      </w:r>
      <w:r w:rsidR="006C4EF8" w:rsidRPr="00170F6A">
        <w:rPr>
          <w:rFonts w:cs="Times New Roman"/>
        </w:rPr>
        <w:t>student</w:t>
      </w:r>
      <w:r w:rsidR="00FB4D01">
        <w:rPr>
          <w:rFonts w:cs="Times New Roman"/>
        </w:rPr>
        <w:t>s leading to</w:t>
      </w:r>
      <w:r w:rsidR="006C4EF8" w:rsidRPr="00170F6A">
        <w:rPr>
          <w:rFonts w:cs="Times New Roman"/>
        </w:rPr>
        <w:t xml:space="preserve"> success</w:t>
      </w:r>
      <w:r w:rsidR="008C1BD3" w:rsidRPr="00170F6A">
        <w:rPr>
          <w:rFonts w:cs="Times New Roman"/>
        </w:rPr>
        <w:t xml:space="preserve"> </w:t>
      </w:r>
      <w:r w:rsidR="0046559C" w:rsidRPr="00170F6A">
        <w:rPr>
          <w:rFonts w:cs="Times New Roman"/>
        </w:rPr>
        <w:t>(1.0</w:t>
      </w:r>
      <w:r w:rsidR="000C2FE0" w:rsidRPr="00170F6A">
        <w:rPr>
          <w:rFonts w:cs="Times New Roman"/>
        </w:rPr>
        <w:t>)</w:t>
      </w:r>
    </w:p>
    <w:p w14:paraId="499A53FD" w14:textId="6650CDB7" w:rsidR="00225C81" w:rsidRPr="00170F6A" w:rsidRDefault="008F5C59" w:rsidP="00AF53F3">
      <w:pPr>
        <w:rPr>
          <w:rFonts w:cs="Times New Roman"/>
        </w:rPr>
      </w:pPr>
      <w:r w:rsidRPr="00170F6A">
        <w:rPr>
          <w:rFonts w:cs="Times New Roman"/>
        </w:rPr>
        <w:tab/>
      </w:r>
      <w:r w:rsidRPr="00170F6A">
        <w:rPr>
          <w:rFonts w:cs="Times New Roman"/>
        </w:rPr>
        <w:tab/>
      </w:r>
    </w:p>
    <w:p w14:paraId="6E32B1E8" w14:textId="5445A38C" w:rsidR="00225C81" w:rsidRPr="00170F6A" w:rsidRDefault="004A5D61" w:rsidP="00B410E7">
      <w:pPr>
        <w:rPr>
          <w:rFonts w:cs="Times New Roman"/>
        </w:rPr>
      </w:pPr>
      <w:r w:rsidRPr="00170F6A">
        <w:rPr>
          <w:rFonts w:cs="Times New Roman"/>
        </w:rPr>
        <w:t xml:space="preserve">Establish </w:t>
      </w:r>
      <w:r w:rsidR="00DF4296" w:rsidRPr="00170F6A">
        <w:rPr>
          <w:rFonts w:cs="Times New Roman"/>
        </w:rPr>
        <w:t xml:space="preserve">a </w:t>
      </w:r>
      <w:r w:rsidR="00F46438" w:rsidRPr="00170F6A">
        <w:rPr>
          <w:rFonts w:cs="Times New Roman"/>
          <w:b/>
          <w:bCs/>
        </w:rPr>
        <w:t xml:space="preserve">written </w:t>
      </w:r>
      <w:r w:rsidR="00B21E71" w:rsidRPr="00170F6A">
        <w:rPr>
          <w:rFonts w:cs="Times New Roman"/>
          <w:b/>
          <w:bCs/>
        </w:rPr>
        <w:t>procedure</w:t>
      </w:r>
      <w:r w:rsidR="00CF424E" w:rsidRPr="00170F6A">
        <w:rPr>
          <w:rFonts w:cs="Times New Roman"/>
        </w:rPr>
        <w:t xml:space="preserve">. </w:t>
      </w:r>
      <w:r w:rsidR="00FC5CB8" w:rsidRPr="00170F6A">
        <w:rPr>
          <w:rFonts w:cs="Times New Roman"/>
        </w:rPr>
        <w:t>Identify</w:t>
      </w:r>
      <w:r w:rsidR="007A2A68" w:rsidRPr="00170F6A">
        <w:rPr>
          <w:rFonts w:cs="Times New Roman"/>
        </w:rPr>
        <w:t xml:space="preserve"> </w:t>
      </w:r>
      <w:r w:rsidR="00F30B18" w:rsidRPr="00170F6A">
        <w:rPr>
          <w:rFonts w:cs="Times New Roman"/>
        </w:rPr>
        <w:t>department</w:t>
      </w:r>
      <w:r w:rsidR="003D1966" w:rsidRPr="00170F6A">
        <w:rPr>
          <w:rFonts w:cs="Times New Roman"/>
        </w:rPr>
        <w:t xml:space="preserve"> responsibilities</w:t>
      </w:r>
      <w:r w:rsidR="00F30B18" w:rsidRPr="00170F6A">
        <w:rPr>
          <w:rFonts w:cs="Times New Roman"/>
        </w:rPr>
        <w:t>, roles</w:t>
      </w:r>
      <w:r w:rsidR="007A2A68" w:rsidRPr="00170F6A">
        <w:rPr>
          <w:rFonts w:cs="Times New Roman"/>
        </w:rPr>
        <w:t>,</w:t>
      </w:r>
      <w:r w:rsidR="00DF4296" w:rsidRPr="00170F6A">
        <w:rPr>
          <w:rFonts w:cs="Times New Roman"/>
        </w:rPr>
        <w:t xml:space="preserve"> </w:t>
      </w:r>
      <w:r w:rsidR="00F46438" w:rsidRPr="00170F6A">
        <w:rPr>
          <w:rFonts w:cs="Times New Roman"/>
        </w:rPr>
        <w:t xml:space="preserve">and a </w:t>
      </w:r>
      <w:r w:rsidR="00F30B18" w:rsidRPr="00170F6A">
        <w:rPr>
          <w:rFonts w:cs="Times New Roman"/>
        </w:rPr>
        <w:t xml:space="preserve">working </w:t>
      </w:r>
      <w:r w:rsidR="00F46438" w:rsidRPr="00170F6A">
        <w:rPr>
          <w:rFonts w:cs="Times New Roman"/>
        </w:rPr>
        <w:t xml:space="preserve">timeline </w:t>
      </w:r>
      <w:r w:rsidR="009D729D" w:rsidRPr="00170F6A">
        <w:rPr>
          <w:rFonts w:cs="Times New Roman"/>
        </w:rPr>
        <w:t xml:space="preserve">for </w:t>
      </w:r>
      <w:r w:rsidR="000F46EE" w:rsidRPr="00170F6A">
        <w:rPr>
          <w:rFonts w:cs="Times New Roman"/>
        </w:rPr>
        <w:t>c</w:t>
      </w:r>
      <w:r w:rsidR="009D729D" w:rsidRPr="00170F6A">
        <w:rPr>
          <w:rFonts w:cs="Times New Roman"/>
        </w:rPr>
        <w:t>omparability</w:t>
      </w:r>
      <w:r w:rsidRPr="00170F6A">
        <w:rPr>
          <w:rFonts w:cs="Times New Roman"/>
        </w:rPr>
        <w:t xml:space="preserve"> preparation</w:t>
      </w:r>
      <w:r w:rsidR="00B21E71" w:rsidRPr="00170F6A">
        <w:rPr>
          <w:rFonts w:cs="Times New Roman"/>
        </w:rPr>
        <w:t xml:space="preserve"> and reportin</w:t>
      </w:r>
      <w:r w:rsidR="009258D2" w:rsidRPr="00170F6A">
        <w:rPr>
          <w:rFonts w:cs="Times New Roman"/>
        </w:rPr>
        <w:t>g</w:t>
      </w:r>
      <w:r w:rsidR="00FB4D01">
        <w:rPr>
          <w:rFonts w:cs="Times New Roman"/>
        </w:rPr>
        <w:t>.</w:t>
      </w:r>
    </w:p>
    <w:p w14:paraId="645ABE04" w14:textId="77777777" w:rsidR="00406EDA" w:rsidRPr="00170F6A" w:rsidRDefault="00406EDA" w:rsidP="00AF53F3">
      <w:pPr>
        <w:pStyle w:val="ListParagraph"/>
        <w:rPr>
          <w:rFonts w:cs="Times New Roman"/>
        </w:rPr>
      </w:pPr>
    </w:p>
    <w:p w14:paraId="3128D9B4" w14:textId="583E230D" w:rsidR="008A5F15" w:rsidRPr="00170F6A" w:rsidRDefault="00406EDA" w:rsidP="00B410E7">
      <w:pPr>
        <w:rPr>
          <w:rFonts w:cs="Times New Roman"/>
        </w:rPr>
      </w:pPr>
      <w:r w:rsidRPr="00170F6A">
        <w:rPr>
          <w:rFonts w:cs="Times New Roman"/>
        </w:rPr>
        <w:t>Determine schoo</w:t>
      </w:r>
      <w:r w:rsidR="00D412EB" w:rsidRPr="00170F6A">
        <w:rPr>
          <w:rFonts w:cs="Times New Roman"/>
        </w:rPr>
        <w:t xml:space="preserve">l </w:t>
      </w:r>
      <w:r w:rsidR="00340915" w:rsidRPr="00170F6A">
        <w:rPr>
          <w:rFonts w:cs="Times New Roman"/>
        </w:rPr>
        <w:t>type</w:t>
      </w:r>
      <w:r w:rsidR="000A1CE4" w:rsidRPr="00170F6A">
        <w:rPr>
          <w:rFonts w:cs="Times New Roman"/>
        </w:rPr>
        <w:t xml:space="preserve">, </w:t>
      </w:r>
      <w:r w:rsidR="00D412EB" w:rsidRPr="00170F6A">
        <w:rPr>
          <w:rFonts w:cs="Times New Roman"/>
        </w:rPr>
        <w:t xml:space="preserve">school </w:t>
      </w:r>
      <w:r w:rsidR="007B09AA" w:rsidRPr="00170F6A">
        <w:rPr>
          <w:rFonts w:cs="Times New Roman"/>
        </w:rPr>
        <w:t xml:space="preserve">size, and staff </w:t>
      </w:r>
      <w:r w:rsidR="000A1CE4" w:rsidRPr="00170F6A">
        <w:rPr>
          <w:rFonts w:cs="Times New Roman"/>
        </w:rPr>
        <w:t>typ</w:t>
      </w:r>
      <w:r w:rsidR="007B09AA" w:rsidRPr="00170F6A">
        <w:rPr>
          <w:rFonts w:cs="Times New Roman"/>
        </w:rPr>
        <w:t>es</w:t>
      </w:r>
      <w:r w:rsidR="003B3239" w:rsidRPr="00170F6A">
        <w:rPr>
          <w:rFonts w:cs="Times New Roman"/>
        </w:rPr>
        <w:t xml:space="preserve"> for comparability</w:t>
      </w:r>
      <w:r w:rsidR="007B09AA" w:rsidRPr="00170F6A">
        <w:rPr>
          <w:rFonts w:cs="Times New Roman"/>
        </w:rPr>
        <w:t>. I</w:t>
      </w:r>
      <w:r w:rsidR="000A1CE4" w:rsidRPr="00170F6A">
        <w:rPr>
          <w:rFonts w:cs="Times New Roman"/>
        </w:rPr>
        <w:t>dentify status of schools as</w:t>
      </w:r>
      <w:r w:rsidR="000B65C8" w:rsidRPr="00170F6A">
        <w:rPr>
          <w:rFonts w:cs="Times New Roman"/>
        </w:rPr>
        <w:t xml:space="preserve"> </w:t>
      </w:r>
      <w:r w:rsidRPr="00170F6A">
        <w:rPr>
          <w:rFonts w:cs="Times New Roman"/>
        </w:rPr>
        <w:t xml:space="preserve">Title </w:t>
      </w:r>
      <w:r w:rsidR="00247F7A" w:rsidRPr="00170F6A">
        <w:rPr>
          <w:rFonts w:cs="Times New Roman"/>
        </w:rPr>
        <w:t>I</w:t>
      </w:r>
      <w:r w:rsidRPr="00170F6A">
        <w:rPr>
          <w:rFonts w:cs="Times New Roman"/>
        </w:rPr>
        <w:t xml:space="preserve"> </w:t>
      </w:r>
      <w:r w:rsidR="000A1CE4" w:rsidRPr="00170F6A">
        <w:rPr>
          <w:rFonts w:cs="Times New Roman"/>
        </w:rPr>
        <w:t>or</w:t>
      </w:r>
      <w:r w:rsidRPr="00170F6A">
        <w:rPr>
          <w:rFonts w:cs="Times New Roman"/>
        </w:rPr>
        <w:t xml:space="preserve"> non-Title </w:t>
      </w:r>
      <w:r w:rsidR="00247F7A" w:rsidRPr="00170F6A">
        <w:rPr>
          <w:rFonts w:cs="Times New Roman"/>
        </w:rPr>
        <w:t>I</w:t>
      </w:r>
      <w:r w:rsidRPr="00170F6A">
        <w:rPr>
          <w:rFonts w:cs="Times New Roman"/>
        </w:rPr>
        <w:t xml:space="preserve"> schoo</w:t>
      </w:r>
      <w:r w:rsidR="00D412EB" w:rsidRPr="00170F6A">
        <w:rPr>
          <w:rFonts w:cs="Times New Roman"/>
        </w:rPr>
        <w:t>ls.</w:t>
      </w:r>
    </w:p>
    <w:p w14:paraId="07348E9C" w14:textId="77777777" w:rsidR="008A5F15" w:rsidRPr="00170F6A" w:rsidRDefault="008A5F15" w:rsidP="00AF53F3">
      <w:pPr>
        <w:pStyle w:val="ListParagraph"/>
        <w:rPr>
          <w:rFonts w:cs="Times New Roman"/>
        </w:rPr>
      </w:pPr>
    </w:p>
    <w:p w14:paraId="48748907" w14:textId="67526103" w:rsidR="00F66914" w:rsidRPr="003E5C8D" w:rsidRDefault="007E0A66" w:rsidP="00C46472">
      <w:pPr>
        <w:jc w:val="center"/>
        <w:rPr>
          <w:rFonts w:cs="Times New Roman"/>
          <w:b/>
          <w:bCs/>
          <w:i/>
          <w:iCs/>
        </w:rPr>
      </w:pPr>
      <w:r w:rsidRPr="00C46472">
        <w:rPr>
          <w:rFonts w:cs="Times New Roman"/>
          <w:b/>
          <w:bCs/>
          <w:i/>
          <w:iCs/>
          <w:highlight w:val="yellow"/>
        </w:rPr>
        <w:t xml:space="preserve">Note: </w:t>
      </w:r>
      <w:r w:rsidR="00871884" w:rsidRPr="00C46472">
        <w:rPr>
          <w:rFonts w:cs="Times New Roman"/>
          <w:b/>
          <w:bCs/>
          <w:i/>
          <w:iCs/>
          <w:highlight w:val="yellow"/>
        </w:rPr>
        <w:t xml:space="preserve">Planning documents </w:t>
      </w:r>
      <w:r w:rsidR="00C46472">
        <w:rPr>
          <w:rFonts w:cs="Times New Roman"/>
          <w:b/>
          <w:bCs/>
          <w:i/>
          <w:iCs/>
          <w:highlight w:val="yellow"/>
        </w:rPr>
        <w:t>should</w:t>
      </w:r>
      <w:r w:rsidR="00871884" w:rsidRPr="00C46472">
        <w:rPr>
          <w:rFonts w:cs="Times New Roman"/>
          <w:b/>
          <w:bCs/>
          <w:i/>
          <w:iCs/>
          <w:highlight w:val="yellow"/>
        </w:rPr>
        <w:t xml:space="preserve"> be kept </w:t>
      </w:r>
      <w:r w:rsidR="00C46472">
        <w:rPr>
          <w:rFonts w:cs="Times New Roman"/>
          <w:b/>
          <w:bCs/>
          <w:i/>
          <w:iCs/>
          <w:highlight w:val="yellow"/>
        </w:rPr>
        <w:t>at</w:t>
      </w:r>
      <w:r w:rsidR="00871884" w:rsidRPr="00C46472">
        <w:rPr>
          <w:rFonts w:cs="Times New Roman"/>
          <w:b/>
          <w:bCs/>
          <w:i/>
          <w:iCs/>
          <w:highlight w:val="yellow"/>
        </w:rPr>
        <w:t xml:space="preserve"> the PSU</w:t>
      </w:r>
      <w:r w:rsidR="00C46472">
        <w:rPr>
          <w:rFonts w:cs="Times New Roman"/>
          <w:b/>
          <w:bCs/>
          <w:i/>
          <w:iCs/>
          <w:highlight w:val="yellow"/>
        </w:rPr>
        <w:t xml:space="preserve"> level/site</w:t>
      </w:r>
      <w:r w:rsidR="001C7174" w:rsidRPr="00C46472">
        <w:rPr>
          <w:rFonts w:cs="Times New Roman"/>
          <w:b/>
          <w:bCs/>
          <w:i/>
          <w:iCs/>
          <w:highlight w:val="yellow"/>
        </w:rPr>
        <w:t xml:space="preserve"> and </w:t>
      </w:r>
      <w:r w:rsidR="00C46472">
        <w:rPr>
          <w:rFonts w:cs="Times New Roman"/>
          <w:b/>
          <w:bCs/>
          <w:i/>
          <w:iCs/>
          <w:highlight w:val="yellow"/>
        </w:rPr>
        <w:t xml:space="preserve">made </w:t>
      </w:r>
      <w:r w:rsidR="001C7174" w:rsidRPr="00C46472">
        <w:rPr>
          <w:rFonts w:cs="Times New Roman"/>
          <w:b/>
          <w:bCs/>
          <w:i/>
          <w:iCs/>
          <w:highlight w:val="yellow"/>
        </w:rPr>
        <w:t xml:space="preserve">available upon request </w:t>
      </w:r>
      <w:r w:rsidR="00C46472">
        <w:rPr>
          <w:rFonts w:cs="Times New Roman"/>
          <w:b/>
          <w:bCs/>
          <w:i/>
          <w:iCs/>
          <w:highlight w:val="yellow"/>
        </w:rPr>
        <w:t xml:space="preserve">by the Office of Federal Programs </w:t>
      </w:r>
      <w:r w:rsidR="001C7174" w:rsidRPr="00C46472">
        <w:rPr>
          <w:rFonts w:cs="Times New Roman"/>
          <w:b/>
          <w:bCs/>
          <w:i/>
          <w:iCs/>
          <w:highlight w:val="yellow"/>
        </w:rPr>
        <w:t>for</w:t>
      </w:r>
      <w:r w:rsidR="00871884" w:rsidRPr="00C46472">
        <w:rPr>
          <w:rFonts w:cs="Times New Roman"/>
          <w:b/>
          <w:bCs/>
          <w:i/>
          <w:iCs/>
          <w:highlight w:val="yellow"/>
        </w:rPr>
        <w:t xml:space="preserve"> monitoring purpo</w:t>
      </w:r>
      <w:r w:rsidR="00D428B6" w:rsidRPr="00C46472">
        <w:rPr>
          <w:rFonts w:cs="Times New Roman"/>
          <w:b/>
          <w:bCs/>
          <w:i/>
          <w:iCs/>
          <w:highlight w:val="yellow"/>
        </w:rPr>
        <w:t>ses</w:t>
      </w:r>
      <w:r w:rsidR="00C46472">
        <w:rPr>
          <w:rFonts w:cs="Times New Roman"/>
          <w:b/>
          <w:bCs/>
          <w:i/>
          <w:iCs/>
          <w:highlight w:val="yellow"/>
        </w:rPr>
        <w:t>. In addition, the Comparability process</w:t>
      </w:r>
      <w:r w:rsidR="00F97DDE" w:rsidRPr="00C46472">
        <w:rPr>
          <w:rFonts w:cs="Times New Roman"/>
          <w:b/>
          <w:bCs/>
          <w:i/>
          <w:iCs/>
          <w:highlight w:val="yellow"/>
        </w:rPr>
        <w:t xml:space="preserve"> </w:t>
      </w:r>
      <w:r w:rsidR="00C46472">
        <w:rPr>
          <w:rFonts w:cs="Times New Roman"/>
          <w:b/>
          <w:bCs/>
          <w:i/>
          <w:iCs/>
          <w:highlight w:val="yellow"/>
        </w:rPr>
        <w:t>is required to</w:t>
      </w:r>
      <w:r w:rsidR="00F97DDE" w:rsidRPr="00C46472">
        <w:rPr>
          <w:rFonts w:cs="Times New Roman"/>
          <w:b/>
          <w:bCs/>
          <w:i/>
          <w:iCs/>
          <w:highlight w:val="yellow"/>
        </w:rPr>
        <w:t xml:space="preserve"> be updated annually.</w:t>
      </w:r>
    </w:p>
    <w:p w14:paraId="2E71D9CA" w14:textId="77777777" w:rsidR="003920BD" w:rsidRPr="00170F6A" w:rsidRDefault="003920BD" w:rsidP="00AF53F3">
      <w:pPr>
        <w:rPr>
          <w:rFonts w:cs="Times New Roman"/>
          <w:i/>
          <w:iCs/>
        </w:rPr>
      </w:pPr>
    </w:p>
    <w:p w14:paraId="1A75D4B7" w14:textId="77777777" w:rsidR="003920BD" w:rsidRPr="00445A8B" w:rsidRDefault="003920BD" w:rsidP="003920BD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lastRenderedPageBreak/>
        <w:t>Reporting Exclusions</w:t>
      </w:r>
    </w:p>
    <w:p w14:paraId="356E3FC1" w14:textId="77777777" w:rsidR="003920BD" w:rsidRPr="00170F6A" w:rsidRDefault="003920BD" w:rsidP="003920BD">
      <w:pPr>
        <w:rPr>
          <w:rFonts w:cs="Arial"/>
          <w:b/>
          <w:bCs/>
        </w:rPr>
      </w:pPr>
    </w:p>
    <w:p w14:paraId="6190AFB2" w14:textId="57EA339F" w:rsidR="003920BD" w:rsidRPr="00170F6A" w:rsidRDefault="0032494F" w:rsidP="003920BD">
      <w:pPr>
        <w:rPr>
          <w:rFonts w:cs="Arial"/>
        </w:rPr>
      </w:pPr>
      <w:r>
        <w:rPr>
          <w:rFonts w:cs="Arial"/>
        </w:rPr>
        <w:t>PSUs</w:t>
      </w:r>
      <w:r w:rsidR="003920BD" w:rsidRPr="00170F6A">
        <w:rPr>
          <w:rFonts w:cs="Arial"/>
        </w:rPr>
        <w:t xml:space="preserve"> </w:t>
      </w:r>
      <w:r w:rsidR="003920BD" w:rsidRPr="00170F6A">
        <w:rPr>
          <w:rFonts w:cs="Arial"/>
          <w:b/>
          <w:bCs/>
        </w:rPr>
        <w:t xml:space="preserve">must </w:t>
      </w:r>
      <w:r w:rsidR="003920BD" w:rsidRPr="00170F6A">
        <w:rPr>
          <w:rFonts w:cs="Arial"/>
        </w:rPr>
        <w:t>exclude all positions paid with federal funds.</w:t>
      </w:r>
    </w:p>
    <w:p w14:paraId="06B11EAD" w14:textId="77777777" w:rsidR="003920BD" w:rsidRPr="00170F6A" w:rsidRDefault="003920BD" w:rsidP="003920BD">
      <w:pPr>
        <w:rPr>
          <w:rFonts w:cs="Arial"/>
        </w:rPr>
      </w:pPr>
    </w:p>
    <w:p w14:paraId="53F2929C" w14:textId="227D44C0" w:rsidR="003920BD" w:rsidRPr="00170F6A" w:rsidRDefault="0032494F" w:rsidP="003920BD">
      <w:pPr>
        <w:rPr>
          <w:rFonts w:cs="Arial"/>
        </w:rPr>
      </w:pPr>
      <w:r>
        <w:rPr>
          <w:rFonts w:cs="Arial"/>
        </w:rPr>
        <w:t xml:space="preserve">PSUs </w:t>
      </w:r>
      <w:r w:rsidR="003920BD" w:rsidRPr="00170F6A">
        <w:rPr>
          <w:rFonts w:cs="Arial"/>
          <w:b/>
          <w:bCs/>
        </w:rPr>
        <w:t>may</w:t>
      </w:r>
      <w:r w:rsidR="003920BD" w:rsidRPr="00170F6A">
        <w:rPr>
          <w:rFonts w:cs="Arial"/>
        </w:rPr>
        <w:t xml:space="preserve"> exclude the following </w:t>
      </w:r>
      <w:r w:rsidR="003B3239" w:rsidRPr="00170F6A">
        <w:rPr>
          <w:rFonts w:cs="Arial"/>
        </w:rPr>
        <w:t>s</w:t>
      </w:r>
      <w:r w:rsidR="003920BD" w:rsidRPr="00170F6A">
        <w:rPr>
          <w:rFonts w:cs="Arial"/>
        </w:rPr>
        <w:t>tate</w:t>
      </w:r>
      <w:r w:rsidR="00AE1DE8">
        <w:rPr>
          <w:rFonts w:cs="Arial"/>
        </w:rPr>
        <w:t xml:space="preserve"> or </w:t>
      </w:r>
      <w:r w:rsidR="003920BD" w:rsidRPr="00170F6A">
        <w:rPr>
          <w:rFonts w:cs="Arial"/>
        </w:rPr>
        <w:t xml:space="preserve">local </w:t>
      </w:r>
      <w:r w:rsidR="003B3239" w:rsidRPr="00170F6A">
        <w:rPr>
          <w:rFonts w:cs="Arial"/>
        </w:rPr>
        <w:t>positions or salaries</w:t>
      </w:r>
      <w:r w:rsidR="003920BD" w:rsidRPr="00170F6A">
        <w:rPr>
          <w:rFonts w:cs="Arial"/>
        </w:rPr>
        <w:t xml:space="preserve"> for the purpose of determining comparability.</w:t>
      </w:r>
    </w:p>
    <w:p w14:paraId="1BEF5A9E" w14:textId="77777777" w:rsidR="003920BD" w:rsidRPr="00170F6A" w:rsidRDefault="003920BD" w:rsidP="003920BD">
      <w:pPr>
        <w:rPr>
          <w:rFonts w:cs="Arial"/>
        </w:rPr>
      </w:pPr>
    </w:p>
    <w:p w14:paraId="4874211C" w14:textId="77777777" w:rsidR="003920BD" w:rsidRPr="00170F6A" w:rsidRDefault="003920BD" w:rsidP="003920BD">
      <w:pPr>
        <w:ind w:firstLine="720"/>
        <w:rPr>
          <w:rFonts w:cs="Arial"/>
        </w:rPr>
      </w:pPr>
      <w:r w:rsidRPr="00170F6A">
        <w:rPr>
          <w:rFonts w:cs="Arial"/>
        </w:rPr>
        <w:t xml:space="preserve">• Language instruction for emergent bilingual students </w:t>
      </w:r>
    </w:p>
    <w:p w14:paraId="2A27147A" w14:textId="77777777" w:rsidR="003920BD" w:rsidRPr="00170F6A" w:rsidRDefault="003920BD" w:rsidP="003920BD">
      <w:pPr>
        <w:rPr>
          <w:rFonts w:cs="Arial"/>
        </w:rPr>
      </w:pPr>
    </w:p>
    <w:p w14:paraId="384955FA" w14:textId="77777777" w:rsidR="003920BD" w:rsidRPr="00170F6A" w:rsidRDefault="003920BD" w:rsidP="003920BD">
      <w:pPr>
        <w:ind w:firstLine="720"/>
        <w:rPr>
          <w:rFonts w:cs="Arial"/>
        </w:rPr>
      </w:pPr>
      <w:r w:rsidRPr="00170F6A">
        <w:rPr>
          <w:rFonts w:cs="Arial"/>
        </w:rPr>
        <w:t xml:space="preserve">• Excess costs of providing services to students experiencing disabilities </w:t>
      </w:r>
    </w:p>
    <w:p w14:paraId="70742080" w14:textId="77777777" w:rsidR="003920BD" w:rsidRPr="00170F6A" w:rsidRDefault="003920BD" w:rsidP="003920BD">
      <w:pPr>
        <w:rPr>
          <w:rFonts w:cs="Arial"/>
        </w:rPr>
      </w:pPr>
    </w:p>
    <w:p w14:paraId="320FAFAF" w14:textId="77777777" w:rsidR="003920BD" w:rsidRPr="00170F6A" w:rsidRDefault="003920BD" w:rsidP="003920BD">
      <w:pPr>
        <w:ind w:firstLine="720"/>
        <w:rPr>
          <w:rFonts w:cs="Arial"/>
        </w:rPr>
      </w:pPr>
      <w:r w:rsidRPr="00170F6A">
        <w:rPr>
          <w:rFonts w:cs="Arial"/>
        </w:rPr>
        <w:t xml:space="preserve">• Staff salary differentials for years of employment </w:t>
      </w:r>
    </w:p>
    <w:p w14:paraId="1ED396AE" w14:textId="77777777" w:rsidR="003920BD" w:rsidRPr="00170F6A" w:rsidRDefault="003920BD" w:rsidP="003920BD">
      <w:pPr>
        <w:rPr>
          <w:rFonts w:cs="Arial"/>
        </w:rPr>
      </w:pPr>
    </w:p>
    <w:p w14:paraId="1C4D13D3" w14:textId="5D56F817" w:rsidR="001C7174" w:rsidRPr="00170F6A" w:rsidRDefault="003920BD" w:rsidP="003920BD">
      <w:pPr>
        <w:ind w:firstLine="720"/>
        <w:rPr>
          <w:rFonts w:cs="Arial"/>
        </w:rPr>
      </w:pPr>
      <w:r w:rsidRPr="00170F6A">
        <w:rPr>
          <w:rFonts w:cs="Arial"/>
        </w:rPr>
        <w:t>• Supplemental programs that meet the intent and purpose of Title I</w:t>
      </w:r>
    </w:p>
    <w:p w14:paraId="0D641E00" w14:textId="77777777" w:rsidR="00A25C8F" w:rsidRPr="00170F6A" w:rsidRDefault="00A25C8F" w:rsidP="003920BD">
      <w:pPr>
        <w:ind w:firstLine="720"/>
        <w:rPr>
          <w:rFonts w:cs="Arial"/>
        </w:rPr>
      </w:pPr>
    </w:p>
    <w:p w14:paraId="1DC1C2B2" w14:textId="77777777" w:rsidR="00A25C8F" w:rsidRPr="00445A8B" w:rsidRDefault="00A25C8F" w:rsidP="00A25C8F">
      <w:pPr>
        <w:rPr>
          <w:rFonts w:cs="Arial"/>
          <w:b/>
          <w:bCs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>Determining Full Time Equivalency (FTE)</w:t>
      </w:r>
    </w:p>
    <w:p w14:paraId="2D56E0BC" w14:textId="77777777" w:rsidR="00A25C8F" w:rsidRPr="00170F6A" w:rsidRDefault="00A25C8F" w:rsidP="00A25C8F">
      <w:pPr>
        <w:rPr>
          <w:rFonts w:cs="Arial"/>
        </w:rPr>
      </w:pPr>
    </w:p>
    <w:p w14:paraId="78F85D5E" w14:textId="6F1969A8" w:rsidR="00A25C8F" w:rsidRPr="00C97CCC" w:rsidRDefault="00A25C8F" w:rsidP="00C97CCC">
      <w:pPr>
        <w:pStyle w:val="ListParagraph"/>
        <w:numPr>
          <w:ilvl w:val="0"/>
          <w:numId w:val="5"/>
        </w:numPr>
        <w:rPr>
          <w:rFonts w:cs="Arial"/>
        </w:rPr>
      </w:pPr>
      <w:r w:rsidRPr="00170F6A">
        <w:rPr>
          <w:rFonts w:cs="Arial"/>
        </w:rPr>
        <w:t xml:space="preserve">FTE Teachers </w:t>
      </w:r>
      <w:r w:rsidR="00C97CCC">
        <w:rPr>
          <w:rFonts w:cs="Arial"/>
        </w:rPr>
        <w:t>–</w:t>
      </w:r>
      <w:r w:rsidRPr="00C97CCC">
        <w:rPr>
          <w:rFonts w:cs="Arial"/>
        </w:rPr>
        <w:t xml:space="preserve"> </w:t>
      </w:r>
      <w:r w:rsidR="00C97CCC">
        <w:rPr>
          <w:rFonts w:cs="Arial"/>
        </w:rPr>
        <w:t>a</w:t>
      </w:r>
      <w:r w:rsidRPr="00C97CCC">
        <w:rPr>
          <w:rFonts w:cs="Arial"/>
        </w:rPr>
        <w:t xml:space="preserve"> PSU </w:t>
      </w:r>
      <w:r w:rsidRPr="00C97CCC">
        <w:rPr>
          <w:rFonts w:cs="Arial"/>
          <w:b/>
          <w:bCs/>
        </w:rPr>
        <w:t xml:space="preserve">will determine </w:t>
      </w:r>
      <w:r w:rsidRPr="00C97CCC">
        <w:rPr>
          <w:rFonts w:cs="Arial"/>
        </w:rPr>
        <w:t xml:space="preserve">FTE positions paid by </w:t>
      </w:r>
      <w:r w:rsidR="009E2862" w:rsidRPr="00C97CCC">
        <w:rPr>
          <w:rFonts w:cs="Arial"/>
        </w:rPr>
        <w:t>s</w:t>
      </w:r>
      <w:r w:rsidRPr="00C97CCC">
        <w:rPr>
          <w:rFonts w:cs="Arial"/>
        </w:rPr>
        <w:t xml:space="preserve">tate and local funds to calculate ratios. </w:t>
      </w:r>
    </w:p>
    <w:p w14:paraId="6B22CD84" w14:textId="77777777" w:rsidR="00A25C8F" w:rsidRPr="00170F6A" w:rsidRDefault="00A25C8F" w:rsidP="00A25C8F">
      <w:pPr>
        <w:rPr>
          <w:rFonts w:cs="Arial"/>
        </w:rPr>
      </w:pPr>
    </w:p>
    <w:p w14:paraId="2BB8B93C" w14:textId="7520B04D" w:rsidR="00BD18DE" w:rsidRPr="00510D2B" w:rsidRDefault="00A25C8F" w:rsidP="00BD18DE">
      <w:pPr>
        <w:pStyle w:val="ListParagraph"/>
        <w:numPr>
          <w:ilvl w:val="0"/>
          <w:numId w:val="5"/>
        </w:numPr>
        <w:rPr>
          <w:rFonts w:cs="Arial"/>
        </w:rPr>
      </w:pPr>
      <w:r w:rsidRPr="00170F6A">
        <w:rPr>
          <w:rFonts w:cs="Arial"/>
        </w:rPr>
        <w:t xml:space="preserve">FTE Staff – </w:t>
      </w:r>
      <w:r w:rsidR="00C97CCC">
        <w:rPr>
          <w:rFonts w:cs="Arial"/>
        </w:rPr>
        <w:t>a</w:t>
      </w:r>
      <w:r w:rsidRPr="00170F6A">
        <w:rPr>
          <w:rFonts w:cs="Arial"/>
        </w:rPr>
        <w:t xml:space="preserve"> PSU </w:t>
      </w:r>
      <w:r w:rsidRPr="00170F6A">
        <w:rPr>
          <w:rFonts w:cs="Arial"/>
          <w:b/>
          <w:bCs/>
        </w:rPr>
        <w:t>may include</w:t>
      </w:r>
      <w:r w:rsidRPr="00170F6A">
        <w:rPr>
          <w:rFonts w:cs="Arial"/>
        </w:rPr>
        <w:t xml:space="preserve"> instructional staff or support staff with North Carolina licensure or certification status. Staff included must provide direct instructional support or direct services that impact </w:t>
      </w:r>
      <w:r w:rsidR="009E2862" w:rsidRPr="00170F6A">
        <w:rPr>
          <w:rFonts w:cs="Arial"/>
        </w:rPr>
        <w:t>student success</w:t>
      </w:r>
      <w:r w:rsidR="00BD18DE" w:rsidRPr="00170F6A">
        <w:rPr>
          <w:rFonts w:cs="Arial"/>
        </w:rPr>
        <w:t>.</w:t>
      </w:r>
      <w:r w:rsidR="003A0F09" w:rsidRPr="00170F6A">
        <w:rPr>
          <w:rFonts w:cs="Arial"/>
        </w:rPr>
        <w:t xml:space="preserve"> Instructional staff can include classroom teachers.</w:t>
      </w:r>
    </w:p>
    <w:p w14:paraId="6BC4D913" w14:textId="77777777" w:rsidR="00BD18DE" w:rsidRPr="00170F6A" w:rsidRDefault="00BD18DE" w:rsidP="00BD18DE">
      <w:pPr>
        <w:rPr>
          <w:rFonts w:cs="Arial"/>
        </w:rPr>
      </w:pPr>
    </w:p>
    <w:p w14:paraId="78A744E4" w14:textId="77777777" w:rsidR="00A25C8F" w:rsidRPr="00170F6A" w:rsidRDefault="00A25C8F" w:rsidP="00A25C8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5C8F" w:rsidRPr="00170F6A" w14:paraId="3A75E85F" w14:textId="77777777" w:rsidTr="009E084A">
        <w:tc>
          <w:tcPr>
            <w:tcW w:w="9350" w:type="dxa"/>
            <w:shd w:val="clear" w:color="auto" w:fill="DAE9F7" w:themeFill="text2" w:themeFillTint="1A"/>
          </w:tcPr>
          <w:p w14:paraId="440AC900" w14:textId="79CC2C86" w:rsidR="00A25C8F" w:rsidRPr="003E5C8D" w:rsidRDefault="00A25C8F" w:rsidP="009E084A">
            <w:pPr>
              <w:rPr>
                <w:rFonts w:cs="Arial"/>
                <w:b/>
                <w:bCs/>
                <w:i/>
                <w:iCs/>
              </w:rPr>
            </w:pPr>
            <w:r w:rsidRPr="003E5C8D">
              <w:rPr>
                <w:rFonts w:cs="Arial"/>
                <w:b/>
                <w:bCs/>
                <w:i/>
                <w:iCs/>
              </w:rPr>
              <w:t>Helpful Tips</w:t>
            </w:r>
          </w:p>
          <w:p w14:paraId="6CCDEDAC" w14:textId="77777777" w:rsidR="00A25C8F" w:rsidRPr="00170F6A" w:rsidRDefault="00A25C8F" w:rsidP="009E084A">
            <w:pPr>
              <w:rPr>
                <w:rFonts w:cs="Arial"/>
                <w:i/>
                <w:iCs/>
              </w:rPr>
            </w:pPr>
          </w:p>
          <w:p w14:paraId="3323D62C" w14:textId="5C2CFEA4" w:rsidR="00A25C8F" w:rsidRPr="00170F6A" w:rsidRDefault="00A25C8F" w:rsidP="003501B1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</w:rPr>
            </w:pPr>
            <w:r w:rsidRPr="00170F6A">
              <w:rPr>
                <w:rFonts w:cs="Arial"/>
              </w:rPr>
              <w:t>Instructional paraprofessionals may be included in comparability calculations</w:t>
            </w:r>
            <w:r w:rsidR="003E5C8D">
              <w:rPr>
                <w:rFonts w:cs="Arial"/>
              </w:rPr>
              <w:t>,</w:t>
            </w:r>
            <w:r w:rsidRPr="00170F6A">
              <w:rPr>
                <w:rFonts w:cs="Arial"/>
              </w:rPr>
              <w:t xml:space="preserve"> if paid with </w:t>
            </w:r>
            <w:r w:rsidR="003A0F09" w:rsidRPr="00170F6A">
              <w:rPr>
                <w:rFonts w:cs="Arial"/>
              </w:rPr>
              <w:t>s</w:t>
            </w:r>
            <w:r w:rsidRPr="00170F6A">
              <w:rPr>
                <w:rFonts w:cs="Arial"/>
              </w:rPr>
              <w:t>tate or local funds</w:t>
            </w:r>
            <w:r w:rsidR="003A7983" w:rsidRPr="00170F6A">
              <w:rPr>
                <w:rFonts w:cs="Arial"/>
              </w:rPr>
              <w:t xml:space="preserve"> by percentage. </w:t>
            </w:r>
          </w:p>
          <w:p w14:paraId="00DC250A" w14:textId="77777777" w:rsidR="00A25C8F" w:rsidRPr="00170F6A" w:rsidRDefault="00A25C8F" w:rsidP="009E084A">
            <w:pPr>
              <w:rPr>
                <w:rFonts w:cs="Arial"/>
                <w:i/>
                <w:iCs/>
              </w:rPr>
            </w:pPr>
          </w:p>
          <w:p w14:paraId="188595F3" w14:textId="77777777" w:rsidR="00A25C8F" w:rsidRPr="00170F6A" w:rsidRDefault="00A25C8F" w:rsidP="003501B1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</w:rPr>
            </w:pPr>
            <w:r w:rsidRPr="00170F6A">
              <w:rPr>
                <w:rFonts w:cs="Arial"/>
              </w:rPr>
              <w:t xml:space="preserve">Non-instructional positions may </w:t>
            </w:r>
            <w:r w:rsidRPr="00170F6A">
              <w:rPr>
                <w:rFonts w:cs="Arial"/>
                <w:b/>
                <w:bCs/>
              </w:rPr>
              <w:t xml:space="preserve">not </w:t>
            </w:r>
            <w:r w:rsidRPr="00170F6A">
              <w:rPr>
                <w:rFonts w:cs="Arial"/>
              </w:rPr>
              <w:t>be included in comparability calculations.</w:t>
            </w:r>
          </w:p>
          <w:p w14:paraId="57D65049" w14:textId="77777777" w:rsidR="00A25C8F" w:rsidRPr="00170F6A" w:rsidRDefault="00A25C8F" w:rsidP="009E084A">
            <w:pPr>
              <w:rPr>
                <w:rFonts w:cs="Arial"/>
                <w:i/>
                <w:iCs/>
              </w:rPr>
            </w:pPr>
          </w:p>
          <w:p w14:paraId="53D2F106" w14:textId="67A2193C" w:rsidR="00A25C8F" w:rsidRPr="00170F6A" w:rsidRDefault="00A25C8F" w:rsidP="003501B1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</w:rPr>
            </w:pPr>
            <w:r w:rsidRPr="00170F6A">
              <w:rPr>
                <w:rFonts w:cs="Arial"/>
              </w:rPr>
              <w:t>Include only</w:t>
            </w:r>
            <w:r w:rsidRPr="00170F6A">
              <w:rPr>
                <w:rFonts w:cs="Arial"/>
                <w:b/>
                <w:bCs/>
              </w:rPr>
              <w:t xml:space="preserve"> </w:t>
            </w:r>
            <w:r w:rsidR="003E5C8D">
              <w:rPr>
                <w:rFonts w:cs="Arial"/>
                <w:b/>
                <w:bCs/>
              </w:rPr>
              <w:t>“</w:t>
            </w:r>
            <w:r w:rsidRPr="00170F6A">
              <w:rPr>
                <w:rFonts w:cs="Arial"/>
                <w:b/>
                <w:bCs/>
              </w:rPr>
              <w:t>like</w:t>
            </w:r>
            <w:r w:rsidR="003E5C8D">
              <w:rPr>
                <w:rFonts w:cs="Arial"/>
                <w:b/>
                <w:bCs/>
              </w:rPr>
              <w:t>”</w:t>
            </w:r>
            <w:r w:rsidRPr="00170F6A">
              <w:rPr>
                <w:rFonts w:cs="Arial"/>
              </w:rPr>
              <w:t xml:space="preserve"> positions for both Title I and non-Title I schools.</w:t>
            </w:r>
          </w:p>
          <w:p w14:paraId="5E7555EF" w14:textId="77777777" w:rsidR="00A25C8F" w:rsidRPr="00170F6A" w:rsidRDefault="00A25C8F" w:rsidP="009E084A">
            <w:pPr>
              <w:pStyle w:val="ListParagraph"/>
              <w:rPr>
                <w:rFonts w:cs="Arial"/>
                <w:i/>
                <w:iCs/>
              </w:rPr>
            </w:pPr>
          </w:p>
          <w:p w14:paraId="566E9B19" w14:textId="77777777" w:rsidR="00A25C8F" w:rsidRPr="00170F6A" w:rsidRDefault="00A25C8F" w:rsidP="003501B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170F6A">
              <w:rPr>
                <w:rFonts w:cs="Arial"/>
              </w:rPr>
              <w:t>Pro-rate itinerant positions included in the instructional staff category.</w:t>
            </w:r>
          </w:p>
          <w:p w14:paraId="6C40EFC9" w14:textId="77777777" w:rsidR="00A25C8F" w:rsidRPr="00170F6A" w:rsidRDefault="00A25C8F" w:rsidP="009E084A">
            <w:pPr>
              <w:pStyle w:val="ListParagraph"/>
              <w:rPr>
                <w:rFonts w:cs="Arial"/>
              </w:rPr>
            </w:pPr>
          </w:p>
          <w:p w14:paraId="123BECD5" w14:textId="0D261278" w:rsidR="00A25C8F" w:rsidRPr="00170F6A" w:rsidRDefault="00A25C8F" w:rsidP="003501B1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170F6A">
              <w:rPr>
                <w:rFonts w:cs="Arial"/>
              </w:rPr>
              <w:t>Substitute</w:t>
            </w:r>
            <w:r w:rsidR="00002D64">
              <w:rPr>
                <w:rFonts w:cs="Arial"/>
              </w:rPr>
              <w:t xml:space="preserve"> teachers</w:t>
            </w:r>
            <w:r w:rsidRPr="00170F6A">
              <w:rPr>
                <w:rFonts w:cs="Arial"/>
              </w:rPr>
              <w:t xml:space="preserve"> cannot be included in comparability reporting.</w:t>
            </w:r>
          </w:p>
          <w:p w14:paraId="1FF94FC4" w14:textId="77777777" w:rsidR="00A25C8F" w:rsidRPr="00170F6A" w:rsidRDefault="00A25C8F" w:rsidP="009E084A">
            <w:pPr>
              <w:ind w:left="360"/>
              <w:rPr>
                <w:rFonts w:cs="Arial"/>
                <w:i/>
                <w:iCs/>
              </w:rPr>
            </w:pPr>
          </w:p>
        </w:tc>
      </w:tr>
    </w:tbl>
    <w:p w14:paraId="6177C608" w14:textId="77777777" w:rsidR="003920BD" w:rsidRPr="00170F6A" w:rsidRDefault="003920BD" w:rsidP="003920BD">
      <w:pPr>
        <w:ind w:firstLine="720"/>
        <w:rPr>
          <w:rFonts w:cs="Arial"/>
        </w:rPr>
      </w:pPr>
    </w:p>
    <w:p w14:paraId="306783DF" w14:textId="77777777" w:rsidR="00002D64" w:rsidRDefault="00002D64" w:rsidP="00AF53F3">
      <w:pPr>
        <w:rPr>
          <w:rFonts w:cs="Times New Roman"/>
          <w:b/>
          <w:bCs/>
          <w:color w:val="0070C0"/>
          <w:sz w:val="28"/>
          <w:szCs w:val="28"/>
        </w:rPr>
      </w:pPr>
    </w:p>
    <w:p w14:paraId="354D379A" w14:textId="77777777" w:rsidR="0062717A" w:rsidRDefault="0062717A" w:rsidP="00AF53F3">
      <w:pPr>
        <w:rPr>
          <w:rFonts w:cs="Times New Roman"/>
          <w:b/>
          <w:bCs/>
          <w:color w:val="0070C0"/>
          <w:sz w:val="28"/>
          <w:szCs w:val="28"/>
        </w:rPr>
      </w:pPr>
    </w:p>
    <w:p w14:paraId="3092D957" w14:textId="77777777" w:rsidR="0062717A" w:rsidRDefault="0062717A" w:rsidP="00AF53F3">
      <w:pPr>
        <w:rPr>
          <w:rFonts w:cs="Times New Roman"/>
          <w:b/>
          <w:bCs/>
          <w:color w:val="0070C0"/>
          <w:sz w:val="28"/>
          <w:szCs w:val="28"/>
        </w:rPr>
      </w:pPr>
    </w:p>
    <w:p w14:paraId="3AEA54E4" w14:textId="6E5AE868" w:rsidR="00284E40" w:rsidRPr="00445A8B" w:rsidRDefault="00561EDA" w:rsidP="00AF53F3">
      <w:pPr>
        <w:rPr>
          <w:rFonts w:cs="Times New Roman"/>
          <w:i/>
          <w:iCs/>
          <w:color w:val="0070C0"/>
          <w:sz w:val="32"/>
          <w:szCs w:val="32"/>
        </w:rPr>
      </w:pPr>
      <w:r w:rsidRPr="00445A8B">
        <w:rPr>
          <w:rFonts w:cs="Times New Roman"/>
          <w:b/>
          <w:bCs/>
          <w:color w:val="0070C0"/>
          <w:sz w:val="32"/>
          <w:szCs w:val="32"/>
        </w:rPr>
        <w:lastRenderedPageBreak/>
        <w:t>Data Collection</w:t>
      </w:r>
    </w:p>
    <w:p w14:paraId="756419AF" w14:textId="77777777" w:rsidR="008069AB" w:rsidRPr="00170F6A" w:rsidRDefault="008069AB" w:rsidP="00AF53F3">
      <w:pPr>
        <w:pStyle w:val="ListParagraph"/>
        <w:rPr>
          <w:rFonts w:cs="Times New Roman"/>
          <w:b/>
          <w:bCs/>
        </w:rPr>
      </w:pPr>
    </w:p>
    <w:p w14:paraId="67272B68" w14:textId="370B98B5" w:rsidR="00782554" w:rsidRPr="00170F6A" w:rsidRDefault="00D348AE" w:rsidP="00AF53F3">
      <w:pPr>
        <w:rPr>
          <w:rFonts w:cs="Times New Roman"/>
        </w:rPr>
      </w:pPr>
      <w:r w:rsidRPr="00170F6A">
        <w:rPr>
          <w:rFonts w:cs="Times New Roman"/>
        </w:rPr>
        <w:t>C</w:t>
      </w:r>
      <w:r w:rsidR="00561EDA" w:rsidRPr="00170F6A">
        <w:rPr>
          <w:rFonts w:cs="Times New Roman"/>
        </w:rPr>
        <w:t xml:space="preserve">omparability reporting must be specific to </w:t>
      </w:r>
      <w:r w:rsidR="00561EDA" w:rsidRPr="00170F6A">
        <w:rPr>
          <w:rFonts w:cs="Times New Roman"/>
          <w:b/>
          <w:bCs/>
        </w:rPr>
        <w:t>one date</w:t>
      </w:r>
      <w:r w:rsidR="00B21E71" w:rsidRPr="00170F6A">
        <w:rPr>
          <w:rFonts w:cs="Times New Roman"/>
        </w:rPr>
        <w:t xml:space="preserve"> </w:t>
      </w:r>
      <w:r w:rsidR="002D67B6" w:rsidRPr="00170F6A">
        <w:rPr>
          <w:rFonts w:cs="Times New Roman"/>
        </w:rPr>
        <w:t xml:space="preserve">for </w:t>
      </w:r>
      <w:r w:rsidR="008C1BD3" w:rsidRPr="00170F6A">
        <w:rPr>
          <w:rFonts w:cs="Times New Roman"/>
        </w:rPr>
        <w:t xml:space="preserve">all </w:t>
      </w:r>
      <w:r w:rsidRPr="00170F6A">
        <w:rPr>
          <w:rFonts w:cs="Times New Roman"/>
        </w:rPr>
        <w:t>data collectio</w:t>
      </w:r>
      <w:r w:rsidR="008C1BD3" w:rsidRPr="00170F6A">
        <w:rPr>
          <w:rFonts w:cs="Times New Roman"/>
        </w:rPr>
        <w:t>n</w:t>
      </w:r>
      <w:r w:rsidR="006F3543" w:rsidRPr="00170F6A">
        <w:rPr>
          <w:rFonts w:cs="Times New Roman"/>
        </w:rPr>
        <w:t>.</w:t>
      </w:r>
    </w:p>
    <w:p w14:paraId="55624BDC" w14:textId="77777777" w:rsidR="009258D2" w:rsidRPr="00170F6A" w:rsidRDefault="009258D2" w:rsidP="00AF53F3">
      <w:pPr>
        <w:rPr>
          <w:rFonts w:cs="Times New Roman"/>
        </w:rPr>
      </w:pPr>
    </w:p>
    <w:p w14:paraId="51F8A83D" w14:textId="2029A6C4" w:rsidR="00791C3B" w:rsidRPr="00170F6A" w:rsidRDefault="000132E4" w:rsidP="003501B1">
      <w:pPr>
        <w:pStyle w:val="ListParagraph"/>
        <w:numPr>
          <w:ilvl w:val="0"/>
          <w:numId w:val="4"/>
        </w:numPr>
        <w:rPr>
          <w:rFonts w:cs="Times New Roman"/>
        </w:rPr>
      </w:pPr>
      <w:r w:rsidRPr="00170F6A">
        <w:rPr>
          <w:rFonts w:cs="Times New Roman"/>
        </w:rPr>
        <w:t xml:space="preserve">The </w:t>
      </w:r>
      <w:r w:rsidR="00004443" w:rsidRPr="00170F6A">
        <w:rPr>
          <w:rFonts w:cs="Times New Roman"/>
        </w:rPr>
        <w:t xml:space="preserve">collection date </w:t>
      </w:r>
      <w:r w:rsidR="00F81A22" w:rsidRPr="00170F6A">
        <w:rPr>
          <w:rFonts w:cs="Times New Roman"/>
        </w:rPr>
        <w:t xml:space="preserve">for reporting </w:t>
      </w:r>
      <w:r w:rsidRPr="00170F6A">
        <w:rPr>
          <w:rFonts w:cs="Times New Roman"/>
        </w:rPr>
        <w:t xml:space="preserve">must fall </w:t>
      </w:r>
      <w:r w:rsidR="00561EDA" w:rsidRPr="00170F6A">
        <w:rPr>
          <w:rFonts w:cs="Times New Roman"/>
        </w:rPr>
        <w:t xml:space="preserve">between </w:t>
      </w:r>
      <w:r w:rsidR="00561EDA" w:rsidRPr="00170F6A">
        <w:rPr>
          <w:rFonts w:cs="Times New Roman"/>
          <w:b/>
          <w:bCs/>
        </w:rPr>
        <w:t xml:space="preserve">October </w:t>
      </w:r>
      <w:r w:rsidR="00B97564" w:rsidRPr="00170F6A">
        <w:rPr>
          <w:rFonts w:cs="Times New Roman"/>
          <w:b/>
          <w:bCs/>
        </w:rPr>
        <w:t>1</w:t>
      </w:r>
      <w:r w:rsidR="005B786E" w:rsidRPr="00170F6A">
        <w:rPr>
          <w:rFonts w:cs="Times New Roman"/>
          <w:b/>
          <w:bCs/>
        </w:rPr>
        <w:t xml:space="preserve"> - </w:t>
      </w:r>
      <w:r w:rsidR="00561EDA" w:rsidRPr="00170F6A">
        <w:rPr>
          <w:rFonts w:cs="Times New Roman"/>
          <w:b/>
          <w:bCs/>
        </w:rPr>
        <w:t>October 31</w:t>
      </w:r>
      <w:r w:rsidR="00561EDA" w:rsidRPr="00170F6A">
        <w:rPr>
          <w:rFonts w:cs="Times New Roman"/>
        </w:rPr>
        <w:t xml:space="preserve">. </w:t>
      </w:r>
      <w:r w:rsidR="009258D2" w:rsidRPr="00170F6A">
        <w:rPr>
          <w:rFonts w:cs="Times New Roman"/>
        </w:rPr>
        <w:t>The dat</w:t>
      </w:r>
      <w:r w:rsidR="00022109">
        <w:rPr>
          <w:rFonts w:cs="Times New Roman"/>
        </w:rPr>
        <w:t>a collection</w:t>
      </w:r>
      <w:r w:rsidR="009258D2" w:rsidRPr="00170F6A">
        <w:rPr>
          <w:rFonts w:cs="Times New Roman"/>
        </w:rPr>
        <w:t xml:space="preserve"> will include student enrollment</w:t>
      </w:r>
      <w:r w:rsidR="00D348AE" w:rsidRPr="00170F6A">
        <w:rPr>
          <w:rFonts w:cs="Times New Roman"/>
        </w:rPr>
        <w:t xml:space="preserve">, instructional staff counts, and staff </w:t>
      </w:r>
      <w:r w:rsidR="000F27A7" w:rsidRPr="00170F6A">
        <w:rPr>
          <w:rFonts w:cs="Times New Roman"/>
        </w:rPr>
        <w:t>salar</w:t>
      </w:r>
      <w:r w:rsidR="006F3543" w:rsidRPr="00170F6A">
        <w:rPr>
          <w:rFonts w:cs="Times New Roman"/>
        </w:rPr>
        <w:t>ies</w:t>
      </w:r>
      <w:r w:rsidR="00D348AE" w:rsidRPr="00170F6A">
        <w:rPr>
          <w:rFonts w:cs="Times New Roman"/>
        </w:rPr>
        <w:t xml:space="preserve"> </w:t>
      </w:r>
      <w:r w:rsidR="0075315C">
        <w:rPr>
          <w:rFonts w:cs="Times New Roman"/>
        </w:rPr>
        <w:t>if an additional</w:t>
      </w:r>
      <w:r w:rsidR="00D348AE" w:rsidRPr="00170F6A">
        <w:rPr>
          <w:rFonts w:cs="Times New Roman"/>
        </w:rPr>
        <w:t xml:space="preserve"> reporting option</w:t>
      </w:r>
      <w:r w:rsidR="0075315C">
        <w:rPr>
          <w:rFonts w:cs="Times New Roman"/>
        </w:rPr>
        <w:t xml:space="preserve"> is required.</w:t>
      </w:r>
    </w:p>
    <w:p w14:paraId="7DFC3FED" w14:textId="77777777" w:rsidR="00791C3B" w:rsidRPr="00170F6A" w:rsidRDefault="00791C3B" w:rsidP="00AF53F3">
      <w:pPr>
        <w:rPr>
          <w:rFonts w:cs="Times New Roman"/>
        </w:rPr>
      </w:pPr>
    </w:p>
    <w:p w14:paraId="57AE27DB" w14:textId="2EBA41AA" w:rsidR="00510D2B" w:rsidRPr="00227836" w:rsidRDefault="00AD2E04" w:rsidP="00227836">
      <w:pPr>
        <w:pStyle w:val="ListParagraph"/>
        <w:numPr>
          <w:ilvl w:val="0"/>
          <w:numId w:val="4"/>
        </w:numPr>
        <w:rPr>
          <w:rFonts w:cs="Times New Roman"/>
        </w:rPr>
      </w:pPr>
      <w:r w:rsidRPr="00170F6A">
        <w:rPr>
          <w:rFonts w:cs="Times New Roman"/>
        </w:rPr>
        <w:t>DP</w:t>
      </w:r>
      <w:r w:rsidR="00FC4F2E" w:rsidRPr="00170F6A">
        <w:rPr>
          <w:rFonts w:cs="Times New Roman"/>
        </w:rPr>
        <w:t>I-OFP</w:t>
      </w:r>
      <w:r w:rsidRPr="00170F6A">
        <w:rPr>
          <w:rFonts w:cs="Times New Roman"/>
        </w:rPr>
        <w:t xml:space="preserve"> has established</w:t>
      </w:r>
      <w:r w:rsidR="00566759" w:rsidRPr="00170F6A">
        <w:rPr>
          <w:rFonts w:cs="Times New Roman"/>
        </w:rPr>
        <w:t xml:space="preserve"> the</w:t>
      </w:r>
      <w:r w:rsidRPr="00170F6A">
        <w:rPr>
          <w:rFonts w:cs="Times New Roman"/>
        </w:rPr>
        <w:t xml:space="preserve"> </w:t>
      </w:r>
      <w:r w:rsidR="00B21E71" w:rsidRPr="00170F6A">
        <w:rPr>
          <w:rFonts w:cs="Times New Roman"/>
        </w:rPr>
        <w:t>c</w:t>
      </w:r>
      <w:r w:rsidRPr="00170F6A">
        <w:rPr>
          <w:rFonts w:cs="Times New Roman"/>
        </w:rPr>
        <w:t>omparability reporting submissi</w:t>
      </w:r>
      <w:r w:rsidR="008279AA" w:rsidRPr="00170F6A">
        <w:rPr>
          <w:rFonts w:cs="Times New Roman"/>
        </w:rPr>
        <w:t>on</w:t>
      </w:r>
      <w:r w:rsidR="003751FA" w:rsidRPr="00170F6A">
        <w:rPr>
          <w:rFonts w:cs="Times New Roman"/>
        </w:rPr>
        <w:t xml:space="preserve"> </w:t>
      </w:r>
      <w:r w:rsidR="00566759" w:rsidRPr="00170F6A">
        <w:rPr>
          <w:rFonts w:cs="Times New Roman"/>
        </w:rPr>
        <w:t>dates of</w:t>
      </w:r>
      <w:r w:rsidR="00566759" w:rsidRPr="00227836">
        <w:rPr>
          <w:rFonts w:cs="Times New Roman"/>
        </w:rPr>
        <w:t xml:space="preserve"> </w:t>
      </w:r>
      <w:r w:rsidR="003751FA" w:rsidRPr="00227836">
        <w:rPr>
          <w:rFonts w:cs="Times New Roman"/>
          <w:b/>
          <w:bCs/>
        </w:rPr>
        <w:t xml:space="preserve">October </w:t>
      </w:r>
      <w:r w:rsidR="00B97564" w:rsidRPr="00227836">
        <w:rPr>
          <w:rFonts w:cs="Times New Roman"/>
          <w:b/>
          <w:bCs/>
        </w:rPr>
        <w:t xml:space="preserve">1 - </w:t>
      </w:r>
      <w:r w:rsidRPr="00227836">
        <w:rPr>
          <w:rFonts w:cs="Times New Roman"/>
          <w:b/>
          <w:bCs/>
        </w:rPr>
        <w:t>December 1</w:t>
      </w:r>
      <w:r w:rsidRPr="00227836">
        <w:rPr>
          <w:rFonts w:cs="Times New Roman"/>
        </w:rPr>
        <w:t>.</w:t>
      </w:r>
      <w:r w:rsidR="003751FA" w:rsidRPr="00227836">
        <w:rPr>
          <w:rFonts w:cs="Times New Roman"/>
        </w:rPr>
        <w:t xml:space="preserve"> </w:t>
      </w:r>
    </w:p>
    <w:p w14:paraId="15C2812E" w14:textId="77777777" w:rsidR="00964938" w:rsidRPr="00964938" w:rsidRDefault="00964938" w:rsidP="00964938">
      <w:pPr>
        <w:rPr>
          <w:rFonts w:cs="Times New Roman"/>
        </w:rPr>
      </w:pPr>
    </w:p>
    <w:p w14:paraId="11239BA1" w14:textId="77777777" w:rsidR="000C288F" w:rsidRPr="00170F6A" w:rsidRDefault="000C288F" w:rsidP="00AF53F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A0C" w:rsidRPr="00170F6A" w14:paraId="0AA9A543" w14:textId="77777777" w:rsidTr="00A13566">
        <w:tc>
          <w:tcPr>
            <w:tcW w:w="9350" w:type="dxa"/>
            <w:shd w:val="clear" w:color="auto" w:fill="DAE9F7" w:themeFill="text2" w:themeFillTint="1A"/>
          </w:tcPr>
          <w:p w14:paraId="41595744" w14:textId="03F59F87" w:rsidR="00B83AF8" w:rsidRPr="003E5C8D" w:rsidRDefault="007F2218" w:rsidP="00AF53F3">
            <w:pPr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3E5C8D">
              <w:rPr>
                <w:rFonts w:cs="Times New Roman"/>
                <w:b/>
                <w:bCs/>
                <w:i/>
                <w:iCs/>
                <w:color w:val="000000" w:themeColor="text1"/>
              </w:rPr>
              <w:t>Helpful Tip</w:t>
            </w:r>
            <w:r w:rsidR="00CE43D7" w:rsidRPr="003E5C8D">
              <w:rPr>
                <w:rFonts w:cs="Times New Roman"/>
                <w:b/>
                <w:bCs/>
                <w:i/>
                <w:iCs/>
                <w:color w:val="000000" w:themeColor="text1"/>
              </w:rPr>
              <w:t>s</w:t>
            </w:r>
            <w:r w:rsidR="00B83AF8" w:rsidRPr="003E5C8D"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 </w:t>
            </w:r>
          </w:p>
          <w:p w14:paraId="1876C78A" w14:textId="6C5D0389" w:rsidR="00B83AF8" w:rsidRPr="00170F6A" w:rsidRDefault="00B83AF8" w:rsidP="00AF53F3">
            <w:pPr>
              <w:rPr>
                <w:rFonts w:cs="Times New Roman"/>
                <w:i/>
                <w:iCs/>
                <w:color w:val="000000" w:themeColor="text1"/>
              </w:rPr>
            </w:pPr>
          </w:p>
          <w:p w14:paraId="61AB2CDF" w14:textId="1F5222E6" w:rsidR="009258D2" w:rsidRPr="003E5C8D" w:rsidRDefault="00B21EA5" w:rsidP="003E5C8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3E5C8D">
              <w:rPr>
                <w:rFonts w:cs="Times New Roman"/>
                <w:color w:val="000000" w:themeColor="text1"/>
              </w:rPr>
              <w:t>D</w:t>
            </w:r>
            <w:r w:rsidR="009258D2" w:rsidRPr="003E5C8D">
              <w:rPr>
                <w:rFonts w:cs="Times New Roman"/>
                <w:color w:val="000000" w:themeColor="text1"/>
              </w:rPr>
              <w:t>ata collection</w:t>
            </w:r>
            <w:r w:rsidR="00FE2ED8" w:rsidRPr="003E5C8D">
              <w:rPr>
                <w:rFonts w:cs="Times New Roman"/>
                <w:color w:val="000000" w:themeColor="text1"/>
              </w:rPr>
              <w:t xml:space="preserve"> </w:t>
            </w:r>
            <w:r w:rsidR="009258D2" w:rsidRPr="003E5C8D">
              <w:rPr>
                <w:rFonts w:cs="Times New Roman"/>
                <w:color w:val="000000" w:themeColor="text1"/>
              </w:rPr>
              <w:t>updates</w:t>
            </w:r>
            <w:r w:rsidR="00ED581E" w:rsidRPr="003E5C8D">
              <w:rPr>
                <w:rFonts w:cs="Times New Roman"/>
                <w:color w:val="000000" w:themeColor="text1"/>
              </w:rPr>
              <w:t xml:space="preserve"> </w:t>
            </w:r>
            <w:r w:rsidR="00FE2ED8" w:rsidRPr="003E5C8D">
              <w:rPr>
                <w:rFonts w:cs="Times New Roman"/>
                <w:color w:val="000000" w:themeColor="text1"/>
              </w:rPr>
              <w:t xml:space="preserve">are not required </w:t>
            </w:r>
            <w:r w:rsidR="00EE4071" w:rsidRPr="003E5C8D">
              <w:rPr>
                <w:rFonts w:cs="Times New Roman"/>
                <w:color w:val="000000" w:themeColor="text1"/>
              </w:rPr>
              <w:t xml:space="preserve">due to </w:t>
            </w:r>
            <w:r w:rsidRPr="003E5C8D">
              <w:rPr>
                <w:rFonts w:cs="Times New Roman"/>
                <w:color w:val="000000" w:themeColor="text1"/>
              </w:rPr>
              <w:t xml:space="preserve">unpredictable </w:t>
            </w:r>
            <w:r w:rsidR="00EE4071" w:rsidRPr="003E5C8D">
              <w:rPr>
                <w:rFonts w:cs="Times New Roman"/>
                <w:color w:val="000000" w:themeColor="text1"/>
              </w:rPr>
              <w:t>changes</w:t>
            </w:r>
            <w:r w:rsidRPr="003E5C8D">
              <w:rPr>
                <w:rFonts w:cs="Times New Roman"/>
                <w:color w:val="000000" w:themeColor="text1"/>
              </w:rPr>
              <w:t xml:space="preserve"> </w:t>
            </w:r>
            <w:r w:rsidR="009258D2" w:rsidRPr="003E5C8D">
              <w:rPr>
                <w:rFonts w:cs="Times New Roman"/>
                <w:color w:val="000000" w:themeColor="text1"/>
              </w:rPr>
              <w:t>after the initial</w:t>
            </w:r>
            <w:r w:rsidR="00E63B93" w:rsidRPr="003E5C8D">
              <w:rPr>
                <w:rFonts w:cs="Times New Roman"/>
                <w:color w:val="000000" w:themeColor="text1"/>
              </w:rPr>
              <w:t xml:space="preserve"> comparability report</w:t>
            </w:r>
            <w:r w:rsidR="006A75FE" w:rsidRPr="003E5C8D">
              <w:rPr>
                <w:rFonts w:cs="Times New Roman"/>
                <w:color w:val="000000" w:themeColor="text1"/>
              </w:rPr>
              <w:t xml:space="preserve"> has been submitted and approved. </w:t>
            </w:r>
          </w:p>
          <w:p w14:paraId="6B495CC4" w14:textId="77777777" w:rsidR="00CE43D7" w:rsidRPr="00170F6A" w:rsidRDefault="00CE43D7" w:rsidP="00AF53F3">
            <w:pPr>
              <w:rPr>
                <w:rFonts w:cs="Times New Roman"/>
                <w:color w:val="000000" w:themeColor="text1"/>
              </w:rPr>
            </w:pPr>
          </w:p>
          <w:p w14:paraId="47EA6E13" w14:textId="50022951" w:rsidR="00CE43D7" w:rsidRPr="003E5C8D" w:rsidRDefault="00983A52" w:rsidP="003E5C8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3E5C8D">
              <w:rPr>
                <w:rFonts w:cs="Times New Roman"/>
                <w:color w:val="000000" w:themeColor="text1"/>
              </w:rPr>
              <w:t>Early learning programs prior to kindergarten should be exclu</w:t>
            </w:r>
            <w:r w:rsidR="00480054" w:rsidRPr="003E5C8D">
              <w:rPr>
                <w:rFonts w:cs="Times New Roman"/>
                <w:color w:val="000000" w:themeColor="text1"/>
              </w:rPr>
              <w:t xml:space="preserve">ded from enrollment counts. </w:t>
            </w:r>
          </w:p>
          <w:p w14:paraId="27CD321B" w14:textId="77777777" w:rsidR="00480054" w:rsidRPr="00170F6A" w:rsidRDefault="00480054" w:rsidP="00AF53F3">
            <w:pPr>
              <w:rPr>
                <w:rFonts w:cs="Times New Roman"/>
                <w:color w:val="000000" w:themeColor="text1"/>
              </w:rPr>
            </w:pPr>
          </w:p>
          <w:p w14:paraId="78C6E49A" w14:textId="20B58240" w:rsidR="00480054" w:rsidRPr="003E5C8D" w:rsidRDefault="00480054" w:rsidP="003E5C8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3E5C8D">
              <w:rPr>
                <w:rFonts w:cs="Times New Roman"/>
                <w:color w:val="000000" w:themeColor="text1"/>
              </w:rPr>
              <w:t xml:space="preserve">Year 13 or additional years </w:t>
            </w:r>
            <w:r w:rsidR="006562B2" w:rsidRPr="003E5C8D">
              <w:rPr>
                <w:rFonts w:cs="Times New Roman"/>
                <w:color w:val="000000" w:themeColor="text1"/>
              </w:rPr>
              <w:t>beyond grade 12 should be excluded from enrollment counts</w:t>
            </w:r>
            <w:r w:rsidR="003E5C8D">
              <w:rPr>
                <w:rFonts w:cs="Times New Roman"/>
                <w:color w:val="000000" w:themeColor="text1"/>
              </w:rPr>
              <w:t>,</w:t>
            </w:r>
            <w:r w:rsidR="00BD18DE" w:rsidRPr="003E5C8D">
              <w:rPr>
                <w:rFonts w:cs="Times New Roman"/>
                <w:color w:val="000000" w:themeColor="text1"/>
              </w:rPr>
              <w:t xml:space="preserve"> if not supported by Title </w:t>
            </w:r>
            <w:r w:rsidR="0056500C">
              <w:rPr>
                <w:rFonts w:cs="Times New Roman"/>
                <w:color w:val="000000" w:themeColor="text1"/>
              </w:rPr>
              <w:t>I</w:t>
            </w:r>
            <w:r w:rsidR="00BD18DE" w:rsidRPr="003E5C8D">
              <w:rPr>
                <w:rFonts w:cs="Times New Roman"/>
                <w:color w:val="000000" w:themeColor="text1"/>
              </w:rPr>
              <w:t xml:space="preserve"> funds</w:t>
            </w:r>
            <w:r w:rsidR="00E22B1E" w:rsidRPr="003E5C8D">
              <w:rPr>
                <w:rFonts w:cs="Times New Roman"/>
                <w:color w:val="000000" w:themeColor="text1"/>
              </w:rPr>
              <w:t xml:space="preserve">. </w:t>
            </w:r>
          </w:p>
          <w:p w14:paraId="014EFE11" w14:textId="77777777" w:rsidR="00530D3E" w:rsidRPr="00170F6A" w:rsidRDefault="00530D3E" w:rsidP="00AF53F3">
            <w:pPr>
              <w:rPr>
                <w:rFonts w:cs="Times New Roman"/>
                <w:color w:val="000000" w:themeColor="text1"/>
              </w:rPr>
            </w:pPr>
          </w:p>
          <w:p w14:paraId="0D056FD0" w14:textId="6AD0E3D1" w:rsidR="00530D3E" w:rsidRPr="003E5C8D" w:rsidRDefault="00530D3E" w:rsidP="003E5C8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3E5C8D">
              <w:rPr>
                <w:rFonts w:cs="Times New Roman"/>
                <w:color w:val="000000" w:themeColor="text1"/>
              </w:rPr>
              <w:t xml:space="preserve">Schools within a PSU with less than </w:t>
            </w:r>
            <w:r w:rsidR="003A1D5C" w:rsidRPr="003E5C8D">
              <w:rPr>
                <w:rFonts w:cs="Times New Roman"/>
                <w:color w:val="000000" w:themeColor="text1"/>
              </w:rPr>
              <w:t>one hundred</w:t>
            </w:r>
            <w:r w:rsidRPr="003E5C8D">
              <w:rPr>
                <w:rFonts w:cs="Times New Roman"/>
                <w:color w:val="000000" w:themeColor="text1"/>
              </w:rPr>
              <w:t xml:space="preserve"> students should be excluded.</w:t>
            </w:r>
          </w:p>
          <w:p w14:paraId="2AA6A0DF" w14:textId="77777777" w:rsidR="009E64CD" w:rsidRPr="00170F6A" w:rsidRDefault="009E64CD" w:rsidP="009E64CD">
            <w:pPr>
              <w:rPr>
                <w:rFonts w:cs="Arial"/>
                <w:b/>
                <w:bCs/>
              </w:rPr>
            </w:pPr>
          </w:p>
          <w:p w14:paraId="55765112" w14:textId="4F29D43A" w:rsidR="009E64CD" w:rsidRPr="003E5C8D" w:rsidRDefault="009E64CD" w:rsidP="003E5C8D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3E5C8D">
              <w:rPr>
                <w:rFonts w:cs="Arial"/>
              </w:rPr>
              <w:t xml:space="preserve">More than one </w:t>
            </w:r>
            <w:r w:rsidR="004F3E5E" w:rsidRPr="003E5C8D">
              <w:rPr>
                <w:rFonts w:cs="Arial"/>
              </w:rPr>
              <w:t>report</w:t>
            </w:r>
            <w:r w:rsidRPr="003E5C8D">
              <w:rPr>
                <w:rFonts w:cs="Arial"/>
              </w:rPr>
              <w:t xml:space="preserve"> may be necessary</w:t>
            </w:r>
            <w:r w:rsidR="006A6C83" w:rsidRPr="003E5C8D">
              <w:rPr>
                <w:rFonts w:cs="Arial"/>
              </w:rPr>
              <w:t xml:space="preserve"> for school type</w:t>
            </w:r>
            <w:r w:rsidR="0075315C" w:rsidRPr="003E5C8D">
              <w:rPr>
                <w:rFonts w:cs="Arial"/>
              </w:rPr>
              <w:t xml:space="preserve"> reporting</w:t>
            </w:r>
            <w:r w:rsidR="006A6C83" w:rsidRPr="003E5C8D">
              <w:rPr>
                <w:rFonts w:cs="Arial"/>
              </w:rPr>
              <w:t xml:space="preserve"> (elementary, middle, high)</w:t>
            </w:r>
            <w:r w:rsidR="00885483" w:rsidRPr="003E5C8D">
              <w:rPr>
                <w:rFonts w:cs="Arial"/>
              </w:rPr>
              <w:t>.</w:t>
            </w:r>
          </w:p>
          <w:p w14:paraId="1C031085" w14:textId="77777777" w:rsidR="009E64CD" w:rsidRPr="00170F6A" w:rsidRDefault="009E64CD" w:rsidP="00AF53F3">
            <w:pPr>
              <w:rPr>
                <w:rFonts w:cs="Times New Roman"/>
                <w:color w:val="000000" w:themeColor="text1"/>
              </w:rPr>
            </w:pPr>
          </w:p>
          <w:p w14:paraId="77F84630" w14:textId="5D22AD7B" w:rsidR="007F2218" w:rsidRPr="00170F6A" w:rsidRDefault="007F2218" w:rsidP="00AF53F3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0EF196C3" w14:textId="60844DAE" w:rsidR="004A1006" w:rsidRPr="00170F6A" w:rsidRDefault="00AD2E04" w:rsidP="00AF53F3">
      <w:pPr>
        <w:rPr>
          <w:rFonts w:cs="Times New Roman"/>
          <w:color w:val="000000" w:themeColor="text1"/>
        </w:rPr>
      </w:pPr>
      <w:r w:rsidRPr="00170F6A">
        <w:rPr>
          <w:rFonts w:cs="Times New Roman"/>
          <w:color w:val="000000" w:themeColor="text1"/>
        </w:rPr>
        <w:t xml:space="preserve"> </w:t>
      </w:r>
    </w:p>
    <w:p w14:paraId="213ABAC9" w14:textId="77777777" w:rsidR="0009437A" w:rsidRPr="00170F6A" w:rsidRDefault="0009437A" w:rsidP="00AF53F3">
      <w:pPr>
        <w:rPr>
          <w:rFonts w:cs="Arial"/>
          <w:b/>
          <w:bCs/>
          <w:color w:val="215E99" w:themeColor="text2" w:themeTint="BF"/>
        </w:rPr>
      </w:pPr>
    </w:p>
    <w:p w14:paraId="713F50BC" w14:textId="5A5F9DEF" w:rsidR="000F3014" w:rsidRPr="00445A8B" w:rsidRDefault="00E92047" w:rsidP="00AF53F3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>Comparability Method</w:t>
      </w:r>
      <w:r w:rsidR="00B21E71" w:rsidRPr="00445A8B">
        <w:rPr>
          <w:rFonts w:cs="Arial"/>
          <w:b/>
          <w:bCs/>
          <w:color w:val="215E99" w:themeColor="text2" w:themeTint="BF"/>
          <w:sz w:val="32"/>
          <w:szCs w:val="32"/>
        </w:rPr>
        <w:t>olog</w:t>
      </w:r>
      <w:r w:rsidR="00D423D1" w:rsidRPr="00445A8B">
        <w:rPr>
          <w:rFonts w:cs="Arial"/>
          <w:b/>
          <w:bCs/>
          <w:color w:val="215E99" w:themeColor="text2" w:themeTint="BF"/>
          <w:sz w:val="32"/>
          <w:szCs w:val="32"/>
        </w:rPr>
        <w:t>y</w:t>
      </w:r>
    </w:p>
    <w:p w14:paraId="1980D863" w14:textId="77777777" w:rsidR="008F74DD" w:rsidRPr="00170F6A" w:rsidRDefault="008F74DD" w:rsidP="00AF53F3">
      <w:pPr>
        <w:rPr>
          <w:rFonts w:cs="Arial"/>
          <w:b/>
          <w:bCs/>
        </w:rPr>
      </w:pPr>
    </w:p>
    <w:p w14:paraId="7B7D2784" w14:textId="340DD21A" w:rsidR="00D226AC" w:rsidRPr="00170F6A" w:rsidRDefault="00D423D1" w:rsidP="00541775">
      <w:pPr>
        <w:rPr>
          <w:rFonts w:cs="Arial"/>
        </w:rPr>
      </w:pPr>
      <w:r w:rsidRPr="00170F6A">
        <w:rPr>
          <w:rFonts w:cs="Arial"/>
        </w:rPr>
        <w:t>There are two ways to demonstrate comparabilit</w:t>
      </w:r>
      <w:r w:rsidR="00772138" w:rsidRPr="00170F6A">
        <w:rPr>
          <w:rFonts w:cs="Arial"/>
        </w:rPr>
        <w:t>y</w:t>
      </w:r>
      <w:r w:rsidR="00D710F4">
        <w:rPr>
          <w:rFonts w:cs="Arial"/>
        </w:rPr>
        <w:t>:</w:t>
      </w:r>
    </w:p>
    <w:p w14:paraId="18E6849A" w14:textId="77777777" w:rsidR="00002DA4" w:rsidRPr="00170F6A" w:rsidRDefault="00002DA4" w:rsidP="00AF53F3">
      <w:pPr>
        <w:pStyle w:val="ListParagraph"/>
        <w:rPr>
          <w:rFonts w:cs="Arial"/>
        </w:rPr>
      </w:pPr>
    </w:p>
    <w:p w14:paraId="76C464CA" w14:textId="443A55BB" w:rsidR="00541775" w:rsidRPr="0062717A" w:rsidRDefault="00BD18DE" w:rsidP="00EF5C3F">
      <w:pPr>
        <w:pStyle w:val="ListParagraph"/>
        <w:numPr>
          <w:ilvl w:val="0"/>
          <w:numId w:val="21"/>
        </w:numPr>
        <w:rPr>
          <w:rFonts w:cs="Arial"/>
          <w:b/>
          <w:bCs/>
        </w:rPr>
      </w:pPr>
      <w:r w:rsidRPr="0062717A">
        <w:rPr>
          <w:rFonts w:cs="Arial"/>
          <w:b/>
          <w:bCs/>
        </w:rPr>
        <w:t>Student-</w:t>
      </w:r>
      <w:r w:rsidR="006B28A4" w:rsidRPr="0062717A">
        <w:rPr>
          <w:rFonts w:cs="Arial"/>
          <w:b/>
          <w:bCs/>
        </w:rPr>
        <w:t xml:space="preserve">to-Staff Ratio </w:t>
      </w:r>
    </w:p>
    <w:p w14:paraId="15883749" w14:textId="693F80BA" w:rsidR="0062717A" w:rsidRPr="0062717A" w:rsidRDefault="00227836" w:rsidP="0062717A">
      <w:pPr>
        <w:pStyle w:val="ListParagraph"/>
        <w:numPr>
          <w:ilvl w:val="0"/>
          <w:numId w:val="21"/>
        </w:numPr>
        <w:rPr>
          <w:rFonts w:cs="Arial"/>
          <w:b/>
          <w:bCs/>
        </w:rPr>
      </w:pPr>
      <w:r w:rsidRPr="0062717A">
        <w:rPr>
          <w:rFonts w:cs="Arial"/>
          <w:b/>
          <w:bCs/>
        </w:rPr>
        <w:t>Salary-to-Student</w:t>
      </w:r>
      <w:r w:rsidR="009C7C11" w:rsidRPr="0062717A">
        <w:rPr>
          <w:rFonts w:cs="Arial"/>
          <w:b/>
          <w:bCs/>
        </w:rPr>
        <w:t xml:space="preserve"> Rati</w:t>
      </w:r>
      <w:r w:rsidR="007E4BC4" w:rsidRPr="0062717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EAF393" wp14:editId="6BBDFBD2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5810885" cy="1226185"/>
                <wp:effectExtent l="0" t="0" r="1841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885" cy="12263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7EF5" w14:textId="44B73243" w:rsidR="007E4BC4" w:rsidRPr="003E5C8D" w:rsidRDefault="007E4BC4" w:rsidP="007E4BC4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E5C8D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Helpful Tips</w:t>
                            </w:r>
                          </w:p>
                          <w:p w14:paraId="66C5FCD7" w14:textId="77777777" w:rsidR="0045619D" w:rsidRDefault="0045619D" w:rsidP="007E4BC4">
                            <w:pPr>
                              <w:rPr>
                                <w:rFonts w:cs="Arial"/>
                                <w:i/>
                                <w:iCs/>
                              </w:rPr>
                            </w:pPr>
                          </w:p>
                          <w:p w14:paraId="5C95CA64" w14:textId="12EA3F4F" w:rsidR="007E4BC4" w:rsidRPr="0045619D" w:rsidRDefault="007E4BC4" w:rsidP="007E4BC4">
                            <w:pPr>
                              <w:rPr>
                                <w:rFonts w:cs="Arial"/>
                              </w:rPr>
                            </w:pPr>
                            <w:r w:rsidRPr="0045619D">
                              <w:rPr>
                                <w:rFonts w:cs="Arial"/>
                              </w:rPr>
                              <w:t xml:space="preserve">Begin with the </w:t>
                            </w:r>
                            <w:r w:rsidR="00760D14">
                              <w:rPr>
                                <w:rFonts w:cs="Arial"/>
                              </w:rPr>
                              <w:t>Student-to-</w:t>
                            </w:r>
                            <w:r w:rsidR="00FD65CC">
                              <w:rPr>
                                <w:rFonts w:cs="Arial"/>
                              </w:rPr>
                              <w:t>S</w:t>
                            </w:r>
                            <w:r w:rsidR="00BD18DE" w:rsidRPr="0045619D">
                              <w:rPr>
                                <w:rFonts w:cs="Arial"/>
                              </w:rPr>
                              <w:t>taff</w:t>
                            </w:r>
                            <w:r w:rsidRPr="0045619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D18DE" w:rsidRPr="0045619D">
                              <w:rPr>
                                <w:rFonts w:cs="Arial"/>
                              </w:rPr>
                              <w:t>ratio</w:t>
                            </w:r>
                            <w:r w:rsidRPr="0045619D">
                              <w:rPr>
                                <w:rFonts w:cs="Arial"/>
                              </w:rPr>
                              <w:t xml:space="preserve"> for reporting. </w:t>
                            </w:r>
                          </w:p>
                          <w:p w14:paraId="7982334B" w14:textId="77777777" w:rsidR="007E4BC4" w:rsidRPr="0045619D" w:rsidRDefault="007E4BC4" w:rsidP="007E4BC4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2F6C3B4" w14:textId="31AA40EA" w:rsidR="007E4BC4" w:rsidRPr="0045619D" w:rsidRDefault="007E4BC4" w:rsidP="007E4BC4">
                            <w:pPr>
                              <w:rPr>
                                <w:rFonts w:cs="Arial"/>
                              </w:rPr>
                            </w:pPr>
                            <w:r w:rsidRPr="0045619D">
                              <w:rPr>
                                <w:rFonts w:cs="Arial"/>
                              </w:rPr>
                              <w:t>The</w:t>
                            </w:r>
                            <w:r w:rsidR="00BD18DE" w:rsidRPr="0045619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D65CC">
                              <w:rPr>
                                <w:rFonts w:cs="Arial"/>
                              </w:rPr>
                              <w:t>Salary-to-Student</w:t>
                            </w:r>
                            <w:r w:rsidR="00BD18DE" w:rsidRPr="0045619D">
                              <w:rPr>
                                <w:rFonts w:cs="Arial"/>
                              </w:rPr>
                              <w:t xml:space="preserve"> ratio</w:t>
                            </w:r>
                            <w:r w:rsidRPr="0045619D">
                              <w:rPr>
                                <w:rFonts w:cs="Arial"/>
                              </w:rPr>
                              <w:t xml:space="preserve"> is the optional method for reporting in the event comparability</w:t>
                            </w:r>
                            <w:r w:rsidR="00B7746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01582">
                              <w:rPr>
                                <w:rFonts w:cs="Arial"/>
                              </w:rPr>
                              <w:t>cannot be met</w:t>
                            </w:r>
                            <w:r w:rsidR="00B7746F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45619D">
                              <w:rPr>
                                <w:rFonts w:cs="Arial"/>
                              </w:rPr>
                              <w:t xml:space="preserve">using the </w:t>
                            </w:r>
                            <w:r w:rsidR="00FD65CC">
                              <w:rPr>
                                <w:rFonts w:cs="Arial"/>
                              </w:rPr>
                              <w:t>Student-</w:t>
                            </w:r>
                            <w:r w:rsidRPr="0045619D">
                              <w:rPr>
                                <w:rFonts w:cs="Arial"/>
                              </w:rPr>
                              <w:t>t</w:t>
                            </w:r>
                            <w:r w:rsidR="00FD65CC">
                              <w:rPr>
                                <w:rFonts w:cs="Arial"/>
                              </w:rPr>
                              <w:t>o-S</w:t>
                            </w:r>
                            <w:r w:rsidRPr="0045619D">
                              <w:rPr>
                                <w:rFonts w:cs="Arial"/>
                              </w:rPr>
                              <w:t>taff ratio.</w:t>
                            </w:r>
                          </w:p>
                          <w:p w14:paraId="2561EE11" w14:textId="40FB74E8" w:rsidR="007E4BC4" w:rsidRDefault="007E4B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EAF393" id="_x0000_s1027" type="#_x0000_t202" style="position:absolute;left:0;text-align:left;margin-left:0;margin-top:23.8pt;width:457.55pt;height:96.5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" fillcolor="#dceaf7 [351]">
                <v:textbox>
                  <w:txbxContent>
                    <w:p w14:paraId="44737EF5" w14:textId="44B73243" w:rsidR="007E4BC4" w:rsidRPr="003E5C8D" w:rsidRDefault="007E4BC4" w:rsidP="007E4BC4">
                      <w:pPr>
                        <w:rPr>
                          <w:rFonts w:cs="Arial"/>
                          <w:b/>
                          <w:bCs/>
                          <w:i/>
                          <w:iCs/>
                        </w:rPr>
                      </w:pPr>
                      <w:r w:rsidRPr="003E5C8D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Helpful Tips</w:t>
                      </w:r>
                    </w:p>
                    <w:p w14:paraId="66C5FCD7" w14:textId="77777777" w:rsidR="0045619D" w:rsidRDefault="0045619D" w:rsidP="007E4BC4">
                      <w:pPr>
                        <w:rPr>
                          <w:rFonts w:cs="Arial"/>
                          <w:i/>
                          <w:iCs/>
                        </w:rPr>
                      </w:pPr>
                    </w:p>
                    <w:p w14:paraId="5C95CA64" w14:textId="12EA3F4F" w:rsidR="007E4BC4" w:rsidRPr="0045619D" w:rsidRDefault="007E4BC4" w:rsidP="007E4BC4">
                      <w:pPr>
                        <w:rPr>
                          <w:rFonts w:cs="Arial"/>
                        </w:rPr>
                      </w:pPr>
                      <w:r w:rsidRPr="0045619D">
                        <w:rPr>
                          <w:rFonts w:cs="Arial"/>
                        </w:rPr>
                        <w:t xml:space="preserve">Begin with the </w:t>
                      </w:r>
                      <w:r w:rsidR="00760D14">
                        <w:rPr>
                          <w:rFonts w:cs="Arial"/>
                        </w:rPr>
                        <w:t>Student-to-</w:t>
                      </w:r>
                      <w:r w:rsidR="00FD65CC">
                        <w:rPr>
                          <w:rFonts w:cs="Arial"/>
                        </w:rPr>
                        <w:t>S</w:t>
                      </w:r>
                      <w:r w:rsidR="00BD18DE" w:rsidRPr="0045619D">
                        <w:rPr>
                          <w:rFonts w:cs="Arial"/>
                        </w:rPr>
                        <w:t>taff</w:t>
                      </w:r>
                      <w:r w:rsidRPr="0045619D">
                        <w:rPr>
                          <w:rFonts w:cs="Arial"/>
                        </w:rPr>
                        <w:t xml:space="preserve"> </w:t>
                      </w:r>
                      <w:r w:rsidR="00BD18DE" w:rsidRPr="0045619D">
                        <w:rPr>
                          <w:rFonts w:cs="Arial"/>
                        </w:rPr>
                        <w:t>ratio</w:t>
                      </w:r>
                      <w:r w:rsidRPr="0045619D">
                        <w:rPr>
                          <w:rFonts w:cs="Arial"/>
                        </w:rPr>
                        <w:t xml:space="preserve"> for reporting. </w:t>
                      </w:r>
                    </w:p>
                    <w:p w14:paraId="7982334B" w14:textId="77777777" w:rsidR="007E4BC4" w:rsidRPr="0045619D" w:rsidRDefault="007E4BC4" w:rsidP="007E4BC4">
                      <w:pPr>
                        <w:rPr>
                          <w:rFonts w:cs="Arial"/>
                        </w:rPr>
                      </w:pPr>
                    </w:p>
                    <w:p w14:paraId="12F6C3B4" w14:textId="31AA40EA" w:rsidR="007E4BC4" w:rsidRPr="0045619D" w:rsidRDefault="007E4BC4" w:rsidP="007E4BC4">
                      <w:pPr>
                        <w:rPr>
                          <w:rFonts w:cs="Arial"/>
                        </w:rPr>
                      </w:pPr>
                      <w:r w:rsidRPr="0045619D">
                        <w:rPr>
                          <w:rFonts w:cs="Arial"/>
                        </w:rPr>
                        <w:t>The</w:t>
                      </w:r>
                      <w:r w:rsidR="00BD18DE" w:rsidRPr="0045619D">
                        <w:rPr>
                          <w:rFonts w:cs="Arial"/>
                        </w:rPr>
                        <w:t xml:space="preserve"> </w:t>
                      </w:r>
                      <w:r w:rsidR="00FD65CC">
                        <w:rPr>
                          <w:rFonts w:cs="Arial"/>
                        </w:rPr>
                        <w:t>Salary-to-Student</w:t>
                      </w:r>
                      <w:r w:rsidR="00BD18DE" w:rsidRPr="0045619D">
                        <w:rPr>
                          <w:rFonts w:cs="Arial"/>
                        </w:rPr>
                        <w:t xml:space="preserve"> ratio</w:t>
                      </w:r>
                      <w:r w:rsidRPr="0045619D">
                        <w:rPr>
                          <w:rFonts w:cs="Arial"/>
                        </w:rPr>
                        <w:t xml:space="preserve"> is the optional method for reporting in the event comparability</w:t>
                      </w:r>
                      <w:r w:rsidR="00B7746F">
                        <w:rPr>
                          <w:rFonts w:cs="Arial"/>
                        </w:rPr>
                        <w:t xml:space="preserve"> </w:t>
                      </w:r>
                      <w:r w:rsidR="00B01582">
                        <w:rPr>
                          <w:rFonts w:cs="Arial"/>
                        </w:rPr>
                        <w:t>cannot be met</w:t>
                      </w:r>
                      <w:r w:rsidR="00B7746F">
                        <w:rPr>
                          <w:rFonts w:cs="Arial"/>
                        </w:rPr>
                        <w:t xml:space="preserve"> </w:t>
                      </w:r>
                      <w:r w:rsidRPr="0045619D">
                        <w:rPr>
                          <w:rFonts w:cs="Arial"/>
                        </w:rPr>
                        <w:t xml:space="preserve">using the </w:t>
                      </w:r>
                      <w:r w:rsidR="00FD65CC">
                        <w:rPr>
                          <w:rFonts w:cs="Arial"/>
                        </w:rPr>
                        <w:t>Student-</w:t>
                      </w:r>
                      <w:r w:rsidRPr="0045619D">
                        <w:rPr>
                          <w:rFonts w:cs="Arial"/>
                        </w:rPr>
                        <w:t>t</w:t>
                      </w:r>
                      <w:r w:rsidR="00FD65CC">
                        <w:rPr>
                          <w:rFonts w:cs="Arial"/>
                        </w:rPr>
                        <w:t>o-S</w:t>
                      </w:r>
                      <w:r w:rsidRPr="0045619D">
                        <w:rPr>
                          <w:rFonts w:cs="Arial"/>
                        </w:rPr>
                        <w:t>taff ratio.</w:t>
                      </w:r>
                    </w:p>
                    <w:p w14:paraId="2561EE11" w14:textId="40FB74E8" w:rsidR="007E4BC4" w:rsidRDefault="007E4BC4"/>
                  </w:txbxContent>
                </v:textbox>
                <w10:wrap type="square" anchorx="margin"/>
              </v:shape>
            </w:pict>
          </mc:Fallback>
        </mc:AlternateContent>
      </w:r>
      <w:r w:rsidR="0062717A" w:rsidRPr="0062717A">
        <w:rPr>
          <w:rFonts w:cs="Arial"/>
          <w:b/>
          <w:bCs/>
        </w:rPr>
        <w:t>o</w:t>
      </w:r>
    </w:p>
    <w:p w14:paraId="47F68479" w14:textId="45015EBA" w:rsidR="0060295A" w:rsidRPr="00737779" w:rsidRDefault="0060295A" w:rsidP="0060295A">
      <w:pPr>
        <w:pStyle w:val="ListParagraph"/>
        <w:rPr>
          <w:rFonts w:cs="Arial"/>
          <w:b/>
          <w:bCs/>
          <w:color w:val="215E99" w:themeColor="text2" w:themeTint="BF"/>
        </w:rPr>
      </w:pPr>
    </w:p>
    <w:p w14:paraId="7BB61172" w14:textId="77777777" w:rsidR="0062717A" w:rsidRPr="00445A8B" w:rsidRDefault="00CE466F" w:rsidP="00510D2B">
      <w:pPr>
        <w:rPr>
          <w:rFonts w:cs="Arial"/>
          <w:sz w:val="32"/>
          <w:szCs w:val="32"/>
        </w:rPr>
      </w:pP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Student</w:t>
      </w:r>
      <w:r w:rsidR="00A62815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-</w:t>
      </w: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to</w:t>
      </w:r>
      <w:r w:rsidR="00A62815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-</w:t>
      </w: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 xml:space="preserve">Staff Ratio </w:t>
      </w:r>
    </w:p>
    <w:p w14:paraId="183C4DC6" w14:textId="77777777" w:rsidR="0062717A" w:rsidRDefault="0062717A" w:rsidP="00510D2B">
      <w:pPr>
        <w:rPr>
          <w:rFonts w:cs="Arial"/>
        </w:rPr>
      </w:pPr>
    </w:p>
    <w:p w14:paraId="4C06271B" w14:textId="3AFFDC5B" w:rsidR="00C9367A" w:rsidRPr="004D3A95" w:rsidRDefault="00310DDA" w:rsidP="00510D2B">
      <w:pPr>
        <w:rPr>
          <w:rFonts w:cs="Arial"/>
        </w:rPr>
      </w:pPr>
      <w:r w:rsidRPr="00170F6A">
        <w:rPr>
          <w:rFonts w:cs="Arial"/>
        </w:rPr>
        <w:t xml:space="preserve">The </w:t>
      </w:r>
      <w:r>
        <w:rPr>
          <w:rFonts w:cs="Arial"/>
        </w:rPr>
        <w:t xml:space="preserve">profile </w:t>
      </w:r>
      <w:r w:rsidR="00CE466F" w:rsidRPr="00170F6A">
        <w:rPr>
          <w:rFonts w:cs="Arial"/>
        </w:rPr>
        <w:t>report is completed by comparing</w:t>
      </w:r>
      <w:r w:rsidR="00CE466F">
        <w:rPr>
          <w:rFonts w:cs="Arial"/>
        </w:rPr>
        <w:t xml:space="preserve"> </w:t>
      </w:r>
      <w:r w:rsidR="00CE466F" w:rsidRPr="00170F6A">
        <w:rPr>
          <w:rFonts w:cs="Arial"/>
        </w:rPr>
        <w:t xml:space="preserve">student enrollment to </w:t>
      </w:r>
      <w:r w:rsidR="00CE466F">
        <w:rPr>
          <w:rFonts w:cs="Arial"/>
        </w:rPr>
        <w:t xml:space="preserve">staff </w:t>
      </w:r>
      <w:r w:rsidR="00E27A3E">
        <w:rPr>
          <w:rFonts w:cs="Arial"/>
        </w:rPr>
        <w:t xml:space="preserve">to </w:t>
      </w:r>
      <w:r w:rsidR="00CE466F" w:rsidRPr="00170F6A">
        <w:rPr>
          <w:rFonts w:cs="Arial"/>
        </w:rPr>
        <w:t xml:space="preserve">determine </w:t>
      </w:r>
      <w:r w:rsidR="00891B5F">
        <w:rPr>
          <w:rFonts w:cs="Arial"/>
        </w:rPr>
        <w:t xml:space="preserve">a ratio </w:t>
      </w:r>
      <w:r w:rsidR="00CE466F" w:rsidRPr="00170F6A">
        <w:rPr>
          <w:rFonts w:cs="Arial"/>
        </w:rPr>
        <w:t xml:space="preserve">at each school. A PSU with all Title </w:t>
      </w:r>
      <w:r w:rsidR="0056500C">
        <w:rPr>
          <w:rFonts w:cs="Arial"/>
        </w:rPr>
        <w:t>I</w:t>
      </w:r>
      <w:r w:rsidR="00CE466F" w:rsidRPr="00170F6A">
        <w:rPr>
          <w:rFonts w:cs="Arial"/>
        </w:rPr>
        <w:t xml:space="preserve"> schools will complete </w:t>
      </w:r>
      <w:r w:rsidR="00434710">
        <w:rPr>
          <w:rFonts w:cs="Arial"/>
        </w:rPr>
        <w:t xml:space="preserve">Tab </w:t>
      </w:r>
      <w:r w:rsidR="009D3AC0">
        <w:rPr>
          <w:rFonts w:cs="Arial"/>
        </w:rPr>
        <w:t xml:space="preserve">1 </w:t>
      </w:r>
      <w:r w:rsidR="002416CF">
        <w:rPr>
          <w:rFonts w:cs="Arial"/>
        </w:rPr>
        <w:t xml:space="preserve">only </w:t>
      </w:r>
      <w:r w:rsidR="009D3AC0">
        <w:rPr>
          <w:rFonts w:cs="Arial"/>
        </w:rPr>
        <w:t xml:space="preserve">for all </w:t>
      </w:r>
      <w:r w:rsidR="00CE466F" w:rsidRPr="00170F6A">
        <w:rPr>
          <w:rFonts w:cs="Arial"/>
        </w:rPr>
        <w:t xml:space="preserve">Title </w:t>
      </w:r>
      <w:r w:rsidR="0056500C">
        <w:rPr>
          <w:rFonts w:cs="Arial"/>
        </w:rPr>
        <w:t>I</w:t>
      </w:r>
      <w:r w:rsidR="009D3AC0">
        <w:rPr>
          <w:rFonts w:cs="Arial"/>
        </w:rPr>
        <w:t xml:space="preserve"> schools. </w:t>
      </w:r>
      <w:r w:rsidR="00CE466F" w:rsidRPr="00170F6A">
        <w:rPr>
          <w:rFonts w:cs="Arial"/>
        </w:rPr>
        <w:t xml:space="preserve"> A PSU with Title </w:t>
      </w:r>
      <w:r w:rsidR="0056500C">
        <w:rPr>
          <w:rFonts w:cs="Arial"/>
        </w:rPr>
        <w:t>I</w:t>
      </w:r>
      <w:r w:rsidR="00CE466F" w:rsidRPr="00170F6A">
        <w:rPr>
          <w:rFonts w:cs="Arial"/>
        </w:rPr>
        <w:t xml:space="preserve"> and </w:t>
      </w:r>
      <w:r>
        <w:rPr>
          <w:rFonts w:cs="Arial"/>
        </w:rPr>
        <w:t>n</w:t>
      </w:r>
      <w:r w:rsidR="00CE466F" w:rsidRPr="00170F6A">
        <w:rPr>
          <w:rFonts w:cs="Arial"/>
        </w:rPr>
        <w:t xml:space="preserve">on-Title </w:t>
      </w:r>
      <w:r w:rsidR="0056500C">
        <w:rPr>
          <w:rFonts w:cs="Arial"/>
        </w:rPr>
        <w:t>I</w:t>
      </w:r>
      <w:r w:rsidR="00CE466F" w:rsidRPr="00170F6A">
        <w:rPr>
          <w:rFonts w:cs="Arial"/>
        </w:rPr>
        <w:t xml:space="preserve"> schools will complete</w:t>
      </w:r>
      <w:r w:rsidR="009D3AC0">
        <w:rPr>
          <w:rFonts w:cs="Arial"/>
        </w:rPr>
        <w:t xml:space="preserve"> Tab</w:t>
      </w:r>
      <w:r w:rsidR="0024682A">
        <w:rPr>
          <w:rFonts w:cs="Arial"/>
        </w:rPr>
        <w:t xml:space="preserve"> 1 and </w:t>
      </w:r>
      <w:r>
        <w:rPr>
          <w:rFonts w:cs="Arial"/>
        </w:rPr>
        <w:t xml:space="preserve">Tab </w:t>
      </w:r>
      <w:r w:rsidR="0024682A">
        <w:rPr>
          <w:rFonts w:cs="Arial"/>
        </w:rPr>
        <w:t>2 for</w:t>
      </w:r>
      <w:r w:rsidR="00CE466F" w:rsidRPr="00170F6A">
        <w:rPr>
          <w:rFonts w:cs="Arial"/>
        </w:rPr>
        <w:t xml:space="preserve"> non-Title </w:t>
      </w:r>
      <w:r w:rsidR="002F5561">
        <w:rPr>
          <w:rFonts w:cs="Arial"/>
        </w:rPr>
        <w:t>I</w:t>
      </w:r>
      <w:r w:rsidR="00CE466F" w:rsidRPr="00170F6A">
        <w:rPr>
          <w:rFonts w:cs="Arial"/>
        </w:rPr>
        <w:t xml:space="preserve"> schools generating</w:t>
      </w:r>
      <w:r w:rsidR="00CE466F" w:rsidRPr="0039632B">
        <w:rPr>
          <w:rFonts w:cs="Arial"/>
          <w:b/>
          <w:bCs/>
        </w:rPr>
        <w:t xml:space="preserve"> </w:t>
      </w:r>
      <w:r w:rsidR="00CE466F" w:rsidRPr="0039632B">
        <w:rPr>
          <w:rFonts w:cs="Arial"/>
          <w:b/>
          <w:bCs/>
          <w:u w:val="single"/>
        </w:rPr>
        <w:t>one</w:t>
      </w:r>
      <w:r w:rsidR="00CE466F" w:rsidRPr="00170F6A">
        <w:rPr>
          <w:rFonts w:cs="Arial"/>
        </w:rPr>
        <w:t xml:space="preserve"> report.</w:t>
      </w:r>
    </w:p>
    <w:p w14:paraId="18D463CB" w14:textId="77777777" w:rsidR="00D07FB3" w:rsidRDefault="00D07FB3" w:rsidP="00510D2B">
      <w:pPr>
        <w:rPr>
          <w:rFonts w:cs="Times New Roman"/>
          <w:b/>
          <w:bCs/>
          <w:color w:val="215E99" w:themeColor="text2" w:themeTint="BF"/>
          <w:sz w:val="28"/>
          <w:szCs w:val="28"/>
        </w:rPr>
      </w:pPr>
    </w:p>
    <w:p w14:paraId="341F6F1E" w14:textId="52C84A60" w:rsidR="00240FE2" w:rsidRPr="00445A8B" w:rsidRDefault="00D07FB3" w:rsidP="00510D2B">
      <w:pPr>
        <w:rPr>
          <w:rFonts w:cs="Times New Roman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>Completing the Profile</w:t>
      </w:r>
      <w:r w:rsidR="00240FE2" w:rsidRPr="00445A8B">
        <w:rPr>
          <w:rFonts w:cs="Times New Roman"/>
          <w:b/>
          <w:bCs/>
          <w:color w:val="215E99" w:themeColor="text2" w:themeTint="BF"/>
          <w:sz w:val="32"/>
          <w:szCs w:val="32"/>
        </w:rPr>
        <w:t xml:space="preserve"> </w:t>
      </w:r>
    </w:p>
    <w:p w14:paraId="165FBB8C" w14:textId="77777777" w:rsidR="00240FE2" w:rsidRDefault="00240FE2" w:rsidP="00510D2B">
      <w:pPr>
        <w:rPr>
          <w:rFonts w:cs="Times New Roman"/>
          <w:b/>
          <w:bCs/>
          <w:color w:val="215E99" w:themeColor="text2" w:themeTint="BF"/>
          <w:sz w:val="28"/>
          <w:szCs w:val="28"/>
        </w:rPr>
      </w:pPr>
    </w:p>
    <w:p w14:paraId="64BE2013" w14:textId="5B8DEAED" w:rsidR="00D07FB3" w:rsidRDefault="00F22966" w:rsidP="00510D2B">
      <w:pPr>
        <w:rPr>
          <w:rFonts w:cs="Times New Roman"/>
          <w:b/>
          <w:bCs/>
          <w:sz w:val="28"/>
          <w:szCs w:val="28"/>
        </w:rPr>
      </w:pPr>
      <w:r w:rsidRPr="00F22966">
        <w:rPr>
          <w:rFonts w:cs="Times New Roman"/>
          <w:sz w:val="28"/>
          <w:szCs w:val="28"/>
        </w:rPr>
        <w:t>Begin with</w:t>
      </w:r>
      <w:r>
        <w:rPr>
          <w:rFonts w:cs="Times New Roman"/>
          <w:b/>
          <w:bCs/>
          <w:sz w:val="28"/>
          <w:szCs w:val="28"/>
        </w:rPr>
        <w:t xml:space="preserve"> Tab 1</w:t>
      </w:r>
    </w:p>
    <w:p w14:paraId="67776F17" w14:textId="77777777" w:rsidR="00F22966" w:rsidRPr="00C87905" w:rsidRDefault="00F22966" w:rsidP="00510D2B">
      <w:pPr>
        <w:rPr>
          <w:rFonts w:cs="Times New Roman"/>
          <w:b/>
          <w:bCs/>
          <w:color w:val="215E99" w:themeColor="text2" w:themeTint="BF"/>
          <w:sz w:val="28"/>
          <w:szCs w:val="28"/>
        </w:rPr>
      </w:pPr>
    </w:p>
    <w:p w14:paraId="7492925A" w14:textId="49A7649F" w:rsidR="00510D2B" w:rsidRPr="0062717A" w:rsidRDefault="00510D2B" w:rsidP="0062717A">
      <w:pPr>
        <w:pStyle w:val="ListParagraph"/>
        <w:numPr>
          <w:ilvl w:val="0"/>
          <w:numId w:val="49"/>
        </w:numPr>
        <w:rPr>
          <w:rFonts w:cs="Times New Roman"/>
        </w:rPr>
      </w:pPr>
      <w:r w:rsidRPr="0062717A">
        <w:rPr>
          <w:rFonts w:cs="Times New Roman"/>
        </w:rPr>
        <w:t xml:space="preserve">Complete all </w:t>
      </w:r>
      <w:r w:rsidRPr="0062717A">
        <w:rPr>
          <w:rFonts w:cs="Times New Roman"/>
          <w:b/>
          <w:bCs/>
        </w:rPr>
        <w:t xml:space="preserve">highlighted </w:t>
      </w:r>
      <w:r w:rsidRPr="0062717A">
        <w:rPr>
          <w:rFonts w:cs="Times New Roman"/>
        </w:rPr>
        <w:t>areas</w:t>
      </w:r>
    </w:p>
    <w:p w14:paraId="36057AAF" w14:textId="77777777" w:rsidR="00510D2B" w:rsidRPr="00170F6A" w:rsidRDefault="00510D2B" w:rsidP="00510D2B">
      <w:pPr>
        <w:pStyle w:val="ListParagraph"/>
        <w:numPr>
          <w:ilvl w:val="0"/>
          <w:numId w:val="15"/>
        </w:numPr>
        <w:rPr>
          <w:rFonts w:cs="Times New Roman"/>
        </w:rPr>
      </w:pPr>
      <w:r w:rsidRPr="00170F6A">
        <w:rPr>
          <w:rFonts w:cs="Times New Roman"/>
        </w:rPr>
        <w:t>PSU Name</w:t>
      </w:r>
    </w:p>
    <w:p w14:paraId="4187D948" w14:textId="1926A726" w:rsidR="00510D2B" w:rsidRDefault="00510D2B" w:rsidP="00510D2B">
      <w:pPr>
        <w:pStyle w:val="ListParagraph"/>
        <w:numPr>
          <w:ilvl w:val="0"/>
          <w:numId w:val="15"/>
        </w:numPr>
        <w:rPr>
          <w:rFonts w:cs="Times New Roman"/>
        </w:rPr>
      </w:pPr>
      <w:r w:rsidRPr="00170F6A">
        <w:rPr>
          <w:rFonts w:cs="Times New Roman"/>
        </w:rPr>
        <w:t>PSU Numbe</w:t>
      </w:r>
      <w:r w:rsidR="00E27A3E">
        <w:rPr>
          <w:rFonts w:cs="Times New Roman"/>
        </w:rPr>
        <w:t>r</w:t>
      </w:r>
    </w:p>
    <w:p w14:paraId="30F75AF1" w14:textId="77777777" w:rsidR="00E27A3E" w:rsidRPr="00E27A3E" w:rsidRDefault="00E27A3E" w:rsidP="00E27A3E">
      <w:pPr>
        <w:rPr>
          <w:rFonts w:cs="Times New Roman"/>
        </w:rPr>
      </w:pPr>
    </w:p>
    <w:p w14:paraId="13A77D0B" w14:textId="6BEDB91E" w:rsidR="00510D2B" w:rsidRPr="0062717A" w:rsidRDefault="00510D2B" w:rsidP="0062717A">
      <w:pPr>
        <w:pStyle w:val="ListParagraph"/>
        <w:numPr>
          <w:ilvl w:val="0"/>
          <w:numId w:val="49"/>
        </w:numPr>
        <w:rPr>
          <w:rFonts w:cs="Times New Roman"/>
          <w:b/>
          <w:bCs/>
        </w:rPr>
      </w:pPr>
      <w:r w:rsidRPr="0062717A">
        <w:rPr>
          <w:rFonts w:cs="Times New Roman"/>
        </w:rPr>
        <w:t xml:space="preserve">Complete the </w:t>
      </w:r>
      <w:r w:rsidRPr="0062717A">
        <w:rPr>
          <w:rFonts w:cs="Times New Roman"/>
          <w:b/>
          <w:bCs/>
        </w:rPr>
        <w:t xml:space="preserve">Profile for Comparison </w:t>
      </w:r>
    </w:p>
    <w:p w14:paraId="1B74D954" w14:textId="77777777" w:rsidR="00510D2B" w:rsidRPr="00170F6A" w:rsidRDefault="00510D2B" w:rsidP="00510D2B">
      <w:pPr>
        <w:rPr>
          <w:rFonts w:cs="Times New Roman"/>
        </w:rPr>
      </w:pPr>
    </w:p>
    <w:p w14:paraId="6CC2262F" w14:textId="77777777" w:rsidR="00510D2B" w:rsidRPr="0062717A" w:rsidRDefault="00510D2B" w:rsidP="0062717A">
      <w:pPr>
        <w:pStyle w:val="ListParagraph"/>
        <w:numPr>
          <w:ilvl w:val="0"/>
          <w:numId w:val="49"/>
        </w:numPr>
        <w:rPr>
          <w:rFonts w:cs="Times New Roman"/>
        </w:rPr>
      </w:pPr>
      <w:bookmarkStart w:id="1" w:name="_Hlk209522889"/>
      <w:r w:rsidRPr="0062717A">
        <w:rPr>
          <w:rFonts w:cs="Times New Roman"/>
        </w:rPr>
        <w:t xml:space="preserve">Use the </w:t>
      </w:r>
      <w:r w:rsidRPr="0062717A">
        <w:rPr>
          <w:rFonts w:cs="Times New Roman"/>
          <w:b/>
          <w:bCs/>
        </w:rPr>
        <w:t>drop-down</w:t>
      </w:r>
      <w:r w:rsidRPr="0062717A">
        <w:rPr>
          <w:rFonts w:cs="Times New Roman"/>
        </w:rPr>
        <w:t xml:space="preserve"> option to select:</w:t>
      </w:r>
    </w:p>
    <w:p w14:paraId="6F3FBB87" w14:textId="77777777" w:rsidR="00510D2B" w:rsidRPr="00170F6A" w:rsidRDefault="00510D2B" w:rsidP="00510D2B">
      <w:pPr>
        <w:rPr>
          <w:rFonts w:cs="Times New Roman"/>
        </w:rPr>
      </w:pPr>
    </w:p>
    <w:p w14:paraId="7B0A1DF4" w14:textId="77777777" w:rsidR="00510D2B" w:rsidRPr="003E5C8D" w:rsidRDefault="00510D2B" w:rsidP="003E5C8D">
      <w:pPr>
        <w:pStyle w:val="ListParagraph"/>
        <w:numPr>
          <w:ilvl w:val="0"/>
          <w:numId w:val="26"/>
        </w:numPr>
        <w:rPr>
          <w:rFonts w:cs="Arial"/>
          <w:b/>
          <w:bCs/>
          <w:i/>
          <w:iCs/>
        </w:rPr>
      </w:pPr>
      <w:r w:rsidRPr="003E5C8D">
        <w:rPr>
          <w:rFonts w:cs="Times New Roman"/>
        </w:rPr>
        <w:t xml:space="preserve">School Type </w:t>
      </w:r>
      <w:r w:rsidRPr="003E5C8D">
        <w:rPr>
          <w:rFonts w:cs="Arial"/>
          <w:i/>
          <w:iCs/>
        </w:rPr>
        <w:t>- Schools with unique grade span combinations should be placed in the grade span grouping with the largest number of grades in common.</w:t>
      </w:r>
    </w:p>
    <w:p w14:paraId="4E2C19D8" w14:textId="77777777" w:rsidR="00510D2B" w:rsidRPr="00170F6A" w:rsidRDefault="00510D2B" w:rsidP="00510D2B">
      <w:pPr>
        <w:pStyle w:val="ListParagraph"/>
        <w:numPr>
          <w:ilvl w:val="0"/>
          <w:numId w:val="7"/>
        </w:numPr>
        <w:rPr>
          <w:rFonts w:cs="Times New Roman"/>
        </w:rPr>
      </w:pPr>
      <w:r w:rsidRPr="00170F6A">
        <w:rPr>
          <w:rFonts w:cs="Times New Roman"/>
        </w:rPr>
        <w:t>Elementary</w:t>
      </w:r>
    </w:p>
    <w:p w14:paraId="0CE84538" w14:textId="77777777" w:rsidR="00510D2B" w:rsidRPr="00170F6A" w:rsidRDefault="00510D2B" w:rsidP="00510D2B">
      <w:pPr>
        <w:pStyle w:val="ListParagraph"/>
        <w:numPr>
          <w:ilvl w:val="0"/>
          <w:numId w:val="7"/>
        </w:numPr>
        <w:rPr>
          <w:rFonts w:cs="Times New Roman"/>
        </w:rPr>
      </w:pPr>
      <w:r w:rsidRPr="00170F6A">
        <w:rPr>
          <w:rFonts w:cs="Times New Roman"/>
        </w:rPr>
        <w:t>Middle</w:t>
      </w:r>
    </w:p>
    <w:p w14:paraId="45B42F57" w14:textId="77777777" w:rsidR="00510D2B" w:rsidRPr="00170F6A" w:rsidRDefault="00510D2B" w:rsidP="00510D2B">
      <w:pPr>
        <w:pStyle w:val="ListParagraph"/>
        <w:numPr>
          <w:ilvl w:val="0"/>
          <w:numId w:val="7"/>
        </w:numPr>
        <w:rPr>
          <w:rFonts w:cs="Arial"/>
        </w:rPr>
      </w:pPr>
      <w:r w:rsidRPr="00170F6A">
        <w:rPr>
          <w:rFonts w:cs="Times New Roman"/>
        </w:rPr>
        <w:t>High</w:t>
      </w:r>
    </w:p>
    <w:p w14:paraId="2C88E6B6" w14:textId="77777777" w:rsidR="00510D2B" w:rsidRPr="00170F6A" w:rsidRDefault="00510D2B" w:rsidP="00510D2B">
      <w:pPr>
        <w:rPr>
          <w:rFonts w:cs="Arial"/>
        </w:rPr>
      </w:pPr>
    </w:p>
    <w:p w14:paraId="1B07A03F" w14:textId="77777777" w:rsidR="00510D2B" w:rsidRPr="003E5C8D" w:rsidRDefault="00510D2B" w:rsidP="003E5C8D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 xml:space="preserve">Size (Enrollment)  </w:t>
      </w:r>
    </w:p>
    <w:p w14:paraId="0E9B5959" w14:textId="77777777" w:rsidR="00510D2B" w:rsidRPr="00170F6A" w:rsidRDefault="00510D2B" w:rsidP="00510D2B">
      <w:pPr>
        <w:pStyle w:val="ListParagraph"/>
        <w:numPr>
          <w:ilvl w:val="0"/>
          <w:numId w:val="9"/>
        </w:numPr>
        <w:rPr>
          <w:rFonts w:cs="Arial"/>
        </w:rPr>
      </w:pPr>
      <w:r w:rsidRPr="00170F6A">
        <w:rPr>
          <w:rFonts w:cs="Arial"/>
        </w:rPr>
        <w:t>Small (less than 450 students)</w:t>
      </w:r>
    </w:p>
    <w:p w14:paraId="78BF513E" w14:textId="77777777" w:rsidR="00510D2B" w:rsidRPr="00170F6A" w:rsidRDefault="00510D2B" w:rsidP="00510D2B">
      <w:pPr>
        <w:pStyle w:val="ListParagraph"/>
        <w:numPr>
          <w:ilvl w:val="0"/>
          <w:numId w:val="8"/>
        </w:numPr>
        <w:rPr>
          <w:rFonts w:cs="Arial"/>
        </w:rPr>
      </w:pPr>
      <w:r w:rsidRPr="00170F6A">
        <w:rPr>
          <w:rFonts w:cs="Arial"/>
        </w:rPr>
        <w:t>Large (450 or more students)</w:t>
      </w:r>
    </w:p>
    <w:p w14:paraId="5E9CB447" w14:textId="77777777" w:rsidR="00510D2B" w:rsidRPr="00170F6A" w:rsidRDefault="00510D2B" w:rsidP="00510D2B">
      <w:pPr>
        <w:pStyle w:val="ListParagraph"/>
        <w:numPr>
          <w:ilvl w:val="0"/>
          <w:numId w:val="8"/>
        </w:numPr>
        <w:rPr>
          <w:rFonts w:cs="Arial"/>
        </w:rPr>
      </w:pPr>
      <w:r w:rsidRPr="00170F6A">
        <w:rPr>
          <w:rFonts w:cs="Arial"/>
        </w:rPr>
        <w:t>Not Grouped</w:t>
      </w:r>
    </w:p>
    <w:p w14:paraId="3CBCF244" w14:textId="77777777" w:rsidR="00510D2B" w:rsidRPr="00170F6A" w:rsidRDefault="00510D2B" w:rsidP="00510D2B">
      <w:pPr>
        <w:rPr>
          <w:rFonts w:cs="Arial"/>
        </w:rPr>
      </w:pPr>
    </w:p>
    <w:p w14:paraId="37A6F8D0" w14:textId="77777777" w:rsidR="00510D2B" w:rsidRPr="003E5C8D" w:rsidRDefault="00510D2B" w:rsidP="003E5C8D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>Staff Type</w:t>
      </w:r>
    </w:p>
    <w:p w14:paraId="1BA422CD" w14:textId="77777777" w:rsidR="00510D2B" w:rsidRPr="00170F6A" w:rsidRDefault="00510D2B" w:rsidP="00510D2B">
      <w:pPr>
        <w:pStyle w:val="ListParagraph"/>
        <w:numPr>
          <w:ilvl w:val="0"/>
          <w:numId w:val="12"/>
        </w:numPr>
        <w:rPr>
          <w:rFonts w:cs="Arial"/>
        </w:rPr>
      </w:pPr>
      <w:r w:rsidRPr="00170F6A">
        <w:rPr>
          <w:rFonts w:cs="Arial"/>
        </w:rPr>
        <w:t>Classroom Teachers</w:t>
      </w:r>
    </w:p>
    <w:p w14:paraId="02D7C0C8" w14:textId="6D6C7593" w:rsidR="00510D2B" w:rsidRPr="00170F6A" w:rsidRDefault="00510D2B" w:rsidP="00510D2B">
      <w:pPr>
        <w:pStyle w:val="ListParagraph"/>
        <w:numPr>
          <w:ilvl w:val="0"/>
          <w:numId w:val="12"/>
        </w:numPr>
        <w:rPr>
          <w:rFonts w:cs="Arial"/>
        </w:rPr>
      </w:pPr>
      <w:r w:rsidRPr="00170F6A">
        <w:rPr>
          <w:rFonts w:cs="Arial"/>
        </w:rPr>
        <w:t>Instructional Staff *</w:t>
      </w:r>
      <w:r w:rsidR="00C87905">
        <w:rPr>
          <w:rFonts w:cs="Arial"/>
        </w:rPr>
        <w:t>may include</w:t>
      </w:r>
      <w:r w:rsidRPr="00170F6A">
        <w:rPr>
          <w:rFonts w:cs="Arial"/>
        </w:rPr>
        <w:t xml:space="preserve"> classroom teachers</w:t>
      </w:r>
    </w:p>
    <w:p w14:paraId="2A0B75E0" w14:textId="77777777" w:rsidR="00510D2B" w:rsidRPr="00170F6A" w:rsidRDefault="00510D2B" w:rsidP="00510D2B">
      <w:pPr>
        <w:rPr>
          <w:rFonts w:cs="Arial"/>
        </w:rPr>
      </w:pPr>
    </w:p>
    <w:p w14:paraId="14B5D537" w14:textId="7907CC5E" w:rsidR="00510D2B" w:rsidRPr="003E5C8D" w:rsidRDefault="00510D2B" w:rsidP="003E5C8D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 xml:space="preserve">Complete </w:t>
      </w:r>
      <w:r w:rsidRPr="00F22966">
        <w:rPr>
          <w:rFonts w:cs="Arial"/>
          <w:b/>
          <w:bCs/>
        </w:rPr>
        <w:t xml:space="preserve">Title </w:t>
      </w:r>
      <w:r w:rsidR="002F5561" w:rsidRPr="00F22966">
        <w:rPr>
          <w:rFonts w:cs="Arial"/>
          <w:b/>
          <w:bCs/>
        </w:rPr>
        <w:t>I</w:t>
      </w:r>
      <w:r w:rsidRPr="00F22966">
        <w:rPr>
          <w:rFonts w:cs="Arial"/>
          <w:b/>
          <w:bCs/>
        </w:rPr>
        <w:t xml:space="preserve"> Schools </w:t>
      </w:r>
      <w:r w:rsidR="004C0F1C" w:rsidRPr="00F22966">
        <w:rPr>
          <w:rFonts w:cs="Arial"/>
          <w:b/>
          <w:bCs/>
        </w:rPr>
        <w:t>– page</w:t>
      </w:r>
      <w:r w:rsidRPr="00F22966">
        <w:rPr>
          <w:rFonts w:cs="Arial"/>
          <w:b/>
          <w:bCs/>
        </w:rPr>
        <w:t xml:space="preserve"> 1</w:t>
      </w:r>
      <w:r w:rsidR="00132FEE" w:rsidRPr="00F22966">
        <w:rPr>
          <w:rFonts w:cs="Arial"/>
        </w:rPr>
        <w:t xml:space="preserve"> </w:t>
      </w:r>
      <w:r w:rsidR="00132FEE">
        <w:rPr>
          <w:rFonts w:cs="Arial"/>
        </w:rPr>
        <w:t>(</w:t>
      </w:r>
      <w:r w:rsidR="00945721">
        <w:rPr>
          <w:rFonts w:cs="Arial"/>
        </w:rPr>
        <w:t xml:space="preserve">continuation of </w:t>
      </w:r>
      <w:r w:rsidR="00945721" w:rsidRPr="004C0F1C">
        <w:rPr>
          <w:rFonts w:cs="Arial"/>
          <w:b/>
          <w:bCs/>
        </w:rPr>
        <w:t>Tab 1</w:t>
      </w:r>
      <w:r w:rsidR="00945721">
        <w:rPr>
          <w:rFonts w:cs="Arial"/>
        </w:rPr>
        <w:t>)</w:t>
      </w:r>
    </w:p>
    <w:p w14:paraId="1EC16A5C" w14:textId="4BC46900" w:rsidR="00510D2B" w:rsidRPr="00170F6A" w:rsidRDefault="00510D2B" w:rsidP="00510D2B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 xml:space="preserve">Enter each Title </w:t>
      </w:r>
      <w:r w:rsidR="002F5561">
        <w:rPr>
          <w:rFonts w:cs="Arial"/>
        </w:rPr>
        <w:t>I</w:t>
      </w:r>
      <w:r w:rsidRPr="00170F6A">
        <w:rPr>
          <w:rFonts w:cs="Arial"/>
        </w:rPr>
        <w:t xml:space="preserve"> School Name</w:t>
      </w:r>
    </w:p>
    <w:p w14:paraId="7D1A1AEB" w14:textId="77777777" w:rsidR="00510D2B" w:rsidRPr="00170F6A" w:rsidRDefault="00510D2B" w:rsidP="00510D2B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>Identify Grade Span</w:t>
      </w:r>
    </w:p>
    <w:p w14:paraId="6D879EDB" w14:textId="77777777" w:rsidR="00510D2B" w:rsidRPr="00170F6A" w:rsidRDefault="00510D2B" w:rsidP="00510D2B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>Provide Enrollment Number</w:t>
      </w:r>
    </w:p>
    <w:p w14:paraId="06E63092" w14:textId="5EC9B3E0" w:rsidR="00510D2B" w:rsidRDefault="00510D2B" w:rsidP="00510D2B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 xml:space="preserve">Complete the </w:t>
      </w:r>
      <w:r w:rsidR="00CB43B5">
        <w:rPr>
          <w:rFonts w:cs="Arial"/>
        </w:rPr>
        <w:t>Staff</w:t>
      </w:r>
      <w:r w:rsidRPr="00170F6A">
        <w:rPr>
          <w:rFonts w:cs="Arial"/>
        </w:rPr>
        <w:t xml:space="preserve"> Total</w:t>
      </w:r>
    </w:p>
    <w:p w14:paraId="47E21200" w14:textId="77777777" w:rsidR="00510D2B" w:rsidRPr="00170F6A" w:rsidRDefault="00510D2B" w:rsidP="00510D2B">
      <w:pPr>
        <w:rPr>
          <w:rFonts w:cs="Arial"/>
        </w:rPr>
      </w:pPr>
    </w:p>
    <w:p w14:paraId="46D97659" w14:textId="33AA779C" w:rsidR="00510D2B" w:rsidRPr="003E5C8D" w:rsidRDefault="00510D2B" w:rsidP="003E5C8D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 xml:space="preserve">For comparing Title </w:t>
      </w:r>
      <w:r w:rsidR="002F5561">
        <w:rPr>
          <w:rFonts w:cs="Arial"/>
        </w:rPr>
        <w:t>I</w:t>
      </w:r>
      <w:r w:rsidRPr="003E5C8D">
        <w:rPr>
          <w:rFonts w:cs="Arial"/>
        </w:rPr>
        <w:t xml:space="preserve"> to non-Title </w:t>
      </w:r>
      <w:r w:rsidR="002F5561">
        <w:rPr>
          <w:rFonts w:cs="Arial"/>
        </w:rPr>
        <w:t>I</w:t>
      </w:r>
      <w:r w:rsidRPr="003E5C8D">
        <w:rPr>
          <w:rFonts w:cs="Arial"/>
        </w:rPr>
        <w:t xml:space="preserve"> Schools click </w:t>
      </w:r>
      <w:r w:rsidR="00945721" w:rsidRPr="004C0F1C">
        <w:rPr>
          <w:rFonts w:cs="Arial"/>
          <w:b/>
          <w:bCs/>
        </w:rPr>
        <w:t>T</w:t>
      </w:r>
      <w:r w:rsidR="004C0F1C" w:rsidRPr="004C0F1C">
        <w:rPr>
          <w:rFonts w:cs="Arial"/>
          <w:b/>
          <w:bCs/>
        </w:rPr>
        <w:t>ab 2</w:t>
      </w:r>
      <w:r w:rsidR="004C0F1C">
        <w:rPr>
          <w:rFonts w:cs="Arial"/>
        </w:rPr>
        <w:t xml:space="preserve"> </w:t>
      </w:r>
      <w:r w:rsidR="002F5561" w:rsidRPr="00CA1464">
        <w:rPr>
          <w:rFonts w:cs="Arial"/>
          <w:b/>
          <w:bCs/>
        </w:rPr>
        <w:t>N</w:t>
      </w:r>
      <w:r w:rsidRPr="00CA1464">
        <w:rPr>
          <w:rFonts w:cs="Arial"/>
          <w:b/>
          <w:bCs/>
        </w:rPr>
        <w:t xml:space="preserve">on-Title </w:t>
      </w:r>
      <w:r w:rsidR="002F5561" w:rsidRPr="00CA1464">
        <w:rPr>
          <w:rFonts w:cs="Arial"/>
          <w:b/>
          <w:bCs/>
        </w:rPr>
        <w:t>I</w:t>
      </w:r>
      <w:r w:rsidRPr="00CA1464">
        <w:rPr>
          <w:rFonts w:cs="Arial"/>
          <w:b/>
          <w:bCs/>
        </w:rPr>
        <w:t xml:space="preserve"> Schools – page 1</w:t>
      </w:r>
    </w:p>
    <w:p w14:paraId="1F9E00D6" w14:textId="256BDEDF" w:rsidR="00510D2B" w:rsidRPr="00170F6A" w:rsidRDefault="00510D2B" w:rsidP="00510D2B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 xml:space="preserve">Enter the name of each non-Title </w:t>
      </w:r>
      <w:r w:rsidR="002F5561">
        <w:rPr>
          <w:rFonts w:cs="Arial"/>
        </w:rPr>
        <w:t>I</w:t>
      </w:r>
      <w:r w:rsidRPr="00170F6A">
        <w:rPr>
          <w:rFonts w:cs="Arial"/>
        </w:rPr>
        <w:t xml:space="preserve"> School </w:t>
      </w:r>
    </w:p>
    <w:p w14:paraId="0B92D6AE" w14:textId="77777777" w:rsidR="00510D2B" w:rsidRPr="00170F6A" w:rsidRDefault="00510D2B" w:rsidP="00510D2B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lastRenderedPageBreak/>
        <w:t>Identify the Grade Span</w:t>
      </w:r>
    </w:p>
    <w:p w14:paraId="1B4288E3" w14:textId="77777777" w:rsidR="00510D2B" w:rsidRPr="00170F6A" w:rsidRDefault="00510D2B" w:rsidP="00510D2B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>Provide Enrollment Number</w:t>
      </w:r>
    </w:p>
    <w:p w14:paraId="628A1E5E" w14:textId="475163C3" w:rsidR="00510D2B" w:rsidRPr="00170F6A" w:rsidRDefault="00510D2B" w:rsidP="00510D2B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 xml:space="preserve">Complete the </w:t>
      </w:r>
      <w:r w:rsidR="00383FB7">
        <w:rPr>
          <w:rFonts w:cs="Arial"/>
        </w:rPr>
        <w:t>Staff</w:t>
      </w:r>
      <w:r w:rsidRPr="00170F6A">
        <w:rPr>
          <w:rFonts w:cs="Arial"/>
        </w:rPr>
        <w:t xml:space="preserve"> Total</w:t>
      </w:r>
    </w:p>
    <w:bookmarkEnd w:id="1"/>
    <w:p w14:paraId="67BBD4F0" w14:textId="77777777" w:rsidR="00510D2B" w:rsidRPr="00170F6A" w:rsidRDefault="00510D2B" w:rsidP="00510D2B">
      <w:pPr>
        <w:rPr>
          <w:rFonts w:cs="Arial"/>
        </w:rPr>
      </w:pPr>
    </w:p>
    <w:p w14:paraId="3FD90C47" w14:textId="7E47E6D2" w:rsidR="00C0268E" w:rsidRDefault="00510D2B" w:rsidP="00510D2B">
      <w:pPr>
        <w:rPr>
          <w:rFonts w:cs="Arial"/>
          <w:b/>
          <w:bCs/>
          <w:i/>
          <w:iCs/>
        </w:rPr>
      </w:pPr>
      <w:r w:rsidRPr="00C97CCC">
        <w:rPr>
          <w:rFonts w:cs="Arial"/>
          <w:b/>
          <w:bCs/>
          <w:i/>
          <w:iCs/>
          <w:u w:val="single"/>
        </w:rPr>
        <w:t>Note</w:t>
      </w:r>
      <w:r w:rsidR="0062717A">
        <w:rPr>
          <w:rFonts w:cs="Arial"/>
          <w:b/>
          <w:bCs/>
          <w:i/>
          <w:iCs/>
          <w:u w:val="single"/>
        </w:rPr>
        <w:t>s</w:t>
      </w:r>
      <w:r w:rsidRPr="003E5C8D">
        <w:rPr>
          <w:rFonts w:cs="Arial"/>
          <w:b/>
          <w:bCs/>
          <w:i/>
          <w:iCs/>
        </w:rPr>
        <w:t xml:space="preserve">: </w:t>
      </w:r>
    </w:p>
    <w:p w14:paraId="00C51FD3" w14:textId="59906FC5" w:rsidR="005729E3" w:rsidRDefault="00C0268E" w:rsidP="00510D2B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All Title I Schools - </w:t>
      </w:r>
      <w:r w:rsidR="00510D2B" w:rsidRPr="003E5C8D">
        <w:rPr>
          <w:rFonts w:cs="Arial"/>
          <w:b/>
          <w:bCs/>
          <w:i/>
          <w:iCs/>
        </w:rPr>
        <w:t xml:space="preserve">The </w:t>
      </w:r>
      <w:r w:rsidR="00227836">
        <w:rPr>
          <w:rFonts w:cs="Arial"/>
          <w:b/>
          <w:bCs/>
          <w:i/>
          <w:iCs/>
        </w:rPr>
        <w:t>Student-to-Staff</w:t>
      </w:r>
      <w:r w:rsidR="00510D2B" w:rsidRPr="003E5C8D">
        <w:rPr>
          <w:rFonts w:cs="Arial"/>
          <w:b/>
          <w:bCs/>
          <w:i/>
          <w:iCs/>
        </w:rPr>
        <w:t xml:space="preserve"> Ratio will automatically calculate</w:t>
      </w:r>
      <w:r>
        <w:rPr>
          <w:rFonts w:cs="Arial"/>
          <w:b/>
          <w:bCs/>
          <w:i/>
          <w:iCs/>
        </w:rPr>
        <w:t xml:space="preserve"> in Tab 1.</w:t>
      </w:r>
    </w:p>
    <w:p w14:paraId="53C3305B" w14:textId="77777777" w:rsidR="005729E3" w:rsidRDefault="005729E3" w:rsidP="00510D2B">
      <w:pPr>
        <w:rPr>
          <w:rFonts w:cs="Arial"/>
          <w:b/>
          <w:bCs/>
          <w:i/>
          <w:iCs/>
        </w:rPr>
      </w:pPr>
    </w:p>
    <w:p w14:paraId="56357F14" w14:textId="6D179CE0" w:rsidR="003736E6" w:rsidRDefault="00C0268E" w:rsidP="00510D2B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Non-Title </w:t>
      </w:r>
      <w:r w:rsidR="003736E6">
        <w:rPr>
          <w:rFonts w:cs="Arial"/>
          <w:b/>
          <w:bCs/>
          <w:i/>
          <w:iCs/>
        </w:rPr>
        <w:t xml:space="preserve">I Schools Comparison </w:t>
      </w:r>
      <w:r w:rsidR="0062717A">
        <w:rPr>
          <w:rFonts w:cs="Arial"/>
          <w:b/>
          <w:bCs/>
          <w:i/>
          <w:iCs/>
        </w:rPr>
        <w:t>–</w:t>
      </w:r>
      <w:r w:rsidR="003736E6">
        <w:rPr>
          <w:rFonts w:cs="Arial"/>
          <w:b/>
          <w:bCs/>
          <w:i/>
          <w:iCs/>
        </w:rPr>
        <w:t xml:space="preserve"> </w:t>
      </w:r>
      <w:r w:rsidR="00510D2B" w:rsidRPr="003E5C8D">
        <w:rPr>
          <w:rFonts w:cs="Arial"/>
          <w:b/>
          <w:bCs/>
          <w:i/>
          <w:iCs/>
        </w:rPr>
        <w:t xml:space="preserve">Return to </w:t>
      </w:r>
      <w:r w:rsidR="00CA1464">
        <w:rPr>
          <w:rFonts w:cs="Arial"/>
          <w:b/>
          <w:bCs/>
          <w:i/>
          <w:iCs/>
        </w:rPr>
        <w:t>Tab 1</w:t>
      </w:r>
      <w:r w:rsidR="00510D2B" w:rsidRPr="003E5C8D">
        <w:rPr>
          <w:rFonts w:cs="Arial"/>
          <w:b/>
          <w:bCs/>
          <w:i/>
          <w:iCs/>
        </w:rPr>
        <w:t xml:space="preserve"> for comparability results. </w:t>
      </w:r>
    </w:p>
    <w:p w14:paraId="3C7B8193" w14:textId="77777777" w:rsidR="003736E6" w:rsidRDefault="003736E6" w:rsidP="00510D2B">
      <w:pPr>
        <w:rPr>
          <w:rFonts w:cs="Arial"/>
          <w:b/>
          <w:bCs/>
          <w:i/>
          <w:iCs/>
        </w:rPr>
      </w:pPr>
    </w:p>
    <w:p w14:paraId="2BE4DE65" w14:textId="5D590E03" w:rsidR="00510D2B" w:rsidRPr="003E5C8D" w:rsidRDefault="00510D2B" w:rsidP="00510D2B">
      <w:pPr>
        <w:rPr>
          <w:rFonts w:cs="Arial"/>
          <w:b/>
          <w:bCs/>
          <w:i/>
          <w:iCs/>
        </w:rPr>
      </w:pPr>
      <w:r w:rsidRPr="003736E6">
        <w:rPr>
          <w:rFonts w:cs="Arial"/>
          <w:b/>
          <w:bCs/>
          <w:i/>
          <w:iCs/>
          <w:color w:val="00B050"/>
        </w:rPr>
        <w:t>Green</w:t>
      </w:r>
      <w:r w:rsidRPr="003E5C8D">
        <w:rPr>
          <w:rFonts w:cs="Arial"/>
          <w:b/>
          <w:bCs/>
          <w:i/>
          <w:iCs/>
        </w:rPr>
        <w:t xml:space="preserve"> will demonstrate </w:t>
      </w:r>
      <w:r w:rsidR="00383FB7" w:rsidRPr="003E5C8D">
        <w:rPr>
          <w:rFonts w:cs="Arial"/>
          <w:b/>
          <w:bCs/>
          <w:i/>
          <w:iCs/>
        </w:rPr>
        <w:t>c</w:t>
      </w:r>
      <w:r w:rsidRPr="003E5C8D">
        <w:rPr>
          <w:rFonts w:cs="Arial"/>
          <w:b/>
          <w:bCs/>
          <w:i/>
          <w:iCs/>
        </w:rPr>
        <w:t xml:space="preserve">omparability. </w:t>
      </w:r>
      <w:r w:rsidRPr="003736E6">
        <w:rPr>
          <w:rFonts w:cs="Arial"/>
          <w:b/>
          <w:bCs/>
          <w:i/>
          <w:iCs/>
          <w:color w:val="EE0000"/>
        </w:rPr>
        <w:t xml:space="preserve">Red </w:t>
      </w:r>
      <w:r w:rsidRPr="003E5C8D">
        <w:rPr>
          <w:rFonts w:cs="Arial"/>
          <w:b/>
          <w:bCs/>
          <w:i/>
          <w:iCs/>
        </w:rPr>
        <w:t>will indicate non-comparable schools.</w:t>
      </w:r>
    </w:p>
    <w:p w14:paraId="0D389599" w14:textId="77777777" w:rsidR="0039632B" w:rsidRDefault="0039632B" w:rsidP="00BD18DE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119FA42C" w14:textId="77777777" w:rsidR="0062717A" w:rsidRPr="00445A8B" w:rsidRDefault="0039297B" w:rsidP="00BD18DE">
      <w:pPr>
        <w:rPr>
          <w:rFonts w:cs="Arial"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>Salary-to-Student Rati</w:t>
      </w:r>
      <w:r w:rsidR="003C1351" w:rsidRPr="00445A8B">
        <w:rPr>
          <w:rFonts w:cs="Arial"/>
          <w:b/>
          <w:bCs/>
          <w:color w:val="215E99" w:themeColor="text2" w:themeTint="BF"/>
          <w:sz w:val="32"/>
          <w:szCs w:val="32"/>
        </w:rPr>
        <w:t>o</w:t>
      </w:r>
      <w:bookmarkStart w:id="2" w:name="_Hlk209095137"/>
    </w:p>
    <w:p w14:paraId="5CF3806F" w14:textId="77777777" w:rsidR="0062717A" w:rsidRDefault="0062717A" w:rsidP="00BD18DE">
      <w:pPr>
        <w:rPr>
          <w:rFonts w:cs="Arial"/>
          <w:color w:val="215E99" w:themeColor="text2" w:themeTint="BF"/>
        </w:rPr>
      </w:pPr>
    </w:p>
    <w:p w14:paraId="1EE20194" w14:textId="3469E142" w:rsidR="00CC21B3" w:rsidRDefault="00F1692F" w:rsidP="00BD18DE">
      <w:pPr>
        <w:rPr>
          <w:rFonts w:cs="Arial"/>
        </w:rPr>
      </w:pPr>
      <w:r w:rsidRPr="00170F6A">
        <w:rPr>
          <w:rFonts w:cs="Arial"/>
        </w:rPr>
        <w:t>The</w:t>
      </w:r>
      <w:r w:rsidR="006E7F42">
        <w:rPr>
          <w:rFonts w:cs="Arial"/>
        </w:rPr>
        <w:t xml:space="preserve"> profile</w:t>
      </w:r>
      <w:r w:rsidRPr="00170F6A">
        <w:rPr>
          <w:rFonts w:cs="Arial"/>
        </w:rPr>
        <w:t xml:space="preserve"> report is completed by</w:t>
      </w:r>
      <w:r w:rsidR="00860B3C" w:rsidRPr="00170F6A">
        <w:rPr>
          <w:rFonts w:cs="Arial"/>
        </w:rPr>
        <w:t xml:space="preserve"> c</w:t>
      </w:r>
      <w:r w:rsidR="00890BDA" w:rsidRPr="00170F6A">
        <w:rPr>
          <w:rFonts w:cs="Arial"/>
        </w:rPr>
        <w:t>omparing</w:t>
      </w:r>
      <w:r w:rsidR="00C572F9">
        <w:rPr>
          <w:rFonts w:cs="Arial"/>
        </w:rPr>
        <w:t xml:space="preserve"> </w:t>
      </w:r>
      <w:r w:rsidR="00227836">
        <w:rPr>
          <w:rFonts w:cs="Arial"/>
        </w:rPr>
        <w:t>Salary-to-Student</w:t>
      </w:r>
      <w:r w:rsidR="00AF7AEF" w:rsidRPr="00170F6A">
        <w:rPr>
          <w:rFonts w:cs="Arial"/>
        </w:rPr>
        <w:t xml:space="preserve"> enrollment</w:t>
      </w:r>
      <w:r w:rsidR="00AF3724" w:rsidRPr="00170F6A">
        <w:rPr>
          <w:rFonts w:cs="Arial"/>
        </w:rPr>
        <w:t xml:space="preserve"> to determin</w:t>
      </w:r>
      <w:r w:rsidR="003E5930" w:rsidRPr="00170F6A">
        <w:rPr>
          <w:rFonts w:cs="Arial"/>
        </w:rPr>
        <w:t xml:space="preserve">e </w:t>
      </w:r>
      <w:r w:rsidR="00696E00" w:rsidRPr="00170F6A">
        <w:rPr>
          <w:rFonts w:cs="Arial"/>
        </w:rPr>
        <w:t>a</w:t>
      </w:r>
      <w:r w:rsidR="00860B3C" w:rsidRPr="00170F6A">
        <w:rPr>
          <w:rFonts w:cs="Arial"/>
        </w:rPr>
        <w:t xml:space="preserve"> per</w:t>
      </w:r>
      <w:r w:rsidR="003E5C8D">
        <w:rPr>
          <w:rFonts w:cs="Arial"/>
        </w:rPr>
        <w:t>-</w:t>
      </w:r>
      <w:r w:rsidR="00860B3C" w:rsidRPr="00170F6A">
        <w:rPr>
          <w:rFonts w:cs="Arial"/>
        </w:rPr>
        <w:t>pupil</w:t>
      </w:r>
      <w:r w:rsidR="00FB1B60">
        <w:rPr>
          <w:rFonts w:cs="Arial"/>
        </w:rPr>
        <w:t xml:space="preserve"> allocation </w:t>
      </w:r>
      <w:r w:rsidR="007318D4" w:rsidRPr="00170F6A">
        <w:rPr>
          <w:rFonts w:cs="Arial"/>
        </w:rPr>
        <w:t>(PPA)</w:t>
      </w:r>
      <w:r w:rsidR="00043DCD" w:rsidRPr="00170F6A">
        <w:rPr>
          <w:rFonts w:cs="Arial"/>
        </w:rPr>
        <w:t xml:space="preserve"> ratio</w:t>
      </w:r>
      <w:r w:rsidR="00580C77" w:rsidRPr="00170F6A">
        <w:rPr>
          <w:rFonts w:cs="Arial"/>
        </w:rPr>
        <w:t xml:space="preserve"> at each school</w:t>
      </w:r>
      <w:r w:rsidR="00043DCD" w:rsidRPr="00170F6A">
        <w:rPr>
          <w:rFonts w:cs="Arial"/>
        </w:rPr>
        <w:t>.</w:t>
      </w:r>
      <w:r w:rsidR="00774958" w:rsidRPr="00170F6A">
        <w:rPr>
          <w:rFonts w:cs="Arial"/>
        </w:rPr>
        <w:t xml:space="preserve"> </w:t>
      </w:r>
      <w:r w:rsidR="00CE6EB3" w:rsidRPr="00170F6A">
        <w:rPr>
          <w:rFonts w:cs="Arial"/>
        </w:rPr>
        <w:t xml:space="preserve">A PSU with all Title </w:t>
      </w:r>
      <w:r w:rsidR="002F5561">
        <w:rPr>
          <w:rFonts w:cs="Arial"/>
        </w:rPr>
        <w:t>I</w:t>
      </w:r>
      <w:r w:rsidR="00CE6EB3" w:rsidRPr="00170F6A">
        <w:rPr>
          <w:rFonts w:cs="Arial"/>
        </w:rPr>
        <w:t xml:space="preserve"> </w:t>
      </w:r>
      <w:r w:rsidR="004D30FD" w:rsidRPr="00170F6A">
        <w:rPr>
          <w:rFonts w:cs="Arial"/>
        </w:rPr>
        <w:t>schools will complete</w:t>
      </w:r>
      <w:r w:rsidR="00FB1B60">
        <w:rPr>
          <w:rFonts w:cs="Arial"/>
        </w:rPr>
        <w:t xml:space="preserve"> Tab 1</w:t>
      </w:r>
      <w:r w:rsidR="004D30FD" w:rsidRPr="00170F6A">
        <w:rPr>
          <w:rFonts w:cs="Arial"/>
        </w:rPr>
        <w:t xml:space="preserve">. A PSU with Title </w:t>
      </w:r>
      <w:r w:rsidR="002F5561">
        <w:rPr>
          <w:rFonts w:cs="Arial"/>
        </w:rPr>
        <w:t>I</w:t>
      </w:r>
      <w:r w:rsidR="004D30FD" w:rsidRPr="00170F6A">
        <w:rPr>
          <w:rFonts w:cs="Arial"/>
        </w:rPr>
        <w:t xml:space="preserve"> and non-Title </w:t>
      </w:r>
      <w:r w:rsidR="002F5561">
        <w:rPr>
          <w:rFonts w:cs="Arial"/>
        </w:rPr>
        <w:t>I</w:t>
      </w:r>
      <w:r w:rsidR="004D30FD" w:rsidRPr="00170F6A">
        <w:rPr>
          <w:rFonts w:cs="Arial"/>
        </w:rPr>
        <w:t xml:space="preserve"> schools will complete </w:t>
      </w:r>
      <w:r w:rsidR="006E7F42">
        <w:rPr>
          <w:rFonts w:cs="Arial"/>
        </w:rPr>
        <w:t>Tab 1 and Tab 2</w:t>
      </w:r>
      <w:r w:rsidR="004D30FD" w:rsidRPr="00170F6A">
        <w:rPr>
          <w:rFonts w:cs="Arial"/>
        </w:rPr>
        <w:t xml:space="preserve"> </w:t>
      </w:r>
      <w:r w:rsidR="006E7F42">
        <w:rPr>
          <w:rFonts w:cs="Arial"/>
        </w:rPr>
        <w:t xml:space="preserve">for </w:t>
      </w:r>
      <w:r w:rsidR="0092138A" w:rsidRPr="00170F6A">
        <w:rPr>
          <w:rFonts w:cs="Arial"/>
        </w:rPr>
        <w:t xml:space="preserve">non-Title </w:t>
      </w:r>
      <w:r w:rsidR="002F5561">
        <w:rPr>
          <w:rFonts w:cs="Arial"/>
        </w:rPr>
        <w:t>I</w:t>
      </w:r>
      <w:r w:rsidR="0092138A" w:rsidRPr="00170F6A">
        <w:rPr>
          <w:rFonts w:cs="Arial"/>
        </w:rPr>
        <w:t xml:space="preserve"> schools</w:t>
      </w:r>
      <w:r w:rsidR="00224979" w:rsidRPr="00170F6A">
        <w:rPr>
          <w:rFonts w:cs="Arial"/>
        </w:rPr>
        <w:t xml:space="preserve"> </w:t>
      </w:r>
      <w:r w:rsidR="00224979" w:rsidRPr="00D710F4">
        <w:rPr>
          <w:rFonts w:cs="Arial"/>
        </w:rPr>
        <w:t>generating</w:t>
      </w:r>
      <w:r w:rsidR="0092138A" w:rsidRPr="00D710F4">
        <w:rPr>
          <w:rFonts w:cs="Arial"/>
          <w:b/>
          <w:bCs/>
        </w:rPr>
        <w:t xml:space="preserve"> </w:t>
      </w:r>
      <w:r w:rsidR="0092138A" w:rsidRPr="00D710F4">
        <w:rPr>
          <w:rFonts w:cs="Arial"/>
          <w:b/>
          <w:bCs/>
          <w:u w:val="single"/>
        </w:rPr>
        <w:t>one</w:t>
      </w:r>
      <w:r w:rsidR="0092138A" w:rsidRPr="00170F6A">
        <w:rPr>
          <w:rFonts w:cs="Arial"/>
        </w:rPr>
        <w:t xml:space="preserve"> report. </w:t>
      </w:r>
      <w:bookmarkEnd w:id="2"/>
    </w:p>
    <w:p w14:paraId="0B175FFE" w14:textId="77777777" w:rsidR="00996BA5" w:rsidRPr="00996BA5" w:rsidRDefault="00996BA5" w:rsidP="00BD18DE">
      <w:pPr>
        <w:rPr>
          <w:rFonts w:cs="Arial"/>
          <w:color w:val="215E99" w:themeColor="text2" w:themeTint="BF"/>
        </w:rPr>
      </w:pPr>
    </w:p>
    <w:p w14:paraId="5EDD9057" w14:textId="01859F2E" w:rsidR="00996BA5" w:rsidRPr="00445A8B" w:rsidRDefault="00996BA5" w:rsidP="00BD18DE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>Completing the Profile</w:t>
      </w:r>
    </w:p>
    <w:p w14:paraId="2B701C66" w14:textId="77777777" w:rsidR="001A4C17" w:rsidRDefault="001A4C17" w:rsidP="00BD18DE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0D1161B5" w14:textId="77777777" w:rsidR="001A4C17" w:rsidRPr="00207CFE" w:rsidRDefault="001A4C17" w:rsidP="001A4C17">
      <w:pPr>
        <w:rPr>
          <w:rFonts w:cs="Arial"/>
          <w:sz w:val="28"/>
          <w:szCs w:val="28"/>
        </w:rPr>
      </w:pPr>
      <w:r w:rsidRPr="00207CFE">
        <w:rPr>
          <w:rFonts w:cs="Arial"/>
          <w:sz w:val="28"/>
          <w:szCs w:val="28"/>
        </w:rPr>
        <w:t xml:space="preserve">Begin with </w:t>
      </w:r>
      <w:r w:rsidRPr="00207CFE">
        <w:rPr>
          <w:rFonts w:cs="Arial"/>
          <w:b/>
          <w:bCs/>
          <w:sz w:val="28"/>
          <w:szCs w:val="28"/>
        </w:rPr>
        <w:t>Tab 1</w:t>
      </w:r>
    </w:p>
    <w:p w14:paraId="2C65D99E" w14:textId="603A369D" w:rsidR="0055410A" w:rsidRPr="00170F6A" w:rsidRDefault="0055410A" w:rsidP="0055410A">
      <w:pPr>
        <w:rPr>
          <w:rFonts w:cs="Times New Roman"/>
        </w:rPr>
      </w:pPr>
    </w:p>
    <w:p w14:paraId="49E879F8" w14:textId="186318B3" w:rsidR="007E4747" w:rsidRPr="002A2319" w:rsidRDefault="0055410A" w:rsidP="002A2319">
      <w:pPr>
        <w:rPr>
          <w:rFonts w:cs="Times New Roman"/>
        </w:rPr>
      </w:pPr>
      <w:bookmarkStart w:id="3" w:name="_Hlk209094795"/>
      <w:r w:rsidRPr="002A2319">
        <w:rPr>
          <w:rFonts w:cs="Times New Roman"/>
        </w:rPr>
        <w:t xml:space="preserve">Complete all </w:t>
      </w:r>
      <w:r w:rsidRPr="002A2319">
        <w:rPr>
          <w:rFonts w:cs="Times New Roman"/>
          <w:b/>
          <w:bCs/>
        </w:rPr>
        <w:t xml:space="preserve">highlighted </w:t>
      </w:r>
      <w:r w:rsidRPr="002A2319">
        <w:rPr>
          <w:rFonts w:cs="Times New Roman"/>
        </w:rPr>
        <w:t>areas</w:t>
      </w:r>
    </w:p>
    <w:p w14:paraId="53D14D07" w14:textId="77777777" w:rsidR="0055410A" w:rsidRPr="00170F6A" w:rsidRDefault="0055410A" w:rsidP="003501B1">
      <w:pPr>
        <w:pStyle w:val="ListParagraph"/>
        <w:numPr>
          <w:ilvl w:val="0"/>
          <w:numId w:val="15"/>
        </w:numPr>
        <w:rPr>
          <w:rFonts w:cs="Times New Roman"/>
        </w:rPr>
      </w:pPr>
      <w:r w:rsidRPr="00170F6A">
        <w:rPr>
          <w:rFonts w:cs="Times New Roman"/>
        </w:rPr>
        <w:t>PSU Name</w:t>
      </w:r>
    </w:p>
    <w:p w14:paraId="1F84DA4A" w14:textId="77777777" w:rsidR="0055410A" w:rsidRPr="00170F6A" w:rsidRDefault="0055410A" w:rsidP="003501B1">
      <w:pPr>
        <w:pStyle w:val="ListParagraph"/>
        <w:numPr>
          <w:ilvl w:val="0"/>
          <w:numId w:val="15"/>
        </w:numPr>
        <w:rPr>
          <w:rFonts w:cs="Times New Roman"/>
        </w:rPr>
      </w:pPr>
      <w:r w:rsidRPr="00170F6A">
        <w:rPr>
          <w:rFonts w:cs="Times New Roman"/>
        </w:rPr>
        <w:t>PSU Number</w:t>
      </w:r>
    </w:p>
    <w:p w14:paraId="46B70D11" w14:textId="77777777" w:rsidR="0055410A" w:rsidRPr="00170F6A" w:rsidRDefault="0055410A" w:rsidP="0055410A">
      <w:pPr>
        <w:rPr>
          <w:rFonts w:cs="Times New Roman"/>
        </w:rPr>
      </w:pPr>
    </w:p>
    <w:p w14:paraId="77DC90C1" w14:textId="7E837339" w:rsidR="00EF6EDD" w:rsidRDefault="0055410A" w:rsidP="009F784E">
      <w:pPr>
        <w:rPr>
          <w:rFonts w:cs="Times New Roman"/>
          <w:b/>
          <w:bCs/>
        </w:rPr>
      </w:pPr>
      <w:r w:rsidRPr="009F784E">
        <w:rPr>
          <w:rFonts w:cs="Times New Roman"/>
        </w:rPr>
        <w:t xml:space="preserve">Complete the </w:t>
      </w:r>
      <w:r w:rsidRPr="009F784E">
        <w:rPr>
          <w:rFonts w:cs="Times New Roman"/>
          <w:b/>
          <w:bCs/>
        </w:rPr>
        <w:t>Profile for Comparison</w:t>
      </w:r>
    </w:p>
    <w:p w14:paraId="707B12C1" w14:textId="7030CDAA" w:rsidR="007E4747" w:rsidRPr="009F784E" w:rsidRDefault="002C5A78" w:rsidP="009F784E">
      <w:pPr>
        <w:rPr>
          <w:rFonts w:cs="Times New Roman"/>
        </w:rPr>
      </w:pPr>
      <w:r w:rsidRPr="009F784E">
        <w:rPr>
          <w:rFonts w:cs="Times New Roman"/>
          <w:b/>
          <w:bCs/>
        </w:rPr>
        <w:t xml:space="preserve"> </w:t>
      </w:r>
    </w:p>
    <w:p w14:paraId="0A2EB708" w14:textId="077B4598" w:rsidR="00A311A1" w:rsidRPr="00170F6A" w:rsidRDefault="00A311A1" w:rsidP="00A311A1">
      <w:pPr>
        <w:rPr>
          <w:rFonts w:cs="Times New Roman"/>
        </w:rPr>
      </w:pPr>
      <w:r w:rsidRPr="00170F6A">
        <w:rPr>
          <w:rFonts w:cs="Times New Roman"/>
        </w:rPr>
        <w:t xml:space="preserve">Use the </w:t>
      </w:r>
      <w:r w:rsidRPr="007E4747">
        <w:rPr>
          <w:rFonts w:cs="Times New Roman"/>
          <w:b/>
          <w:bCs/>
        </w:rPr>
        <w:t>drop-down</w:t>
      </w:r>
      <w:r w:rsidRPr="00170F6A">
        <w:rPr>
          <w:rFonts w:cs="Times New Roman"/>
        </w:rPr>
        <w:t xml:space="preserve"> option to select:</w:t>
      </w:r>
    </w:p>
    <w:p w14:paraId="3D305EC3" w14:textId="77777777" w:rsidR="00A311A1" w:rsidRPr="003E5C8D" w:rsidRDefault="00A311A1" w:rsidP="00A311A1">
      <w:pPr>
        <w:pStyle w:val="ListParagraph"/>
        <w:numPr>
          <w:ilvl w:val="0"/>
          <w:numId w:val="26"/>
        </w:numPr>
        <w:rPr>
          <w:rFonts w:cs="Arial"/>
          <w:b/>
          <w:bCs/>
          <w:i/>
          <w:iCs/>
        </w:rPr>
      </w:pPr>
      <w:r w:rsidRPr="003E5C8D">
        <w:rPr>
          <w:rFonts w:cs="Times New Roman"/>
        </w:rPr>
        <w:t xml:space="preserve">School Type </w:t>
      </w:r>
      <w:r w:rsidRPr="003E5C8D">
        <w:rPr>
          <w:rFonts w:cs="Arial"/>
          <w:i/>
          <w:iCs/>
        </w:rPr>
        <w:t>- Schools with unique grade span combinations should be placed in the grade span grouping with the largest number of grades in common.</w:t>
      </w:r>
    </w:p>
    <w:p w14:paraId="03B022CE" w14:textId="77777777" w:rsidR="00A311A1" w:rsidRPr="00170F6A" w:rsidRDefault="00A311A1" w:rsidP="00A311A1">
      <w:pPr>
        <w:pStyle w:val="ListParagraph"/>
        <w:numPr>
          <w:ilvl w:val="0"/>
          <w:numId w:val="7"/>
        </w:numPr>
        <w:rPr>
          <w:rFonts w:cs="Times New Roman"/>
        </w:rPr>
      </w:pPr>
      <w:r w:rsidRPr="00170F6A">
        <w:rPr>
          <w:rFonts w:cs="Times New Roman"/>
        </w:rPr>
        <w:t>Elementary</w:t>
      </w:r>
    </w:p>
    <w:p w14:paraId="1733E2A6" w14:textId="77777777" w:rsidR="00A311A1" w:rsidRPr="00170F6A" w:rsidRDefault="00A311A1" w:rsidP="00A311A1">
      <w:pPr>
        <w:pStyle w:val="ListParagraph"/>
        <w:numPr>
          <w:ilvl w:val="0"/>
          <w:numId w:val="7"/>
        </w:numPr>
        <w:rPr>
          <w:rFonts w:cs="Times New Roman"/>
        </w:rPr>
      </w:pPr>
      <w:r w:rsidRPr="00170F6A">
        <w:rPr>
          <w:rFonts w:cs="Times New Roman"/>
        </w:rPr>
        <w:t>Middle</w:t>
      </w:r>
    </w:p>
    <w:p w14:paraId="3144CBCB" w14:textId="19CF594D" w:rsidR="00A311A1" w:rsidRPr="00F34950" w:rsidRDefault="00A311A1" w:rsidP="00A311A1">
      <w:pPr>
        <w:pStyle w:val="ListParagraph"/>
        <w:numPr>
          <w:ilvl w:val="0"/>
          <w:numId w:val="7"/>
        </w:numPr>
        <w:rPr>
          <w:rFonts w:cs="Arial"/>
        </w:rPr>
      </w:pPr>
      <w:r w:rsidRPr="00170F6A">
        <w:rPr>
          <w:rFonts w:cs="Times New Roman"/>
        </w:rPr>
        <w:t>High</w:t>
      </w:r>
    </w:p>
    <w:p w14:paraId="02516423" w14:textId="77777777" w:rsidR="00F34950" w:rsidRPr="00C97CCC" w:rsidRDefault="00F34950" w:rsidP="00F34950">
      <w:pPr>
        <w:pStyle w:val="ListParagraph"/>
        <w:rPr>
          <w:rFonts w:cs="Arial"/>
        </w:rPr>
      </w:pPr>
    </w:p>
    <w:p w14:paraId="374AEF02" w14:textId="77777777" w:rsidR="00A311A1" w:rsidRPr="003E5C8D" w:rsidRDefault="00A311A1" w:rsidP="00A311A1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 xml:space="preserve">Size (Enrollment)  </w:t>
      </w:r>
    </w:p>
    <w:p w14:paraId="50BFE569" w14:textId="77777777" w:rsidR="00A311A1" w:rsidRPr="00170F6A" w:rsidRDefault="00A311A1" w:rsidP="00A311A1">
      <w:pPr>
        <w:pStyle w:val="ListParagraph"/>
        <w:numPr>
          <w:ilvl w:val="0"/>
          <w:numId w:val="9"/>
        </w:numPr>
        <w:rPr>
          <w:rFonts w:cs="Arial"/>
        </w:rPr>
      </w:pPr>
      <w:r w:rsidRPr="00170F6A">
        <w:rPr>
          <w:rFonts w:cs="Arial"/>
        </w:rPr>
        <w:t>Small (less than 450 students)</w:t>
      </w:r>
    </w:p>
    <w:p w14:paraId="6CD0C422" w14:textId="77777777" w:rsidR="00A311A1" w:rsidRPr="00170F6A" w:rsidRDefault="00A311A1" w:rsidP="00A311A1">
      <w:pPr>
        <w:pStyle w:val="ListParagraph"/>
        <w:numPr>
          <w:ilvl w:val="0"/>
          <w:numId w:val="8"/>
        </w:numPr>
        <w:rPr>
          <w:rFonts w:cs="Arial"/>
        </w:rPr>
      </w:pPr>
      <w:r w:rsidRPr="00170F6A">
        <w:rPr>
          <w:rFonts w:cs="Arial"/>
        </w:rPr>
        <w:t>Large (450 or more students)</w:t>
      </w:r>
    </w:p>
    <w:p w14:paraId="6C391CE3" w14:textId="7645B0CB" w:rsidR="00A311A1" w:rsidRPr="00C66B54" w:rsidRDefault="00A311A1" w:rsidP="00A311A1">
      <w:pPr>
        <w:pStyle w:val="ListParagraph"/>
        <w:numPr>
          <w:ilvl w:val="0"/>
          <w:numId w:val="8"/>
        </w:numPr>
        <w:rPr>
          <w:rFonts w:cs="Arial"/>
        </w:rPr>
      </w:pPr>
      <w:r w:rsidRPr="00170F6A">
        <w:rPr>
          <w:rFonts w:cs="Arial"/>
        </w:rPr>
        <w:t>Not Grouped</w:t>
      </w:r>
    </w:p>
    <w:p w14:paraId="661616D1" w14:textId="77777777" w:rsidR="00A311A1" w:rsidRPr="003E5C8D" w:rsidRDefault="00A311A1" w:rsidP="00A311A1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>Staff Type</w:t>
      </w:r>
    </w:p>
    <w:p w14:paraId="78762E8F" w14:textId="77777777" w:rsidR="00A311A1" w:rsidRPr="00170F6A" w:rsidRDefault="00A311A1" w:rsidP="00A311A1">
      <w:pPr>
        <w:pStyle w:val="ListParagraph"/>
        <w:numPr>
          <w:ilvl w:val="0"/>
          <w:numId w:val="12"/>
        </w:numPr>
        <w:rPr>
          <w:rFonts w:cs="Arial"/>
        </w:rPr>
      </w:pPr>
      <w:r w:rsidRPr="00170F6A">
        <w:rPr>
          <w:rFonts w:cs="Arial"/>
        </w:rPr>
        <w:t>Classroom Teachers</w:t>
      </w:r>
    </w:p>
    <w:p w14:paraId="68E50D99" w14:textId="77777777" w:rsidR="00A311A1" w:rsidRPr="00170F6A" w:rsidRDefault="00A311A1" w:rsidP="00A311A1">
      <w:pPr>
        <w:pStyle w:val="ListParagraph"/>
        <w:numPr>
          <w:ilvl w:val="0"/>
          <w:numId w:val="12"/>
        </w:numPr>
        <w:rPr>
          <w:rFonts w:cs="Arial"/>
        </w:rPr>
      </w:pPr>
      <w:r w:rsidRPr="00170F6A">
        <w:rPr>
          <w:rFonts w:cs="Arial"/>
        </w:rPr>
        <w:t>Instructional Staff *</w:t>
      </w:r>
      <w:r>
        <w:rPr>
          <w:rFonts w:cs="Arial"/>
        </w:rPr>
        <w:t>may include</w:t>
      </w:r>
      <w:r w:rsidRPr="00170F6A">
        <w:rPr>
          <w:rFonts w:cs="Arial"/>
        </w:rPr>
        <w:t xml:space="preserve"> classroom teachers</w:t>
      </w:r>
    </w:p>
    <w:p w14:paraId="364784EB" w14:textId="77777777" w:rsidR="00A311A1" w:rsidRPr="00170F6A" w:rsidRDefault="00A311A1" w:rsidP="00A311A1">
      <w:pPr>
        <w:rPr>
          <w:rFonts w:cs="Arial"/>
        </w:rPr>
      </w:pPr>
    </w:p>
    <w:p w14:paraId="70C2F925" w14:textId="77777777" w:rsidR="00A311A1" w:rsidRPr="003E5C8D" w:rsidRDefault="00A311A1" w:rsidP="00A311A1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lastRenderedPageBreak/>
        <w:t xml:space="preserve">Complete </w:t>
      </w:r>
      <w:r w:rsidRPr="00F22966">
        <w:rPr>
          <w:rFonts w:cs="Arial"/>
          <w:b/>
          <w:bCs/>
        </w:rPr>
        <w:t>Title I Schools – page 1</w:t>
      </w:r>
      <w:r w:rsidRPr="00F22966">
        <w:rPr>
          <w:rFonts w:cs="Arial"/>
        </w:rPr>
        <w:t xml:space="preserve"> </w:t>
      </w:r>
      <w:r>
        <w:rPr>
          <w:rFonts w:cs="Arial"/>
        </w:rPr>
        <w:t xml:space="preserve">(continuation of </w:t>
      </w:r>
      <w:r w:rsidRPr="004C0F1C">
        <w:rPr>
          <w:rFonts w:cs="Arial"/>
          <w:b/>
          <w:bCs/>
        </w:rPr>
        <w:t>Tab 1</w:t>
      </w:r>
      <w:r>
        <w:rPr>
          <w:rFonts w:cs="Arial"/>
        </w:rPr>
        <w:t>)</w:t>
      </w:r>
    </w:p>
    <w:p w14:paraId="02DCEF1D" w14:textId="77777777" w:rsidR="00A311A1" w:rsidRPr="00170F6A" w:rsidRDefault="00A311A1" w:rsidP="00A311A1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 xml:space="preserve">Enter each Title </w:t>
      </w:r>
      <w:r>
        <w:rPr>
          <w:rFonts w:cs="Arial"/>
        </w:rPr>
        <w:t>I</w:t>
      </w:r>
      <w:r w:rsidRPr="00170F6A">
        <w:rPr>
          <w:rFonts w:cs="Arial"/>
        </w:rPr>
        <w:t xml:space="preserve"> School Name</w:t>
      </w:r>
    </w:p>
    <w:p w14:paraId="70CDE9F3" w14:textId="77777777" w:rsidR="00A311A1" w:rsidRPr="00170F6A" w:rsidRDefault="00A311A1" w:rsidP="00A311A1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>Identify Grade Span</w:t>
      </w:r>
    </w:p>
    <w:p w14:paraId="2694F4E2" w14:textId="77777777" w:rsidR="00A311A1" w:rsidRPr="00170F6A" w:rsidRDefault="00A311A1" w:rsidP="00A311A1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>Provide Enrollment Number</w:t>
      </w:r>
    </w:p>
    <w:p w14:paraId="3B835858" w14:textId="441520EB" w:rsidR="00A311A1" w:rsidRPr="00170F6A" w:rsidRDefault="00A311A1" w:rsidP="00A311A1">
      <w:pPr>
        <w:pStyle w:val="ListParagraph"/>
        <w:numPr>
          <w:ilvl w:val="0"/>
          <w:numId w:val="6"/>
        </w:numPr>
        <w:rPr>
          <w:rFonts w:cs="Arial"/>
        </w:rPr>
      </w:pPr>
      <w:r w:rsidRPr="00170F6A">
        <w:rPr>
          <w:rFonts w:cs="Arial"/>
        </w:rPr>
        <w:t xml:space="preserve">Complete the </w:t>
      </w:r>
      <w:r w:rsidR="00BA7243">
        <w:rPr>
          <w:rFonts w:cs="Arial"/>
        </w:rPr>
        <w:t xml:space="preserve">Base Salary </w:t>
      </w:r>
      <w:r w:rsidRPr="00170F6A">
        <w:rPr>
          <w:rFonts w:cs="Arial"/>
        </w:rPr>
        <w:t>Total</w:t>
      </w:r>
    </w:p>
    <w:p w14:paraId="38E1046E" w14:textId="77777777" w:rsidR="00A311A1" w:rsidRPr="00170F6A" w:rsidRDefault="00A311A1" w:rsidP="00A311A1">
      <w:pPr>
        <w:rPr>
          <w:rFonts w:cs="Arial"/>
        </w:rPr>
      </w:pPr>
    </w:p>
    <w:p w14:paraId="2B73CF59" w14:textId="77777777" w:rsidR="00A311A1" w:rsidRPr="003E5C8D" w:rsidRDefault="00A311A1" w:rsidP="00A311A1">
      <w:pPr>
        <w:pStyle w:val="ListParagraph"/>
        <w:numPr>
          <w:ilvl w:val="0"/>
          <w:numId w:val="26"/>
        </w:numPr>
        <w:rPr>
          <w:rFonts w:cs="Arial"/>
        </w:rPr>
      </w:pPr>
      <w:r w:rsidRPr="003E5C8D">
        <w:rPr>
          <w:rFonts w:cs="Arial"/>
        </w:rPr>
        <w:t xml:space="preserve">For comparing Title </w:t>
      </w:r>
      <w:r>
        <w:rPr>
          <w:rFonts w:cs="Arial"/>
        </w:rPr>
        <w:t>I</w:t>
      </w:r>
      <w:r w:rsidRPr="003E5C8D">
        <w:rPr>
          <w:rFonts w:cs="Arial"/>
        </w:rPr>
        <w:t xml:space="preserve"> to non-Title </w:t>
      </w:r>
      <w:r>
        <w:rPr>
          <w:rFonts w:cs="Arial"/>
        </w:rPr>
        <w:t>I</w:t>
      </w:r>
      <w:r w:rsidRPr="003E5C8D">
        <w:rPr>
          <w:rFonts w:cs="Arial"/>
        </w:rPr>
        <w:t xml:space="preserve"> Schools click </w:t>
      </w:r>
      <w:r w:rsidRPr="004C0F1C">
        <w:rPr>
          <w:rFonts w:cs="Arial"/>
          <w:b/>
          <w:bCs/>
        </w:rPr>
        <w:t>Tab 2</w:t>
      </w:r>
      <w:r>
        <w:rPr>
          <w:rFonts w:cs="Arial"/>
        </w:rPr>
        <w:t xml:space="preserve"> </w:t>
      </w:r>
      <w:r w:rsidRPr="00CA1464">
        <w:rPr>
          <w:rFonts w:cs="Arial"/>
          <w:b/>
          <w:bCs/>
        </w:rPr>
        <w:t>Non-Title I Schools – page 1</w:t>
      </w:r>
    </w:p>
    <w:p w14:paraId="14E64594" w14:textId="77777777" w:rsidR="00A311A1" w:rsidRPr="00170F6A" w:rsidRDefault="00A311A1" w:rsidP="00A311A1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 xml:space="preserve">Enter the name of each non-Title </w:t>
      </w:r>
      <w:r>
        <w:rPr>
          <w:rFonts w:cs="Arial"/>
        </w:rPr>
        <w:t>I</w:t>
      </w:r>
      <w:r w:rsidRPr="00170F6A">
        <w:rPr>
          <w:rFonts w:cs="Arial"/>
        </w:rPr>
        <w:t xml:space="preserve"> School </w:t>
      </w:r>
    </w:p>
    <w:p w14:paraId="6107F3BD" w14:textId="77777777" w:rsidR="00A311A1" w:rsidRPr="00170F6A" w:rsidRDefault="00A311A1" w:rsidP="00A311A1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>Identify the Grade Span</w:t>
      </w:r>
    </w:p>
    <w:p w14:paraId="091E839D" w14:textId="77777777" w:rsidR="00A311A1" w:rsidRPr="00170F6A" w:rsidRDefault="00A311A1" w:rsidP="00A311A1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>Provide Enrollment Number</w:t>
      </w:r>
    </w:p>
    <w:p w14:paraId="72ABCB5D" w14:textId="3F669885" w:rsidR="00A311A1" w:rsidRPr="00170F6A" w:rsidRDefault="00A311A1" w:rsidP="00A311A1">
      <w:pPr>
        <w:pStyle w:val="ListParagraph"/>
        <w:numPr>
          <w:ilvl w:val="0"/>
          <w:numId w:val="10"/>
        </w:numPr>
        <w:rPr>
          <w:rFonts w:cs="Arial"/>
        </w:rPr>
      </w:pPr>
      <w:r w:rsidRPr="00170F6A">
        <w:rPr>
          <w:rFonts w:cs="Arial"/>
        </w:rPr>
        <w:t xml:space="preserve">Complete the </w:t>
      </w:r>
      <w:r w:rsidR="00BA7243">
        <w:rPr>
          <w:rFonts w:cs="Arial"/>
        </w:rPr>
        <w:t>Base Salary</w:t>
      </w:r>
      <w:r w:rsidRPr="00170F6A">
        <w:rPr>
          <w:rFonts w:cs="Arial"/>
        </w:rPr>
        <w:t xml:space="preserve"> Total</w:t>
      </w:r>
    </w:p>
    <w:p w14:paraId="439B1DB4" w14:textId="77777777" w:rsidR="00FE112C" w:rsidRPr="00170F6A" w:rsidRDefault="00FE112C" w:rsidP="00FE112C">
      <w:pPr>
        <w:rPr>
          <w:rFonts w:cs="Arial"/>
        </w:rPr>
      </w:pPr>
    </w:p>
    <w:p w14:paraId="69498975" w14:textId="42A1A46E" w:rsidR="00787EBE" w:rsidRDefault="00FE112C" w:rsidP="00AB6479">
      <w:pPr>
        <w:rPr>
          <w:rFonts w:cs="Arial"/>
          <w:b/>
          <w:bCs/>
          <w:i/>
          <w:iCs/>
        </w:rPr>
      </w:pPr>
      <w:r w:rsidRPr="002D433C">
        <w:rPr>
          <w:rFonts w:cs="Arial"/>
          <w:b/>
          <w:bCs/>
          <w:i/>
          <w:iCs/>
        </w:rPr>
        <w:t>Note: The Salary</w:t>
      </w:r>
      <w:r w:rsidR="00BA7243">
        <w:rPr>
          <w:rFonts w:cs="Arial"/>
          <w:b/>
          <w:bCs/>
          <w:i/>
          <w:iCs/>
        </w:rPr>
        <w:t>-to</w:t>
      </w:r>
      <w:r w:rsidR="00787EBE">
        <w:rPr>
          <w:rFonts w:cs="Arial"/>
          <w:b/>
          <w:bCs/>
          <w:i/>
          <w:iCs/>
        </w:rPr>
        <w:t>-</w:t>
      </w:r>
      <w:r w:rsidRPr="002D433C">
        <w:rPr>
          <w:rFonts w:cs="Arial"/>
          <w:b/>
          <w:bCs/>
          <w:i/>
          <w:iCs/>
        </w:rPr>
        <w:t xml:space="preserve">Student Ratio will automatically calculate. Return to the Title </w:t>
      </w:r>
      <w:r w:rsidR="002F5561">
        <w:rPr>
          <w:rFonts w:cs="Arial"/>
          <w:b/>
          <w:bCs/>
          <w:i/>
          <w:iCs/>
        </w:rPr>
        <w:t>I</w:t>
      </w:r>
      <w:r w:rsidRPr="002D433C">
        <w:rPr>
          <w:rFonts w:cs="Arial"/>
          <w:b/>
          <w:bCs/>
          <w:i/>
          <w:iCs/>
        </w:rPr>
        <w:t xml:space="preserve"> Schools tab for comparability results. </w:t>
      </w:r>
    </w:p>
    <w:p w14:paraId="24AADFF8" w14:textId="77777777" w:rsidR="00787EBE" w:rsidRDefault="00787EBE" w:rsidP="00AB6479">
      <w:pPr>
        <w:rPr>
          <w:rFonts w:cs="Arial"/>
          <w:b/>
          <w:bCs/>
          <w:i/>
          <w:iCs/>
        </w:rPr>
      </w:pPr>
    </w:p>
    <w:p w14:paraId="24E18501" w14:textId="452B2EB0" w:rsidR="009C0D53" w:rsidRPr="002D433C" w:rsidRDefault="00FE112C" w:rsidP="00AB6479">
      <w:pPr>
        <w:rPr>
          <w:rFonts w:cs="Arial"/>
          <w:b/>
          <w:bCs/>
          <w:i/>
          <w:iCs/>
        </w:rPr>
      </w:pPr>
      <w:r w:rsidRPr="00787EBE">
        <w:rPr>
          <w:rFonts w:cs="Arial"/>
          <w:b/>
          <w:bCs/>
          <w:i/>
          <w:iCs/>
          <w:color w:val="00B050"/>
        </w:rPr>
        <w:t>Green</w:t>
      </w:r>
      <w:r w:rsidRPr="002D433C">
        <w:rPr>
          <w:rFonts w:cs="Arial"/>
          <w:b/>
          <w:bCs/>
          <w:i/>
          <w:iCs/>
        </w:rPr>
        <w:t xml:space="preserve"> will demonstrate Comparability. </w:t>
      </w:r>
      <w:r w:rsidRPr="00787EBE">
        <w:rPr>
          <w:rFonts w:cs="Arial"/>
          <w:b/>
          <w:bCs/>
          <w:i/>
          <w:iCs/>
          <w:color w:val="EE0000"/>
        </w:rPr>
        <w:t xml:space="preserve">Red </w:t>
      </w:r>
      <w:r w:rsidRPr="002D433C">
        <w:rPr>
          <w:rFonts w:cs="Arial"/>
          <w:b/>
          <w:bCs/>
          <w:i/>
          <w:iCs/>
        </w:rPr>
        <w:t>will indicate</w:t>
      </w:r>
      <w:r w:rsidR="006E5968" w:rsidRPr="002D433C">
        <w:rPr>
          <w:rFonts w:cs="Arial"/>
          <w:b/>
          <w:bCs/>
          <w:i/>
          <w:iCs/>
        </w:rPr>
        <w:t xml:space="preserve"> non-comparable schools.</w:t>
      </w:r>
    </w:p>
    <w:bookmarkEnd w:id="3"/>
    <w:p w14:paraId="3F6524E6" w14:textId="77777777" w:rsidR="00B97D94" w:rsidRPr="002D433C" w:rsidRDefault="00B97D94" w:rsidP="00AF53F3">
      <w:pPr>
        <w:rPr>
          <w:rFonts w:cs="Arial"/>
          <w:b/>
          <w:bCs/>
        </w:rPr>
      </w:pPr>
    </w:p>
    <w:p w14:paraId="5CFA74D3" w14:textId="7DCEF820" w:rsidR="002C5BF3" w:rsidRPr="00445A8B" w:rsidRDefault="00AC50BF" w:rsidP="00AF53F3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>PSU Final Review</w:t>
      </w:r>
    </w:p>
    <w:p w14:paraId="2E3931FA" w14:textId="77777777" w:rsidR="00AC50BF" w:rsidRPr="00170F6A" w:rsidRDefault="00AC50BF" w:rsidP="00AF53F3">
      <w:pPr>
        <w:rPr>
          <w:rFonts w:cs="Arial"/>
          <w:b/>
          <w:bCs/>
        </w:rPr>
      </w:pPr>
    </w:p>
    <w:p w14:paraId="6D0708CC" w14:textId="370D6946" w:rsidR="00C25F49" w:rsidRPr="00170F6A" w:rsidRDefault="002C5BF3" w:rsidP="00BD18DE">
      <w:pPr>
        <w:rPr>
          <w:rFonts w:cs="Arial"/>
          <w:i/>
          <w:iCs/>
        </w:rPr>
      </w:pPr>
      <w:r w:rsidRPr="00170F6A">
        <w:rPr>
          <w:rFonts w:cs="Arial"/>
        </w:rPr>
        <w:t>Prior to submission</w:t>
      </w:r>
      <w:r w:rsidR="000D6FA3">
        <w:rPr>
          <w:rFonts w:cs="Arial"/>
        </w:rPr>
        <w:t xml:space="preserve">, </w:t>
      </w:r>
      <w:r w:rsidRPr="00170F6A">
        <w:rPr>
          <w:rFonts w:cs="Arial"/>
        </w:rPr>
        <w:t xml:space="preserve">review </w:t>
      </w:r>
      <w:r w:rsidR="00BD18DE" w:rsidRPr="00170F6A">
        <w:rPr>
          <w:rFonts w:cs="Arial"/>
        </w:rPr>
        <w:t xml:space="preserve">all information for accuracy. </w:t>
      </w:r>
    </w:p>
    <w:p w14:paraId="6DD48B39" w14:textId="77777777" w:rsidR="00E631C9" w:rsidRPr="00170F6A" w:rsidRDefault="00E631C9" w:rsidP="00AF53F3">
      <w:pPr>
        <w:rPr>
          <w:rFonts w:cs="Arial"/>
          <w:i/>
          <w:iCs/>
        </w:rPr>
      </w:pPr>
    </w:p>
    <w:p w14:paraId="7B41F7F7" w14:textId="2ECAD23A" w:rsidR="00E631C9" w:rsidRPr="00445A8B" w:rsidRDefault="00E631C9" w:rsidP="00AF53F3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>Report Submission</w:t>
      </w:r>
    </w:p>
    <w:p w14:paraId="37C0A61D" w14:textId="77777777" w:rsidR="00DB6668" w:rsidRPr="006E5968" w:rsidRDefault="00DB6668" w:rsidP="00AF53F3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56D73CE1" w14:textId="1353CC8F" w:rsidR="00E631C9" w:rsidRDefault="00E631C9" w:rsidP="00AF53F3">
      <w:pPr>
        <w:rPr>
          <w:rFonts w:cs="Arial"/>
        </w:rPr>
      </w:pPr>
      <w:r w:rsidRPr="00170F6A">
        <w:rPr>
          <w:rFonts w:cs="Arial"/>
        </w:rPr>
        <w:t>Comparability will be submitted in</w:t>
      </w:r>
      <w:r w:rsidR="005D69BF" w:rsidRPr="00170F6A">
        <w:rPr>
          <w:rFonts w:cs="Arial"/>
        </w:rPr>
        <w:t xml:space="preserve"> the </w:t>
      </w:r>
      <w:r w:rsidRPr="00170F6A">
        <w:rPr>
          <w:rFonts w:cs="Arial"/>
        </w:rPr>
        <w:t xml:space="preserve">CCIP </w:t>
      </w:r>
      <w:r w:rsidR="005D69BF" w:rsidRPr="00170F6A">
        <w:rPr>
          <w:rFonts w:cs="Arial"/>
        </w:rPr>
        <w:t xml:space="preserve">History Log. </w:t>
      </w:r>
      <w:r w:rsidRPr="00170F6A">
        <w:rPr>
          <w:rFonts w:cs="Arial"/>
        </w:rPr>
        <w:t xml:space="preserve">To complete submission, follow the </w:t>
      </w:r>
      <w:r w:rsidR="00534F7A" w:rsidRPr="00170F6A">
        <w:rPr>
          <w:rFonts w:cs="Arial"/>
        </w:rPr>
        <w:t>instructions</w:t>
      </w:r>
      <w:r w:rsidRPr="00170F6A">
        <w:rPr>
          <w:rFonts w:cs="Arial"/>
        </w:rPr>
        <w:t xml:space="preserve"> provided. </w:t>
      </w:r>
    </w:p>
    <w:p w14:paraId="5574B8A1" w14:textId="77777777" w:rsidR="00DB6668" w:rsidRPr="00170F6A" w:rsidRDefault="00DB6668" w:rsidP="00AF53F3">
      <w:pPr>
        <w:rPr>
          <w:rFonts w:cs="Arial"/>
        </w:rPr>
      </w:pPr>
    </w:p>
    <w:p w14:paraId="4C428EDA" w14:textId="0E1FD083" w:rsidR="0020616D" w:rsidRPr="002D433C" w:rsidRDefault="0020616D" w:rsidP="002D433C">
      <w:pPr>
        <w:pStyle w:val="ListParagraph"/>
        <w:numPr>
          <w:ilvl w:val="0"/>
          <w:numId w:val="30"/>
        </w:numPr>
        <w:rPr>
          <w:rFonts w:cs="Arial"/>
        </w:rPr>
      </w:pPr>
      <w:r w:rsidRPr="002D433C">
        <w:rPr>
          <w:rFonts w:cs="Arial"/>
        </w:rPr>
        <w:t xml:space="preserve">Download and print </w:t>
      </w:r>
      <w:r w:rsidR="00BD18DE" w:rsidRPr="002D433C">
        <w:rPr>
          <w:rFonts w:cs="Arial"/>
        </w:rPr>
        <w:t>all completed profile reports</w:t>
      </w:r>
      <w:r w:rsidR="005D69BF" w:rsidRPr="002D433C">
        <w:rPr>
          <w:rFonts w:cs="Arial"/>
        </w:rPr>
        <w:t xml:space="preserve"> as one document.</w:t>
      </w:r>
    </w:p>
    <w:p w14:paraId="5E68D133" w14:textId="77777777" w:rsidR="0020616D" w:rsidRPr="00170F6A" w:rsidRDefault="0020616D" w:rsidP="00AF53F3">
      <w:pPr>
        <w:rPr>
          <w:rFonts w:cs="Arial"/>
        </w:rPr>
      </w:pPr>
    </w:p>
    <w:p w14:paraId="559C2073" w14:textId="7A290920" w:rsidR="00DB6668" w:rsidRPr="002D433C" w:rsidRDefault="00FF31CF" w:rsidP="002D433C">
      <w:pPr>
        <w:pStyle w:val="ListParagraph"/>
        <w:numPr>
          <w:ilvl w:val="0"/>
          <w:numId w:val="30"/>
        </w:numPr>
        <w:rPr>
          <w:rFonts w:cs="Arial"/>
        </w:rPr>
      </w:pPr>
      <w:r w:rsidRPr="002D433C">
        <w:rPr>
          <w:rFonts w:cs="Arial"/>
        </w:rPr>
        <w:t>Secure the printed name, wet signature, and date of the superintendent or design</w:t>
      </w:r>
      <w:r w:rsidR="00BD18DE" w:rsidRPr="002D433C">
        <w:rPr>
          <w:rFonts w:cs="Arial"/>
        </w:rPr>
        <w:t>ee.</w:t>
      </w:r>
    </w:p>
    <w:p w14:paraId="4B44F374" w14:textId="77777777" w:rsidR="00DB6668" w:rsidRDefault="00DB6668" w:rsidP="00DB6668">
      <w:pPr>
        <w:rPr>
          <w:rFonts w:cs="Arial"/>
        </w:rPr>
      </w:pPr>
    </w:p>
    <w:p w14:paraId="762E85E3" w14:textId="2F0106B6" w:rsidR="0020616D" w:rsidRPr="002D433C" w:rsidRDefault="005B4748" w:rsidP="002D433C">
      <w:pPr>
        <w:pStyle w:val="ListParagraph"/>
        <w:numPr>
          <w:ilvl w:val="0"/>
          <w:numId w:val="30"/>
        </w:numPr>
        <w:rPr>
          <w:rFonts w:cs="Arial"/>
        </w:rPr>
      </w:pPr>
      <w:r w:rsidRPr="002D433C">
        <w:rPr>
          <w:rFonts w:cs="Arial"/>
        </w:rPr>
        <w:t xml:space="preserve">Scan </w:t>
      </w:r>
      <w:r w:rsidR="0020616D" w:rsidRPr="002D433C">
        <w:rPr>
          <w:rFonts w:cs="Arial"/>
        </w:rPr>
        <w:t>only the</w:t>
      </w:r>
      <w:r w:rsidRPr="002D433C">
        <w:rPr>
          <w:rFonts w:cs="Arial"/>
        </w:rPr>
        <w:t xml:space="preserve"> completed</w:t>
      </w:r>
      <w:r w:rsidR="0020616D" w:rsidRPr="002D433C">
        <w:rPr>
          <w:rFonts w:cs="Arial"/>
        </w:rPr>
        <w:t xml:space="preserve"> document</w:t>
      </w:r>
      <w:r w:rsidR="004A71D1" w:rsidRPr="002D433C">
        <w:rPr>
          <w:rFonts w:cs="Arial"/>
        </w:rPr>
        <w:t xml:space="preserve">s </w:t>
      </w:r>
      <w:r w:rsidRPr="002D433C">
        <w:rPr>
          <w:rFonts w:cs="Arial"/>
        </w:rPr>
        <w:t xml:space="preserve">as </w:t>
      </w:r>
      <w:r w:rsidRPr="002D433C">
        <w:rPr>
          <w:rFonts w:cs="Arial"/>
          <w:b/>
          <w:bCs/>
        </w:rPr>
        <w:t>one</w:t>
      </w:r>
      <w:r w:rsidRPr="002D433C">
        <w:rPr>
          <w:rFonts w:cs="Arial"/>
        </w:rPr>
        <w:t xml:space="preserve"> document </w:t>
      </w:r>
      <w:r w:rsidR="004A6CAA" w:rsidRPr="002D433C">
        <w:rPr>
          <w:rFonts w:cs="Arial"/>
        </w:rPr>
        <w:t>to</w:t>
      </w:r>
      <w:r w:rsidRPr="002D433C">
        <w:rPr>
          <w:rFonts w:cs="Arial"/>
        </w:rPr>
        <w:t xml:space="preserve"> upload. </w:t>
      </w:r>
    </w:p>
    <w:p w14:paraId="5862C5D7" w14:textId="77777777" w:rsidR="00790F2F" w:rsidRPr="00170F6A" w:rsidRDefault="00790F2F" w:rsidP="00AF53F3">
      <w:pPr>
        <w:rPr>
          <w:rFonts w:cs="Arial"/>
        </w:rPr>
      </w:pPr>
    </w:p>
    <w:p w14:paraId="7C969450" w14:textId="70275AA5" w:rsidR="006A31A7" w:rsidRPr="00842EEF" w:rsidRDefault="0020616D" w:rsidP="00842EEF">
      <w:pPr>
        <w:pStyle w:val="ListParagraph"/>
        <w:numPr>
          <w:ilvl w:val="0"/>
          <w:numId w:val="30"/>
        </w:numPr>
        <w:rPr>
          <w:rFonts w:cs="Arial"/>
        </w:rPr>
      </w:pPr>
      <w:r w:rsidRPr="002D433C">
        <w:rPr>
          <w:rFonts w:cs="Arial"/>
        </w:rPr>
        <w:t>Sign into CCIP</w:t>
      </w:r>
      <w:r w:rsidR="00FD7B60">
        <w:rPr>
          <w:rFonts w:cs="Arial"/>
        </w:rPr>
        <w:t xml:space="preserve"> – </w:t>
      </w:r>
      <w:r w:rsidR="00FD7B60" w:rsidRPr="00842EEF">
        <w:rPr>
          <w:rFonts w:cs="Arial"/>
          <w:b/>
          <w:bCs/>
        </w:rPr>
        <w:t>FY 2026</w:t>
      </w:r>
      <w:r w:rsidR="00842EEF">
        <w:rPr>
          <w:rFonts w:cs="Arial"/>
        </w:rPr>
        <w:t xml:space="preserve"> –</w:t>
      </w:r>
      <w:r w:rsidR="00790F2F" w:rsidRPr="00842EEF">
        <w:rPr>
          <w:rFonts w:cs="Arial"/>
        </w:rPr>
        <w:t xml:space="preserve"> and complete the following steps:</w:t>
      </w:r>
    </w:p>
    <w:p w14:paraId="4DDE4552" w14:textId="69046BDD" w:rsidR="006A31A7" w:rsidRPr="00DB6668" w:rsidRDefault="006A31A7" w:rsidP="00FD7B60">
      <w:pPr>
        <w:pStyle w:val="ListParagraph"/>
        <w:rPr>
          <w:rFonts w:cs="Arial"/>
        </w:rPr>
      </w:pPr>
    </w:p>
    <w:p w14:paraId="627B103D" w14:textId="2886AD16" w:rsidR="00BB0B65" w:rsidRPr="00DB6668" w:rsidRDefault="0020616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>Funding Applications</w:t>
      </w:r>
    </w:p>
    <w:p w14:paraId="75DFE220" w14:textId="190F7EFD" w:rsidR="00BB0B65" w:rsidRPr="00DB6668" w:rsidRDefault="0020616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>FP Consolidated</w:t>
      </w:r>
      <w:r w:rsidR="004A71D1" w:rsidRPr="00DB6668">
        <w:rPr>
          <w:rFonts w:cs="Arial"/>
        </w:rPr>
        <w:t xml:space="preserve"> (Title </w:t>
      </w:r>
      <w:r w:rsidR="00823109">
        <w:rPr>
          <w:rFonts w:cs="Arial"/>
        </w:rPr>
        <w:t>I)</w:t>
      </w:r>
    </w:p>
    <w:p w14:paraId="540BACF9" w14:textId="2EB0D1CC" w:rsidR="0020616D" w:rsidRPr="00DB6668" w:rsidRDefault="0020616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>Sections</w:t>
      </w:r>
      <w:r w:rsidR="00BB0B65" w:rsidRPr="00DB6668">
        <w:rPr>
          <w:rFonts w:cs="Arial"/>
        </w:rPr>
        <w:t xml:space="preserve"> - </w:t>
      </w:r>
      <w:r w:rsidRPr="00DB6668">
        <w:rPr>
          <w:rFonts w:cs="Arial"/>
        </w:rPr>
        <w:t>History Log</w:t>
      </w:r>
      <w:r w:rsidR="00BB0B65" w:rsidRPr="00DB6668">
        <w:rPr>
          <w:rFonts w:cs="Arial"/>
        </w:rPr>
        <w:t xml:space="preserve"> -</w:t>
      </w:r>
      <w:r w:rsidR="004A71D1" w:rsidRPr="00DB6668">
        <w:rPr>
          <w:rFonts w:cs="Arial"/>
        </w:rPr>
        <w:t xml:space="preserve"> </w:t>
      </w:r>
      <w:r w:rsidRPr="00DB6668">
        <w:rPr>
          <w:rFonts w:cs="Arial"/>
        </w:rPr>
        <w:t>Create Comment</w:t>
      </w:r>
    </w:p>
    <w:p w14:paraId="4DD8D12D" w14:textId="2F920820" w:rsidR="002466BD" w:rsidRPr="00DB6668" w:rsidRDefault="002466B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>Create a comment</w:t>
      </w:r>
    </w:p>
    <w:p w14:paraId="58886254" w14:textId="610817D6" w:rsidR="005B4748" w:rsidRPr="00DB6668" w:rsidRDefault="007167E3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 xml:space="preserve">Scroll down to Attachment, Select Attachment and </w:t>
      </w:r>
      <w:r w:rsidR="005B4748" w:rsidRPr="00DB6668">
        <w:rPr>
          <w:rFonts w:cs="Arial"/>
        </w:rPr>
        <w:t>Upload Report</w:t>
      </w:r>
    </w:p>
    <w:p w14:paraId="440DD624" w14:textId="7254426C" w:rsidR="002466BD" w:rsidRPr="00DB6668" w:rsidRDefault="002466B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>Scroll to the bottom of the Create Comment Page</w:t>
      </w:r>
    </w:p>
    <w:p w14:paraId="666E44CC" w14:textId="49CCE23B" w:rsidR="002466BD" w:rsidRPr="00DB6668" w:rsidRDefault="007167E3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 xml:space="preserve">Check Send </w:t>
      </w:r>
      <w:r w:rsidR="002466BD" w:rsidRPr="00DB6668">
        <w:rPr>
          <w:rFonts w:cs="Arial"/>
        </w:rPr>
        <w:t xml:space="preserve">Email </w:t>
      </w:r>
      <w:r w:rsidRPr="00DB6668">
        <w:rPr>
          <w:rFonts w:cs="Arial"/>
        </w:rPr>
        <w:t xml:space="preserve">to </w:t>
      </w:r>
      <w:r w:rsidR="005B4748" w:rsidRPr="00DB6668">
        <w:rPr>
          <w:rFonts w:cs="Arial"/>
        </w:rPr>
        <w:t>North Carolina</w:t>
      </w:r>
      <w:r w:rsidRPr="00DB6668">
        <w:rPr>
          <w:rFonts w:cs="Arial"/>
        </w:rPr>
        <w:t xml:space="preserve"> Contacts</w:t>
      </w:r>
    </w:p>
    <w:p w14:paraId="7B1E2D38" w14:textId="598930DC" w:rsidR="002466BD" w:rsidRPr="00DB6668" w:rsidRDefault="00D6646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t>Click Judi Godfrey and Dr. Sue Hatley</w:t>
      </w:r>
    </w:p>
    <w:p w14:paraId="5EF7AC4A" w14:textId="67D03834" w:rsidR="0020616D" w:rsidRPr="00DB6668" w:rsidRDefault="00D6646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B6668">
        <w:rPr>
          <w:rFonts w:cs="Arial"/>
        </w:rPr>
        <w:lastRenderedPageBreak/>
        <w:t>Save and Go</w:t>
      </w:r>
    </w:p>
    <w:p w14:paraId="47F717D5" w14:textId="104E6E13" w:rsidR="00D6646D" w:rsidRPr="00DB6668" w:rsidRDefault="00D6646D" w:rsidP="00DB6668">
      <w:pPr>
        <w:pStyle w:val="ListParagraph"/>
        <w:numPr>
          <w:ilvl w:val="0"/>
          <w:numId w:val="24"/>
        </w:numPr>
        <w:rPr>
          <w:rFonts w:cs="Arial"/>
        </w:rPr>
      </w:pPr>
      <w:r w:rsidRPr="00D710F4">
        <w:rPr>
          <w:rFonts w:cs="Arial"/>
          <w:u w:val="single"/>
        </w:rPr>
        <w:t>Do not</w:t>
      </w:r>
      <w:r w:rsidRPr="00DB6668">
        <w:rPr>
          <w:rFonts w:cs="Arial"/>
        </w:rPr>
        <w:t xml:space="preserve"> Change Status on the Sections page</w:t>
      </w:r>
    </w:p>
    <w:p w14:paraId="25FCD1D4" w14:textId="031C3AA6" w:rsidR="00E2128C" w:rsidRPr="00170F6A" w:rsidRDefault="00E2128C" w:rsidP="00AF53F3">
      <w:pPr>
        <w:rPr>
          <w:rFonts w:cs="Arial"/>
          <w:b/>
          <w:bCs/>
        </w:rPr>
      </w:pPr>
    </w:p>
    <w:p w14:paraId="73439019" w14:textId="48AC5CDA" w:rsidR="006C0B8E" w:rsidRPr="00170F6A" w:rsidRDefault="006C0B8E" w:rsidP="00AF53F3">
      <w:pPr>
        <w:pStyle w:val="ListParagrap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945" w:rsidRPr="00170F6A" w14:paraId="1BD0D68F" w14:textId="77777777" w:rsidTr="00C61945">
        <w:tc>
          <w:tcPr>
            <w:tcW w:w="9350" w:type="dxa"/>
            <w:shd w:val="clear" w:color="auto" w:fill="DAE9F7" w:themeFill="text2" w:themeFillTint="1A"/>
          </w:tcPr>
          <w:p w14:paraId="038CD255" w14:textId="32FDCA87" w:rsidR="00C61945" w:rsidRPr="002D433C" w:rsidRDefault="00C61945" w:rsidP="00AF53F3">
            <w:pPr>
              <w:rPr>
                <w:rFonts w:cs="Arial"/>
                <w:b/>
                <w:bCs/>
                <w:i/>
                <w:iCs/>
              </w:rPr>
            </w:pPr>
            <w:r w:rsidRPr="002D433C">
              <w:rPr>
                <w:rFonts w:cs="Arial"/>
                <w:b/>
                <w:bCs/>
                <w:i/>
                <w:iCs/>
              </w:rPr>
              <w:t xml:space="preserve">Helpful </w:t>
            </w:r>
            <w:r w:rsidR="009125ED" w:rsidRPr="002D433C">
              <w:rPr>
                <w:rFonts w:cs="Arial"/>
                <w:b/>
                <w:bCs/>
                <w:i/>
                <w:iCs/>
              </w:rPr>
              <w:t>Tips</w:t>
            </w:r>
            <w:r w:rsidRPr="002D433C">
              <w:rPr>
                <w:rFonts w:cs="Arial"/>
                <w:b/>
                <w:bCs/>
                <w:i/>
                <w:iCs/>
              </w:rPr>
              <w:t xml:space="preserve"> </w:t>
            </w:r>
          </w:p>
          <w:p w14:paraId="58BA91C9" w14:textId="77777777" w:rsidR="005C07A2" w:rsidRPr="00170F6A" w:rsidRDefault="005C07A2" w:rsidP="00AF53F3">
            <w:pPr>
              <w:rPr>
                <w:rFonts w:cs="Arial"/>
                <w:i/>
                <w:iCs/>
              </w:rPr>
            </w:pPr>
          </w:p>
          <w:p w14:paraId="5976A18D" w14:textId="557556AB" w:rsidR="00C61945" w:rsidRPr="00170F6A" w:rsidRDefault="005C07A2" w:rsidP="00AF53F3">
            <w:pPr>
              <w:rPr>
                <w:rFonts w:cs="Arial"/>
              </w:rPr>
            </w:pPr>
            <w:r w:rsidRPr="00170F6A">
              <w:rPr>
                <w:rFonts w:cs="Arial"/>
              </w:rPr>
              <w:t xml:space="preserve">Do not send information as a shared drive, access link, or illegible scan. </w:t>
            </w:r>
          </w:p>
          <w:p w14:paraId="1292009A" w14:textId="77777777" w:rsidR="00D6646D" w:rsidRPr="00170F6A" w:rsidRDefault="00D6646D" w:rsidP="00AF53F3">
            <w:pPr>
              <w:rPr>
                <w:rFonts w:cs="Arial"/>
              </w:rPr>
            </w:pPr>
          </w:p>
          <w:p w14:paraId="11A165D0" w14:textId="1AF97435" w:rsidR="005C07A2" w:rsidRPr="00170F6A" w:rsidRDefault="0005395F" w:rsidP="00AF53F3">
            <w:pPr>
              <w:rPr>
                <w:rFonts w:cs="Arial"/>
              </w:rPr>
            </w:pPr>
            <w:r w:rsidRPr="00170F6A">
              <w:rPr>
                <w:rFonts w:cs="Arial"/>
              </w:rPr>
              <w:t>Do c</w:t>
            </w:r>
            <w:r w:rsidR="00F14010" w:rsidRPr="00170F6A">
              <w:rPr>
                <w:rFonts w:cs="Arial"/>
              </w:rPr>
              <w:t>onsider a</w:t>
            </w:r>
            <w:r w:rsidR="006F742A" w:rsidRPr="00170F6A">
              <w:rPr>
                <w:rFonts w:cs="Arial"/>
              </w:rPr>
              <w:t xml:space="preserve"> brief </w:t>
            </w:r>
            <w:r w:rsidR="00F14010" w:rsidRPr="00170F6A">
              <w:rPr>
                <w:rFonts w:cs="Arial"/>
              </w:rPr>
              <w:t xml:space="preserve">email to </w:t>
            </w:r>
            <w:hyperlink r:id="rId8" w:history="1">
              <w:r w:rsidR="007167E3" w:rsidRPr="00170F6A">
                <w:rPr>
                  <w:rStyle w:val="Hyperlink"/>
                  <w:rFonts w:cs="Arial"/>
                </w:rPr>
                <w:t>judi.godfrey@dpi.nc.gov</w:t>
              </w:r>
            </w:hyperlink>
            <w:r w:rsidR="00F14010" w:rsidRPr="00170F6A">
              <w:rPr>
                <w:rFonts w:cs="Arial"/>
              </w:rPr>
              <w:t xml:space="preserve"> and </w:t>
            </w:r>
            <w:hyperlink r:id="rId9" w:history="1">
              <w:r w:rsidR="00F14010" w:rsidRPr="00170F6A">
                <w:rPr>
                  <w:rStyle w:val="Hyperlink"/>
                  <w:rFonts w:cs="Arial"/>
                </w:rPr>
                <w:t>sue.hatley@dpi.nc.gov</w:t>
              </w:r>
            </w:hyperlink>
            <w:r w:rsidR="00F14010" w:rsidRPr="00170F6A">
              <w:rPr>
                <w:rFonts w:cs="Arial"/>
              </w:rPr>
              <w:t xml:space="preserve"> stating</w:t>
            </w:r>
            <w:r w:rsidR="00475E8D" w:rsidRPr="00170F6A">
              <w:rPr>
                <w:rFonts w:cs="Arial"/>
              </w:rPr>
              <w:t xml:space="preserve"> the</w:t>
            </w:r>
            <w:r w:rsidR="00F14010" w:rsidRPr="00170F6A">
              <w:rPr>
                <w:rFonts w:cs="Arial"/>
              </w:rPr>
              <w:t xml:space="preserve"> </w:t>
            </w:r>
            <w:r w:rsidR="009125ED" w:rsidRPr="00170F6A">
              <w:rPr>
                <w:rFonts w:cs="Arial"/>
              </w:rPr>
              <w:t>PSU Name and</w:t>
            </w:r>
            <w:r w:rsidR="005C07A2" w:rsidRPr="00170F6A">
              <w:rPr>
                <w:rFonts w:cs="Arial"/>
              </w:rPr>
              <w:t xml:space="preserve"> PSU</w:t>
            </w:r>
            <w:r w:rsidR="009125ED" w:rsidRPr="00170F6A">
              <w:rPr>
                <w:rFonts w:cs="Arial"/>
              </w:rPr>
              <w:t xml:space="preserve"> </w:t>
            </w:r>
            <w:r w:rsidR="00823109">
              <w:rPr>
                <w:rFonts w:cs="Arial"/>
              </w:rPr>
              <w:t xml:space="preserve">Number </w:t>
            </w:r>
            <w:r w:rsidR="009125ED" w:rsidRPr="00170F6A">
              <w:rPr>
                <w:rFonts w:cs="Arial"/>
              </w:rPr>
              <w:t xml:space="preserve">has submitted Comparability. </w:t>
            </w:r>
          </w:p>
          <w:p w14:paraId="25D5A64A" w14:textId="77777777" w:rsidR="00C61945" w:rsidRPr="00170F6A" w:rsidRDefault="00C61945" w:rsidP="00AF53F3">
            <w:pPr>
              <w:rPr>
                <w:rFonts w:cs="Arial"/>
              </w:rPr>
            </w:pPr>
          </w:p>
          <w:p w14:paraId="0CF13026" w14:textId="3B4B95B9" w:rsidR="00C61945" w:rsidRPr="00170F6A" w:rsidRDefault="00C61945" w:rsidP="00AF53F3">
            <w:pPr>
              <w:rPr>
                <w:rFonts w:cs="Arial"/>
              </w:rPr>
            </w:pPr>
          </w:p>
        </w:tc>
      </w:tr>
    </w:tbl>
    <w:p w14:paraId="3616B497" w14:textId="77777777" w:rsidR="006E5968" w:rsidRDefault="006E5968" w:rsidP="00AF53F3">
      <w:pPr>
        <w:rPr>
          <w:rFonts w:cs="Arial"/>
          <w:b/>
          <w:bCs/>
          <w:color w:val="0070C0"/>
        </w:rPr>
      </w:pPr>
    </w:p>
    <w:p w14:paraId="0BC3996B" w14:textId="77777777" w:rsidR="004A6CAA" w:rsidRDefault="004A6CAA" w:rsidP="00AF53F3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0FB3AFFA" w14:textId="556B2DA9" w:rsidR="00E22974" w:rsidRPr="00445A8B" w:rsidRDefault="008F2808" w:rsidP="00AF53F3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 xml:space="preserve">Comparability Reporting by </w:t>
      </w:r>
      <w:r w:rsidR="00E84F9A" w:rsidRPr="00445A8B">
        <w:rPr>
          <w:rFonts w:cs="Arial"/>
          <w:b/>
          <w:bCs/>
          <w:color w:val="215E99" w:themeColor="text2" w:themeTint="BF"/>
          <w:sz w:val="32"/>
          <w:szCs w:val="32"/>
        </w:rPr>
        <w:t>Poli</w:t>
      </w:r>
      <w:r w:rsidR="007611A1" w:rsidRPr="00445A8B">
        <w:rPr>
          <w:rFonts w:cs="Arial"/>
          <w:b/>
          <w:bCs/>
          <w:color w:val="215E99" w:themeColor="text2" w:themeTint="BF"/>
          <w:sz w:val="32"/>
          <w:szCs w:val="32"/>
        </w:rPr>
        <w:t>cy</w:t>
      </w: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 xml:space="preserve"> </w:t>
      </w:r>
    </w:p>
    <w:p w14:paraId="3D1DF67A" w14:textId="77777777" w:rsidR="009125ED" w:rsidRPr="00170F6A" w:rsidRDefault="009125ED" w:rsidP="00AF53F3">
      <w:pPr>
        <w:rPr>
          <w:rFonts w:cs="Arial"/>
          <w:b/>
          <w:bCs/>
        </w:rPr>
      </w:pPr>
    </w:p>
    <w:p w14:paraId="4ED28F5A" w14:textId="0F711CC4" w:rsidR="0086301D" w:rsidRDefault="00AD0050" w:rsidP="00AF53F3">
      <w:pPr>
        <w:rPr>
          <w:rFonts w:cs="Arial"/>
          <w:i/>
          <w:iCs/>
        </w:rPr>
      </w:pPr>
      <w:r w:rsidRPr="00EE011D">
        <w:rPr>
          <w:rFonts w:cs="Arial"/>
        </w:rPr>
        <w:t>The Policy Exemption is the most complex</w:t>
      </w:r>
      <w:r w:rsidR="00CE27DF">
        <w:rPr>
          <w:rFonts w:cs="Arial"/>
        </w:rPr>
        <w:t xml:space="preserve"> and continual</w:t>
      </w:r>
      <w:r w:rsidRPr="00EE011D">
        <w:rPr>
          <w:rFonts w:cs="Arial"/>
        </w:rPr>
        <w:t xml:space="preserve"> reporting process</w:t>
      </w:r>
      <w:r w:rsidR="007611A1" w:rsidRPr="00EE011D">
        <w:rPr>
          <w:rFonts w:cs="Arial"/>
        </w:rPr>
        <w:t>.</w:t>
      </w:r>
      <w:r w:rsidR="00D6646D" w:rsidRPr="00EE011D">
        <w:rPr>
          <w:rFonts w:cs="Arial"/>
        </w:rPr>
        <w:t xml:space="preserve"> North Carolina has defined criteria</w:t>
      </w:r>
      <w:r w:rsidR="00B26D38" w:rsidRPr="00EE011D">
        <w:rPr>
          <w:rFonts w:cs="Arial"/>
        </w:rPr>
        <w:t xml:space="preserve"> specific </w:t>
      </w:r>
      <w:r w:rsidR="00581D13" w:rsidRPr="00EE011D">
        <w:rPr>
          <w:rFonts w:cs="Arial"/>
        </w:rPr>
        <w:t xml:space="preserve">to </w:t>
      </w:r>
      <w:r w:rsidR="00D6646D" w:rsidRPr="00EE011D">
        <w:rPr>
          <w:rFonts w:cs="Arial"/>
        </w:rPr>
        <w:t xml:space="preserve">policies </w:t>
      </w:r>
      <w:r w:rsidR="000D3495" w:rsidRPr="00EE011D">
        <w:rPr>
          <w:rFonts w:cs="Arial"/>
        </w:rPr>
        <w:t>for comparability purposes</w:t>
      </w:r>
      <w:r w:rsidR="00D6646D" w:rsidRPr="00EE011D">
        <w:rPr>
          <w:rFonts w:cs="Arial"/>
        </w:rPr>
        <w:t xml:space="preserve">. Policies must be </w:t>
      </w:r>
      <w:r w:rsidR="000D3495" w:rsidRPr="00EE011D">
        <w:rPr>
          <w:rFonts w:cs="Arial"/>
        </w:rPr>
        <w:t xml:space="preserve">individualized </w:t>
      </w:r>
      <w:r w:rsidR="006378D7" w:rsidRPr="00EE011D">
        <w:rPr>
          <w:rFonts w:cs="Arial"/>
        </w:rPr>
        <w:t>to</w:t>
      </w:r>
      <w:r w:rsidR="00D6646D" w:rsidRPr="00EE011D">
        <w:rPr>
          <w:rFonts w:cs="Arial"/>
        </w:rPr>
        <w:t xml:space="preserve"> </w:t>
      </w:r>
      <w:r w:rsidR="000D3495" w:rsidRPr="00EE011D">
        <w:rPr>
          <w:rFonts w:cs="Arial"/>
        </w:rPr>
        <w:t xml:space="preserve">each </w:t>
      </w:r>
      <w:r w:rsidR="00B26D38" w:rsidRPr="00EE011D">
        <w:rPr>
          <w:rFonts w:cs="Arial"/>
        </w:rPr>
        <w:t>PSU</w:t>
      </w:r>
      <w:r w:rsidR="000D3495" w:rsidRPr="00EE011D">
        <w:rPr>
          <w:rFonts w:cs="Arial"/>
        </w:rPr>
        <w:t>.</w:t>
      </w:r>
      <w:r w:rsidR="00293E08" w:rsidRPr="00EE011D">
        <w:rPr>
          <w:rFonts w:cs="Arial"/>
        </w:rPr>
        <w:t xml:space="preserve"> </w:t>
      </w:r>
      <w:r w:rsidR="00A3694B" w:rsidRPr="00EE011D">
        <w:rPr>
          <w:rFonts w:cs="Arial"/>
          <w:i/>
          <w:iCs/>
        </w:rPr>
        <w:t xml:space="preserve">Contact the Comparability Program Administrators </w:t>
      </w:r>
      <w:r w:rsidR="0051001A" w:rsidRPr="00EE011D">
        <w:rPr>
          <w:rFonts w:cs="Arial"/>
          <w:i/>
          <w:iCs/>
        </w:rPr>
        <w:t>for</w:t>
      </w:r>
      <w:r w:rsidR="00733132" w:rsidRPr="00EE011D">
        <w:rPr>
          <w:rFonts w:cs="Arial"/>
          <w:i/>
          <w:iCs/>
        </w:rPr>
        <w:t xml:space="preserve"> information and</w:t>
      </w:r>
      <w:r w:rsidR="001F5601" w:rsidRPr="00EE011D">
        <w:rPr>
          <w:rFonts w:cs="Arial"/>
          <w:i/>
          <w:iCs/>
        </w:rPr>
        <w:t xml:space="preserve"> a</w:t>
      </w:r>
      <w:r w:rsidR="00733132" w:rsidRPr="00EE011D">
        <w:rPr>
          <w:rFonts w:cs="Arial"/>
          <w:i/>
          <w:iCs/>
        </w:rPr>
        <w:t xml:space="preserve"> reporting folder</w:t>
      </w:r>
      <w:r w:rsidR="007167E3" w:rsidRPr="00EE011D">
        <w:rPr>
          <w:rFonts w:cs="Arial"/>
          <w:i/>
          <w:iCs/>
        </w:rPr>
        <w:t xml:space="preserve"> </w:t>
      </w:r>
      <w:r w:rsidR="006378D7" w:rsidRPr="00EE011D">
        <w:rPr>
          <w:rFonts w:cs="Arial"/>
          <w:i/>
          <w:iCs/>
        </w:rPr>
        <w:t>prior to submission.</w:t>
      </w:r>
      <w:r w:rsidR="007167E3" w:rsidRPr="00EE011D">
        <w:rPr>
          <w:rFonts w:cs="Arial"/>
          <w:i/>
          <w:iCs/>
        </w:rPr>
        <w:t xml:space="preserve"> </w:t>
      </w:r>
    </w:p>
    <w:p w14:paraId="28108A59" w14:textId="77777777" w:rsidR="00E97D33" w:rsidRPr="00EE011D" w:rsidRDefault="00E97D33" w:rsidP="00AF53F3">
      <w:pPr>
        <w:rPr>
          <w:rFonts w:cs="Arial"/>
          <w:i/>
          <w:iCs/>
        </w:rPr>
      </w:pPr>
    </w:p>
    <w:p w14:paraId="1991D6B7" w14:textId="77777777" w:rsidR="000A0DBE" w:rsidRPr="00EE011D" w:rsidRDefault="000A0DBE" w:rsidP="00AF53F3">
      <w:pPr>
        <w:rPr>
          <w:rFonts w:cs="Arial"/>
          <w:color w:val="215E99" w:themeColor="text2" w:themeTint="BF"/>
        </w:rPr>
      </w:pPr>
    </w:p>
    <w:p w14:paraId="5622CE92" w14:textId="7417D9C4" w:rsidR="000A0DBE" w:rsidRPr="00445A8B" w:rsidRDefault="000A0DBE" w:rsidP="00AF53F3">
      <w:pPr>
        <w:rPr>
          <w:rFonts w:cs="Arial"/>
          <w:b/>
          <w:bCs/>
          <w:color w:val="215E99" w:themeColor="text2" w:themeTint="BF"/>
          <w:sz w:val="32"/>
          <w:szCs w:val="32"/>
        </w:rPr>
      </w:pPr>
      <w:r w:rsidRPr="00445A8B">
        <w:rPr>
          <w:rFonts w:cs="Arial"/>
          <w:b/>
          <w:bCs/>
          <w:color w:val="215E99" w:themeColor="text2" w:themeTint="BF"/>
          <w:sz w:val="32"/>
          <w:szCs w:val="32"/>
        </w:rPr>
        <w:t xml:space="preserve">PSU </w:t>
      </w:r>
      <w:r w:rsidR="00D67B92" w:rsidRPr="00445A8B">
        <w:rPr>
          <w:rFonts w:cs="Arial"/>
          <w:b/>
          <w:bCs/>
          <w:color w:val="215E99" w:themeColor="text2" w:themeTint="BF"/>
          <w:sz w:val="32"/>
          <w:szCs w:val="32"/>
        </w:rPr>
        <w:t>Reporting Issues</w:t>
      </w:r>
    </w:p>
    <w:p w14:paraId="3B616B1E" w14:textId="77777777" w:rsidR="00760A7F" w:rsidRPr="00EE011D" w:rsidRDefault="00760A7F" w:rsidP="00AF53F3">
      <w:pPr>
        <w:rPr>
          <w:rFonts w:cs="Arial"/>
          <w:b/>
          <w:bCs/>
        </w:rPr>
      </w:pPr>
    </w:p>
    <w:p w14:paraId="616A1D34" w14:textId="30889D76" w:rsidR="00760A7F" w:rsidRPr="00EE011D" w:rsidRDefault="00760A7F" w:rsidP="00AF53F3">
      <w:pPr>
        <w:rPr>
          <w:rFonts w:cs="Arial"/>
        </w:rPr>
      </w:pPr>
      <w:r w:rsidRPr="00EE011D">
        <w:rPr>
          <w:rFonts w:cs="Arial"/>
        </w:rPr>
        <w:t>In the event</w:t>
      </w:r>
      <w:r w:rsidR="00FC05D1" w:rsidRPr="00EE011D">
        <w:rPr>
          <w:rFonts w:cs="Arial"/>
        </w:rPr>
        <w:t xml:space="preserve"> the</w:t>
      </w:r>
      <w:r w:rsidRPr="00EE011D">
        <w:rPr>
          <w:rFonts w:cs="Arial"/>
        </w:rPr>
        <w:t xml:space="preserve"> PSU has exhausted all methods to meet comparability, contact Judi Godfrey or Sue Hatley </w:t>
      </w:r>
      <w:r w:rsidR="00570287" w:rsidRPr="00EE011D">
        <w:rPr>
          <w:rFonts w:cs="Arial"/>
        </w:rPr>
        <w:t xml:space="preserve">prior to submission </w:t>
      </w:r>
      <w:r w:rsidRPr="00EE011D">
        <w:rPr>
          <w:rFonts w:cs="Arial"/>
        </w:rPr>
        <w:t xml:space="preserve">for assistance </w:t>
      </w:r>
      <w:r w:rsidR="0074460A" w:rsidRPr="00EE011D">
        <w:rPr>
          <w:rFonts w:cs="Arial"/>
        </w:rPr>
        <w:t xml:space="preserve">and </w:t>
      </w:r>
      <w:r w:rsidRPr="00EE011D">
        <w:rPr>
          <w:rFonts w:cs="Arial"/>
        </w:rPr>
        <w:t xml:space="preserve">for </w:t>
      </w:r>
      <w:r w:rsidR="00FC05D1" w:rsidRPr="00EE011D">
        <w:rPr>
          <w:rFonts w:cs="Arial"/>
        </w:rPr>
        <w:t xml:space="preserve">potential </w:t>
      </w:r>
      <w:r w:rsidR="00837A65" w:rsidRPr="00EE011D">
        <w:rPr>
          <w:rFonts w:cs="Arial"/>
        </w:rPr>
        <w:t>next</w:t>
      </w:r>
      <w:r w:rsidRPr="00EE011D">
        <w:rPr>
          <w:rFonts w:cs="Arial"/>
        </w:rPr>
        <w:t xml:space="preserve"> steps regarding requirements. </w:t>
      </w:r>
    </w:p>
    <w:p w14:paraId="50595133" w14:textId="77777777" w:rsidR="00D67B92" w:rsidRPr="00EE011D" w:rsidRDefault="00D67B92" w:rsidP="00AF53F3">
      <w:pPr>
        <w:rPr>
          <w:rFonts w:cs="Arial"/>
          <w:b/>
          <w:bCs/>
        </w:rPr>
      </w:pPr>
    </w:p>
    <w:p w14:paraId="1CFA2ADE" w14:textId="60C98F79" w:rsidR="003E2D7A" w:rsidRPr="00EE011D" w:rsidRDefault="001F7B84" w:rsidP="00AF53F3">
      <w:pPr>
        <w:rPr>
          <w:rFonts w:cs="Arial"/>
        </w:rPr>
      </w:pPr>
      <w:r w:rsidRPr="00EE011D">
        <w:rPr>
          <w:rFonts w:cs="Arial"/>
        </w:rPr>
        <w:t xml:space="preserve">For general assistance, </w:t>
      </w:r>
      <w:r w:rsidR="00C66B54">
        <w:rPr>
          <w:rFonts w:cs="Arial"/>
        </w:rPr>
        <w:t xml:space="preserve">please </w:t>
      </w:r>
      <w:r w:rsidRPr="00EE011D">
        <w:rPr>
          <w:rFonts w:cs="Arial"/>
        </w:rPr>
        <w:t>c</w:t>
      </w:r>
      <w:r w:rsidR="00D67B92" w:rsidRPr="00EE011D">
        <w:rPr>
          <w:rFonts w:cs="Arial"/>
        </w:rPr>
        <w:t>ontact</w:t>
      </w:r>
      <w:r w:rsidR="00C66B54">
        <w:rPr>
          <w:rFonts w:cs="Arial"/>
        </w:rPr>
        <w:t xml:space="preserve"> either</w:t>
      </w:r>
      <w:r w:rsidR="00D67B92" w:rsidRPr="00EE011D">
        <w:rPr>
          <w:rFonts w:cs="Arial"/>
        </w:rPr>
        <w:t xml:space="preserve"> Judi God</w:t>
      </w:r>
      <w:r w:rsidR="00611D4D">
        <w:rPr>
          <w:rFonts w:cs="Arial"/>
        </w:rPr>
        <w:t>f</w:t>
      </w:r>
      <w:r w:rsidR="00D67B92" w:rsidRPr="00EE011D">
        <w:rPr>
          <w:rFonts w:cs="Arial"/>
        </w:rPr>
        <w:t>rey or Sue Hatley</w:t>
      </w:r>
      <w:r w:rsidRPr="00EE011D">
        <w:rPr>
          <w:rFonts w:cs="Arial"/>
        </w:rPr>
        <w:t>.</w:t>
      </w:r>
      <w:r w:rsidR="00D67B92" w:rsidRPr="00EE011D">
        <w:rPr>
          <w:rFonts w:cs="Arial"/>
        </w:rPr>
        <w:t xml:space="preserve"> </w:t>
      </w:r>
    </w:p>
    <w:p w14:paraId="03FCF442" w14:textId="77777777" w:rsidR="003E2D7A" w:rsidRPr="00EE011D" w:rsidRDefault="003E2D7A" w:rsidP="00AF53F3">
      <w:pPr>
        <w:rPr>
          <w:rFonts w:cs="Arial"/>
        </w:rPr>
      </w:pPr>
    </w:p>
    <w:p w14:paraId="1913647E" w14:textId="56322BFB" w:rsidR="003E2D7A" w:rsidRPr="00EE011D" w:rsidRDefault="003E2D7A" w:rsidP="00AF53F3">
      <w:pPr>
        <w:rPr>
          <w:rFonts w:cs="Arial"/>
          <w:b/>
          <w:bCs/>
        </w:rPr>
      </w:pPr>
      <w:r w:rsidRPr="00EE011D">
        <w:rPr>
          <w:rFonts w:cs="Arial"/>
        </w:rPr>
        <w:t>Judi G</w:t>
      </w:r>
      <w:r w:rsidR="007167E3" w:rsidRPr="00EE011D">
        <w:rPr>
          <w:rFonts w:cs="Arial"/>
        </w:rPr>
        <w:t xml:space="preserve">odfrey </w:t>
      </w:r>
      <w:hyperlink r:id="rId10" w:history="1">
        <w:r w:rsidR="007167E3" w:rsidRPr="00EE011D">
          <w:rPr>
            <w:rStyle w:val="Hyperlink"/>
            <w:rFonts w:cs="Arial"/>
            <w:b/>
            <w:bCs/>
          </w:rPr>
          <w:t>judi.godfrey@dpi.nc.gov</w:t>
        </w:r>
      </w:hyperlink>
    </w:p>
    <w:p w14:paraId="68D1ABED" w14:textId="77777777" w:rsidR="007167E3" w:rsidRPr="00EE011D" w:rsidRDefault="007167E3" w:rsidP="00AF53F3">
      <w:pPr>
        <w:rPr>
          <w:rFonts w:cs="Arial"/>
        </w:rPr>
      </w:pPr>
    </w:p>
    <w:p w14:paraId="02319816" w14:textId="1B18DCA8" w:rsidR="00E74230" w:rsidRDefault="003E2D7A" w:rsidP="00AF53F3">
      <w:r w:rsidRPr="00EE011D">
        <w:rPr>
          <w:rFonts w:cs="Arial"/>
        </w:rPr>
        <w:t xml:space="preserve">Sue Hatley </w:t>
      </w:r>
      <w:hyperlink r:id="rId11" w:history="1">
        <w:r w:rsidRPr="00EE011D">
          <w:rPr>
            <w:rStyle w:val="Hyperlink"/>
            <w:rFonts w:cs="Arial"/>
            <w:b/>
            <w:bCs/>
          </w:rPr>
          <w:t>sue.hatley@dpi.nc.gov</w:t>
        </w:r>
      </w:hyperlink>
    </w:p>
    <w:p w14:paraId="0B552CE5" w14:textId="77777777" w:rsidR="00C66B54" w:rsidRDefault="00C66B54" w:rsidP="00AF53F3"/>
    <w:p w14:paraId="0EE12C4F" w14:textId="77777777" w:rsidR="00C66B54" w:rsidRDefault="00C66B54" w:rsidP="00AF53F3"/>
    <w:p w14:paraId="57CF9D5F" w14:textId="77777777" w:rsidR="00C66B54" w:rsidRDefault="00C66B54" w:rsidP="00AF53F3"/>
    <w:p w14:paraId="57BB735D" w14:textId="77777777" w:rsidR="00C66B54" w:rsidRDefault="00C66B54" w:rsidP="00AF53F3"/>
    <w:p w14:paraId="012BD767" w14:textId="77777777" w:rsidR="00C66B54" w:rsidRDefault="00C66B54" w:rsidP="00AF53F3"/>
    <w:p w14:paraId="3F692703" w14:textId="77777777" w:rsidR="004D3A95" w:rsidRDefault="004D3A95" w:rsidP="00AF53F3"/>
    <w:p w14:paraId="69CAB81C" w14:textId="77777777" w:rsidR="004D3A95" w:rsidRDefault="004D3A95" w:rsidP="00AF53F3"/>
    <w:p w14:paraId="7C399F8A" w14:textId="77777777" w:rsidR="004D3A95" w:rsidRDefault="004D3A95" w:rsidP="00AF53F3"/>
    <w:p w14:paraId="0ED30C26" w14:textId="77777777" w:rsidR="00C97CCC" w:rsidRPr="00E97D33" w:rsidRDefault="00C97CCC" w:rsidP="00AF53F3"/>
    <w:p w14:paraId="628F757E" w14:textId="31429CEC" w:rsidR="00E74230" w:rsidRPr="00790F2F" w:rsidRDefault="00E97D33" w:rsidP="00790F2F">
      <w:pPr>
        <w:shd w:val="clear" w:color="auto" w:fill="DAE9F7" w:themeFill="text2" w:themeFillTint="1A"/>
        <w:jc w:val="center"/>
        <w:rPr>
          <w:rFonts w:cs="Arial"/>
          <w:b/>
          <w:bCs/>
          <w:color w:val="0070C0"/>
          <w:sz w:val="56"/>
          <w:szCs w:val="56"/>
        </w:rPr>
      </w:pPr>
      <w:r w:rsidRPr="00790F2F">
        <w:rPr>
          <w:rFonts w:cs="Arial"/>
          <w:b/>
          <w:bCs/>
          <w:color w:val="0070C0"/>
          <w:sz w:val="56"/>
          <w:szCs w:val="56"/>
        </w:rPr>
        <w:lastRenderedPageBreak/>
        <w:t>Notes Page</w:t>
      </w:r>
    </w:p>
    <w:p w14:paraId="3D32BC81" w14:textId="77777777" w:rsidR="006A2E2D" w:rsidRPr="00ED1077" w:rsidRDefault="006A2E2D" w:rsidP="00AF53F3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3F45977C" w14:textId="77777777" w:rsidR="00CE27DF" w:rsidRDefault="00CE27DF" w:rsidP="00AF53F3">
      <w:pPr>
        <w:rPr>
          <w:rFonts w:cs="Arial"/>
          <w:b/>
          <w:bCs/>
          <w:color w:val="215E99" w:themeColor="text2" w:themeTint="BF"/>
          <w:sz w:val="28"/>
          <w:szCs w:val="28"/>
        </w:rPr>
      </w:pPr>
    </w:p>
    <w:p w14:paraId="65EDE929" w14:textId="77777777" w:rsidR="00C9367A" w:rsidRDefault="00C9367A" w:rsidP="00AF53F3">
      <w:pPr>
        <w:rPr>
          <w:rFonts w:cs="Arial"/>
        </w:rPr>
      </w:pPr>
    </w:p>
    <w:p w14:paraId="2659E756" w14:textId="77777777" w:rsidR="00924AB2" w:rsidRPr="00170F6A" w:rsidRDefault="00924AB2" w:rsidP="00AF53F3">
      <w:pPr>
        <w:rPr>
          <w:rFonts w:cs="Arial"/>
        </w:rPr>
      </w:pPr>
    </w:p>
    <w:p w14:paraId="13AC8898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0938D37B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34F802DE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7E7D0820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2C6B373E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4B8C2CDD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6EF4233C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2BF74D56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4DE15ED0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2FE5A0EC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26CE0D7B" w14:textId="77777777" w:rsidR="001913D3" w:rsidRPr="00170F6A" w:rsidRDefault="001913D3" w:rsidP="002D7FBB">
      <w:pPr>
        <w:jc w:val="center"/>
        <w:rPr>
          <w:rFonts w:cs="Arial"/>
          <w:b/>
          <w:bCs/>
        </w:rPr>
      </w:pPr>
    </w:p>
    <w:p w14:paraId="61BDC3D0" w14:textId="77777777" w:rsidR="001913D3" w:rsidRDefault="001913D3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855052" w14:textId="77777777" w:rsidR="001913D3" w:rsidRDefault="001913D3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D142C8B" w14:textId="77777777" w:rsidR="001913D3" w:rsidRDefault="001913D3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3121BB4" w14:textId="77777777" w:rsidR="001913D3" w:rsidRDefault="001913D3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80F27C6" w14:textId="77777777" w:rsidR="001913D3" w:rsidRDefault="001913D3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BF62315" w14:textId="77777777" w:rsidR="001913D3" w:rsidRDefault="001913D3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23948C1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8162C6E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C55CBA3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814DEA7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547E77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BD74460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9381415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3EC9238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2C8B69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A8B00A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C7CDB25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95A132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2246CB2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8CC4D8B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2CDC98F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2B3CEFD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6EE9F7C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4D590B3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C3D84B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F276DD6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9EE6FF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8C45D4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AB53F6A" w14:textId="77777777" w:rsidR="00227836" w:rsidRDefault="00227836" w:rsidP="00D710F4">
      <w:pPr>
        <w:rPr>
          <w:rFonts w:ascii="Arial Narrow" w:hAnsi="Arial Narrow" w:cs="Arial"/>
          <w:b/>
          <w:bCs/>
          <w:sz w:val="22"/>
          <w:szCs w:val="22"/>
        </w:rPr>
      </w:pPr>
    </w:p>
    <w:p w14:paraId="22D37908" w14:textId="77777777" w:rsidR="00227836" w:rsidRDefault="00227836" w:rsidP="002D7FB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7A84F2" w14:textId="3E8A8429" w:rsidR="00790F2F" w:rsidRPr="00790F2F" w:rsidRDefault="00790F2F" w:rsidP="00790F2F">
      <w:pPr>
        <w:shd w:val="clear" w:color="auto" w:fill="DAE9F7" w:themeFill="text2" w:themeFillTint="1A"/>
        <w:jc w:val="center"/>
        <w:rPr>
          <w:rFonts w:cs="Arial"/>
          <w:b/>
          <w:bCs/>
          <w:color w:val="0070C0"/>
          <w:sz w:val="56"/>
          <w:szCs w:val="56"/>
        </w:rPr>
      </w:pPr>
      <w:r w:rsidRPr="00790F2F">
        <w:rPr>
          <w:rFonts w:cs="Arial"/>
          <w:b/>
          <w:bCs/>
          <w:color w:val="0070C0"/>
          <w:sz w:val="56"/>
          <w:szCs w:val="56"/>
        </w:rPr>
        <w:lastRenderedPageBreak/>
        <w:t>RESOURCES</w:t>
      </w:r>
    </w:p>
    <w:p w14:paraId="4E350989" w14:textId="77777777" w:rsidR="005D5A6D" w:rsidRPr="00790F2F" w:rsidRDefault="005D5A6D" w:rsidP="00AF53F3">
      <w:pPr>
        <w:rPr>
          <w:rFonts w:cs="Arial"/>
          <w:b/>
          <w:bCs/>
          <w:color w:val="215E99" w:themeColor="text2" w:themeTint="BF"/>
          <w:sz w:val="44"/>
          <w:szCs w:val="44"/>
        </w:rPr>
      </w:pPr>
    </w:p>
    <w:p w14:paraId="51B02AED" w14:textId="45D9BF06" w:rsidR="00101768" w:rsidRDefault="00101768" w:rsidP="00AF53F3">
      <w:pPr>
        <w:rPr>
          <w:color w:val="215E99" w:themeColor="text2" w:themeTint="BF"/>
        </w:rPr>
      </w:pPr>
    </w:p>
    <w:p w14:paraId="4DE71978" w14:textId="1A8EB2A1" w:rsidR="001224FB" w:rsidRDefault="001224FB" w:rsidP="00A90B10">
      <w:pPr>
        <w:pStyle w:val="ListBullet"/>
        <w:numPr>
          <w:ilvl w:val="0"/>
          <w:numId w:val="0"/>
        </w:numPr>
      </w:pPr>
    </w:p>
    <w:p w14:paraId="4A193018" w14:textId="77777777" w:rsidR="000E48F0" w:rsidRPr="009700EB" w:rsidRDefault="000E48F0" w:rsidP="00A90B10">
      <w:pPr>
        <w:pStyle w:val="ListBullet"/>
        <w:numPr>
          <w:ilvl w:val="0"/>
          <w:numId w:val="0"/>
        </w:numPr>
        <w:rPr>
          <w:color w:val="0F4761" w:themeColor="accent1" w:themeShade="BF"/>
        </w:rPr>
      </w:pPr>
    </w:p>
    <w:p w14:paraId="74DA152A" w14:textId="23A58005" w:rsidR="000E48F0" w:rsidRPr="00B5777D" w:rsidRDefault="00000000" w:rsidP="00AA7E22">
      <w:pPr>
        <w:pStyle w:val="ListBullet"/>
        <w:numPr>
          <w:ilvl w:val="0"/>
          <w:numId w:val="0"/>
        </w:numPr>
        <w:ind w:left="5040" w:hanging="5040"/>
        <w:rPr>
          <w:b/>
          <w:bCs/>
          <w:color w:val="0F4761" w:themeColor="accent1" w:themeShade="BF"/>
        </w:rPr>
      </w:pPr>
      <w:hyperlink r:id="rId12" w:history="1">
        <w:r w:rsidR="000E48F0" w:rsidRPr="00B5777D">
          <w:rPr>
            <w:rStyle w:val="Hyperlink"/>
            <w:b/>
            <w:bCs/>
            <w:color w:val="0F4761" w:themeColor="accent1" w:themeShade="BF"/>
          </w:rPr>
          <w:t>Office of Federal Programs</w:t>
        </w:r>
      </w:hyperlink>
      <w:r w:rsidR="003C4F05" w:rsidRPr="00B5777D">
        <w:rPr>
          <w:b/>
          <w:bCs/>
          <w:color w:val="0F4761" w:themeColor="accent1" w:themeShade="BF"/>
        </w:rPr>
        <w:tab/>
      </w:r>
      <w:r w:rsidR="003C4F05" w:rsidRPr="00B5777D">
        <w:rPr>
          <w:b/>
          <w:bCs/>
          <w:color w:val="0F4761" w:themeColor="accent1" w:themeShade="BF"/>
        </w:rPr>
        <w:tab/>
      </w:r>
      <w:r w:rsidR="003C4F05" w:rsidRPr="00B5777D">
        <w:rPr>
          <w:b/>
          <w:bCs/>
          <w:color w:val="0F4761" w:themeColor="accent1" w:themeShade="BF"/>
        </w:rPr>
        <w:tab/>
      </w:r>
      <w:r w:rsidR="003C4F05" w:rsidRPr="00B5777D">
        <w:rPr>
          <w:b/>
          <w:bCs/>
          <w:color w:val="0F4761" w:themeColor="accent1" w:themeShade="BF"/>
        </w:rPr>
        <w:tab/>
      </w:r>
    </w:p>
    <w:p w14:paraId="7A94B644" w14:textId="16F9FE39" w:rsidR="00854F97" w:rsidRDefault="00854F97" w:rsidP="000E48F0">
      <w:pPr>
        <w:rPr>
          <w:b/>
          <w:bCs/>
        </w:rPr>
      </w:pPr>
    </w:p>
    <w:p w14:paraId="7A9C29E5" w14:textId="1763946F" w:rsidR="000E48F0" w:rsidRDefault="004A2B03" w:rsidP="000E48F0">
      <w:r w:rsidRPr="004A2B03">
        <w:rPr>
          <w:noProof/>
        </w:rPr>
        <w:drawing>
          <wp:inline distT="0" distB="0" distL="0" distR="0" wp14:anchorId="62422FC1" wp14:editId="5B69FE5C">
            <wp:extent cx="1285875" cy="1352550"/>
            <wp:effectExtent l="0" t="0" r="9525" b="0"/>
            <wp:docPr id="787222696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22696" name="Picture 1" descr="A qr code with dot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54A19" w14:textId="77777777" w:rsidR="004A2B03" w:rsidRDefault="004A2B03" w:rsidP="000E48F0"/>
    <w:p w14:paraId="4781CB08" w14:textId="77777777" w:rsidR="004A2B03" w:rsidRDefault="004A2B03" w:rsidP="000E48F0"/>
    <w:p w14:paraId="7BDF40F5" w14:textId="77777777" w:rsidR="009700EB" w:rsidRDefault="009700EB" w:rsidP="000E48F0"/>
    <w:p w14:paraId="2B071F33" w14:textId="77777777" w:rsidR="004D3A95" w:rsidRDefault="004D3A95" w:rsidP="000E48F0"/>
    <w:p w14:paraId="2631368A" w14:textId="77777777" w:rsidR="004D3A95" w:rsidRDefault="004D3A95" w:rsidP="000E48F0"/>
    <w:p w14:paraId="0A3986A9" w14:textId="77777777" w:rsidR="004D3A95" w:rsidRDefault="004D3A95" w:rsidP="000E48F0"/>
    <w:p w14:paraId="172E32D9" w14:textId="77777777" w:rsidR="004D3A95" w:rsidRDefault="004D3A95" w:rsidP="000E48F0"/>
    <w:p w14:paraId="329DD501" w14:textId="77777777" w:rsidR="009700EB" w:rsidRPr="00B5777D" w:rsidRDefault="009700EB" w:rsidP="000E48F0">
      <w:pPr>
        <w:rPr>
          <w:b/>
          <w:bCs/>
        </w:rPr>
      </w:pPr>
    </w:p>
    <w:p w14:paraId="098B15A1" w14:textId="7056BC27" w:rsidR="009700EB" w:rsidRPr="00B5777D" w:rsidRDefault="00000000" w:rsidP="000E48F0">
      <w:pPr>
        <w:rPr>
          <w:b/>
          <w:bCs/>
          <w:color w:val="0F4761" w:themeColor="accent1" w:themeShade="BF"/>
        </w:rPr>
      </w:pPr>
      <w:hyperlink r:id="rId14" w:history="1">
        <w:r w:rsidR="009700EB" w:rsidRPr="00B5777D">
          <w:rPr>
            <w:rStyle w:val="Hyperlink"/>
            <w:b/>
            <w:bCs/>
            <w:color w:val="0F4761" w:themeColor="accent1" w:themeShade="BF"/>
          </w:rPr>
          <w:t>NC CCIP</w:t>
        </w:r>
      </w:hyperlink>
    </w:p>
    <w:p w14:paraId="7452A090" w14:textId="77777777" w:rsidR="00CF1CBB" w:rsidRDefault="00CF1CBB" w:rsidP="000E48F0">
      <w:pPr>
        <w:rPr>
          <w:color w:val="0F4761" w:themeColor="accent1" w:themeShade="BF"/>
        </w:rPr>
      </w:pPr>
    </w:p>
    <w:p w14:paraId="497AADCF" w14:textId="2C44BEE4" w:rsidR="00CF1CBB" w:rsidRDefault="00CF1CBB" w:rsidP="000E48F0">
      <w:pPr>
        <w:rPr>
          <w:color w:val="0F4761" w:themeColor="accent1" w:themeShade="BF"/>
        </w:rPr>
      </w:pPr>
      <w:r>
        <w:rPr>
          <w:noProof/>
          <w:color w:val="0F4761" w:themeColor="accent1" w:themeShade="BF"/>
        </w:rPr>
        <w:drawing>
          <wp:inline distT="0" distB="0" distL="0" distR="0" wp14:anchorId="645C02B9" wp14:editId="62617543">
            <wp:extent cx="1257300" cy="1343025"/>
            <wp:effectExtent l="0" t="0" r="0" b="9525"/>
            <wp:docPr id="2066126609" name="Picture 4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26609" name="Picture 4" descr="A qr code with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376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1B862" w14:textId="6F5D1A4E" w:rsidR="00CF1CBB" w:rsidRDefault="00CF1CBB" w:rsidP="000E48F0">
      <w:pPr>
        <w:rPr>
          <w:color w:val="0F4761" w:themeColor="accent1" w:themeShade="BF"/>
        </w:rPr>
      </w:pPr>
    </w:p>
    <w:p w14:paraId="3D2E877D" w14:textId="77777777" w:rsidR="009700EB" w:rsidRDefault="009700EB" w:rsidP="000E48F0">
      <w:pPr>
        <w:rPr>
          <w:color w:val="0F4761" w:themeColor="accent1" w:themeShade="BF"/>
        </w:rPr>
      </w:pPr>
    </w:p>
    <w:p w14:paraId="3E9C0E8E" w14:textId="77777777" w:rsidR="009700EB" w:rsidRDefault="009700EB" w:rsidP="000E48F0">
      <w:pPr>
        <w:rPr>
          <w:color w:val="0F4761" w:themeColor="accent1" w:themeShade="BF"/>
        </w:rPr>
      </w:pPr>
    </w:p>
    <w:p w14:paraId="6CAB2013" w14:textId="77777777" w:rsidR="00830086" w:rsidRDefault="00830086" w:rsidP="00AA7E22">
      <w:pPr>
        <w:rPr>
          <w:color w:val="0F4761" w:themeColor="accent1" w:themeShade="BF"/>
        </w:rPr>
      </w:pPr>
    </w:p>
    <w:p w14:paraId="293F4B6D" w14:textId="77777777" w:rsidR="00AA7E22" w:rsidRDefault="00AA7E22" w:rsidP="00AA7E22">
      <w:pPr>
        <w:rPr>
          <w:b/>
          <w:bCs/>
        </w:rPr>
      </w:pPr>
    </w:p>
    <w:p w14:paraId="667A1231" w14:textId="77777777" w:rsidR="002E4048" w:rsidRDefault="002E4048" w:rsidP="00B35DDB">
      <w:pPr>
        <w:ind w:left="5760" w:firstLine="720"/>
      </w:pPr>
    </w:p>
    <w:p w14:paraId="751CA627" w14:textId="77777777" w:rsidR="002E4048" w:rsidRDefault="002E4048" w:rsidP="00B35DDB">
      <w:pPr>
        <w:ind w:left="5760" w:firstLine="720"/>
      </w:pPr>
    </w:p>
    <w:p w14:paraId="2CEE0BDA" w14:textId="77777777" w:rsidR="002E4048" w:rsidRDefault="002E4048" w:rsidP="00B35DDB">
      <w:pPr>
        <w:ind w:left="5760" w:firstLine="720"/>
      </w:pPr>
    </w:p>
    <w:p w14:paraId="752CDE78" w14:textId="46946785" w:rsidR="00D04A36" w:rsidRPr="00B5777D" w:rsidRDefault="00C3603F" w:rsidP="00B5777D">
      <w:pPr>
        <w:ind w:left="5760" w:firstLine="720"/>
        <w:rPr>
          <w:b/>
          <w:bCs/>
          <w:color w:val="215E99" w:themeColor="text2" w:themeTint="BF"/>
        </w:rPr>
      </w:pPr>
      <w:r w:rsidRPr="00ED1077">
        <w:rPr>
          <w:b/>
          <w:bCs/>
          <w:color w:val="215E99" w:themeColor="text2" w:themeTint="BF"/>
        </w:rPr>
        <w:t xml:space="preserve"> </w:t>
      </w:r>
      <w:r w:rsidR="005E5A2C">
        <w:rPr>
          <w:b/>
          <w:bCs/>
          <w:color w:val="215E99" w:themeColor="text2" w:themeTint="BF"/>
        </w:rPr>
        <w:t xml:space="preserve">     </w:t>
      </w:r>
    </w:p>
    <w:p w14:paraId="4834A94F" w14:textId="7322ED06" w:rsidR="007167E3" w:rsidRPr="00ED1077" w:rsidRDefault="007167E3" w:rsidP="00247CBA">
      <w:pPr>
        <w:rPr>
          <w:color w:val="215E99" w:themeColor="text2" w:themeTint="BF"/>
        </w:rPr>
      </w:pPr>
    </w:p>
    <w:p w14:paraId="58936BD8" w14:textId="4926DE17" w:rsidR="004059B4" w:rsidRPr="00377F12" w:rsidRDefault="004059B4" w:rsidP="002D6BBA">
      <w:pPr>
        <w:rPr>
          <w:rFonts w:ascii="Times New Roman" w:hAnsi="Times New Roman" w:cs="Times New Roman"/>
          <w:sz w:val="22"/>
          <w:szCs w:val="22"/>
        </w:rPr>
      </w:pPr>
    </w:p>
    <w:sectPr w:rsidR="004059B4" w:rsidRPr="00377F12" w:rsidSect="0009437A">
      <w:headerReference w:type="default" r:id="rId16"/>
      <w:pgSz w:w="12240" w:h="15840"/>
      <w:pgMar w:top="1152" w:right="1440" w:bottom="144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5387" w14:textId="77777777" w:rsidR="0005113E" w:rsidRDefault="0005113E" w:rsidP="007B0C3A">
      <w:r>
        <w:separator/>
      </w:r>
    </w:p>
  </w:endnote>
  <w:endnote w:type="continuationSeparator" w:id="0">
    <w:p w14:paraId="68424931" w14:textId="77777777" w:rsidR="0005113E" w:rsidRDefault="0005113E" w:rsidP="007B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e Hand Extrablack">
    <w:panose1 w:val="03070A02030502020204"/>
    <w:charset w:val="00"/>
    <w:family w:val="script"/>
    <w:pitch w:val="variable"/>
    <w:sig w:usb0="8000002F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9367" w14:textId="77777777" w:rsidR="0005113E" w:rsidRDefault="0005113E" w:rsidP="007B0C3A">
      <w:r>
        <w:separator/>
      </w:r>
    </w:p>
  </w:footnote>
  <w:footnote w:type="continuationSeparator" w:id="0">
    <w:p w14:paraId="38604008" w14:textId="77777777" w:rsidR="0005113E" w:rsidRDefault="0005113E" w:rsidP="007B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4D7A" w14:textId="77777777" w:rsidR="00F66914" w:rsidRDefault="00F66914" w:rsidP="00D428B6">
    <w:pPr>
      <w:pStyle w:val="Header"/>
      <w:tabs>
        <w:tab w:val="clear" w:pos="4680"/>
        <w:tab w:val="clear" w:pos="9360"/>
        <w:tab w:val="left" w:pos="26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C446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25044"/>
    <w:multiLevelType w:val="hybridMultilevel"/>
    <w:tmpl w:val="F198F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A1199C"/>
    <w:multiLevelType w:val="hybridMultilevel"/>
    <w:tmpl w:val="EA3A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D46"/>
    <w:multiLevelType w:val="hybridMultilevel"/>
    <w:tmpl w:val="6094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2A98"/>
    <w:multiLevelType w:val="hybridMultilevel"/>
    <w:tmpl w:val="3744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749E"/>
    <w:multiLevelType w:val="hybridMultilevel"/>
    <w:tmpl w:val="3A344A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0AAD"/>
    <w:multiLevelType w:val="hybridMultilevel"/>
    <w:tmpl w:val="9660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57B5"/>
    <w:multiLevelType w:val="hybridMultilevel"/>
    <w:tmpl w:val="B562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2630F"/>
    <w:multiLevelType w:val="hybridMultilevel"/>
    <w:tmpl w:val="23F0F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C6E82"/>
    <w:multiLevelType w:val="hybridMultilevel"/>
    <w:tmpl w:val="81FE6F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C9E147C"/>
    <w:multiLevelType w:val="hybridMultilevel"/>
    <w:tmpl w:val="5590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5E85"/>
    <w:multiLevelType w:val="hybridMultilevel"/>
    <w:tmpl w:val="DFDC74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33413"/>
    <w:multiLevelType w:val="hybridMultilevel"/>
    <w:tmpl w:val="0DD4E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5B6"/>
    <w:multiLevelType w:val="hybridMultilevel"/>
    <w:tmpl w:val="97F2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427C8"/>
    <w:multiLevelType w:val="hybridMultilevel"/>
    <w:tmpl w:val="8E50F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2357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12E6B8E"/>
    <w:multiLevelType w:val="hybridMultilevel"/>
    <w:tmpl w:val="8AE28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61A0C"/>
    <w:multiLevelType w:val="hybridMultilevel"/>
    <w:tmpl w:val="53CAE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D314A"/>
    <w:multiLevelType w:val="hybridMultilevel"/>
    <w:tmpl w:val="B396F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E0F51"/>
    <w:multiLevelType w:val="hybridMultilevel"/>
    <w:tmpl w:val="86141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41154"/>
    <w:multiLevelType w:val="hybridMultilevel"/>
    <w:tmpl w:val="EFBA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37483"/>
    <w:multiLevelType w:val="hybridMultilevel"/>
    <w:tmpl w:val="125E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36B22"/>
    <w:multiLevelType w:val="hybridMultilevel"/>
    <w:tmpl w:val="ADD4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F27E7"/>
    <w:multiLevelType w:val="hybridMultilevel"/>
    <w:tmpl w:val="BB589716"/>
    <w:lvl w:ilvl="0" w:tplc="4F3414F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D20C3"/>
    <w:multiLevelType w:val="hybridMultilevel"/>
    <w:tmpl w:val="18CC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858BA"/>
    <w:multiLevelType w:val="hybridMultilevel"/>
    <w:tmpl w:val="3196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836DF"/>
    <w:multiLevelType w:val="hybridMultilevel"/>
    <w:tmpl w:val="7FF0A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2609"/>
    <w:multiLevelType w:val="hybridMultilevel"/>
    <w:tmpl w:val="BA5A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5365B"/>
    <w:multiLevelType w:val="hybridMultilevel"/>
    <w:tmpl w:val="F72882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876AD"/>
    <w:multiLevelType w:val="hybridMultilevel"/>
    <w:tmpl w:val="3100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85522"/>
    <w:multiLevelType w:val="hybridMultilevel"/>
    <w:tmpl w:val="8A0EB59E"/>
    <w:lvl w:ilvl="0" w:tplc="4F3414F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109A4"/>
    <w:multiLevelType w:val="hybridMultilevel"/>
    <w:tmpl w:val="EC62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1201A"/>
    <w:multiLevelType w:val="hybridMultilevel"/>
    <w:tmpl w:val="2A4C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44B3A"/>
    <w:multiLevelType w:val="hybridMultilevel"/>
    <w:tmpl w:val="7974B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73D47"/>
    <w:multiLevelType w:val="hybridMultilevel"/>
    <w:tmpl w:val="387E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63E6"/>
    <w:multiLevelType w:val="hybridMultilevel"/>
    <w:tmpl w:val="7676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A3C5D"/>
    <w:multiLevelType w:val="hybridMultilevel"/>
    <w:tmpl w:val="700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6740D"/>
    <w:multiLevelType w:val="hybridMultilevel"/>
    <w:tmpl w:val="806C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E20B0"/>
    <w:multiLevelType w:val="hybridMultilevel"/>
    <w:tmpl w:val="F74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22346"/>
    <w:multiLevelType w:val="hybridMultilevel"/>
    <w:tmpl w:val="21A2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E5690"/>
    <w:multiLevelType w:val="hybridMultilevel"/>
    <w:tmpl w:val="05CE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937F7"/>
    <w:multiLevelType w:val="hybridMultilevel"/>
    <w:tmpl w:val="675E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00BED"/>
    <w:multiLevelType w:val="hybridMultilevel"/>
    <w:tmpl w:val="4B34A0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06E0F"/>
    <w:multiLevelType w:val="hybridMultilevel"/>
    <w:tmpl w:val="46BE4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41C60"/>
    <w:multiLevelType w:val="hybridMultilevel"/>
    <w:tmpl w:val="5F8AB9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01620"/>
    <w:multiLevelType w:val="hybridMultilevel"/>
    <w:tmpl w:val="9BE8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74254"/>
    <w:multiLevelType w:val="hybridMultilevel"/>
    <w:tmpl w:val="C2C6D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52530"/>
    <w:multiLevelType w:val="hybridMultilevel"/>
    <w:tmpl w:val="D7A6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E5149"/>
    <w:multiLevelType w:val="hybridMultilevel"/>
    <w:tmpl w:val="3B0453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22567">
    <w:abstractNumId w:val="32"/>
  </w:num>
  <w:num w:numId="2" w16cid:durableId="1878617103">
    <w:abstractNumId w:val="31"/>
  </w:num>
  <w:num w:numId="3" w16cid:durableId="218437746">
    <w:abstractNumId w:val="4"/>
  </w:num>
  <w:num w:numId="4" w16cid:durableId="768084230">
    <w:abstractNumId w:val="40"/>
  </w:num>
  <w:num w:numId="5" w16cid:durableId="581109119">
    <w:abstractNumId w:val="2"/>
  </w:num>
  <w:num w:numId="6" w16cid:durableId="1480607792">
    <w:abstractNumId w:val="29"/>
  </w:num>
  <w:num w:numId="7" w16cid:durableId="505289234">
    <w:abstractNumId w:val="27"/>
  </w:num>
  <w:num w:numId="8" w16cid:durableId="312175561">
    <w:abstractNumId w:val="36"/>
  </w:num>
  <w:num w:numId="9" w16cid:durableId="1377242097">
    <w:abstractNumId w:val="35"/>
  </w:num>
  <w:num w:numId="10" w16cid:durableId="631785570">
    <w:abstractNumId w:val="6"/>
  </w:num>
  <w:num w:numId="11" w16cid:durableId="276571316">
    <w:abstractNumId w:val="33"/>
  </w:num>
  <w:num w:numId="12" w16cid:durableId="1502693904">
    <w:abstractNumId w:val="47"/>
  </w:num>
  <w:num w:numId="13" w16cid:durableId="1997998984">
    <w:abstractNumId w:val="13"/>
  </w:num>
  <w:num w:numId="14" w16cid:durableId="1450589524">
    <w:abstractNumId w:val="7"/>
  </w:num>
  <w:num w:numId="15" w16cid:durableId="1726295553">
    <w:abstractNumId w:val="3"/>
  </w:num>
  <w:num w:numId="16" w16cid:durableId="28341437">
    <w:abstractNumId w:val="26"/>
  </w:num>
  <w:num w:numId="17" w16cid:durableId="2051295952">
    <w:abstractNumId w:val="25"/>
  </w:num>
  <w:num w:numId="18" w16cid:durableId="1900364105">
    <w:abstractNumId w:val="24"/>
  </w:num>
  <w:num w:numId="19" w16cid:durableId="47193851">
    <w:abstractNumId w:val="21"/>
  </w:num>
  <w:num w:numId="20" w16cid:durableId="1629357724">
    <w:abstractNumId w:val="20"/>
  </w:num>
  <w:num w:numId="21" w16cid:durableId="1559784005">
    <w:abstractNumId w:val="10"/>
  </w:num>
  <w:num w:numId="22" w16cid:durableId="284585460">
    <w:abstractNumId w:val="38"/>
  </w:num>
  <w:num w:numId="23" w16cid:durableId="1366903211">
    <w:abstractNumId w:val="41"/>
  </w:num>
  <w:num w:numId="24" w16cid:durableId="1764107140">
    <w:abstractNumId w:val="17"/>
  </w:num>
  <w:num w:numId="25" w16cid:durableId="1316648637">
    <w:abstractNumId w:val="45"/>
  </w:num>
  <w:num w:numId="26" w16cid:durableId="589701736">
    <w:abstractNumId w:val="15"/>
  </w:num>
  <w:num w:numId="27" w16cid:durableId="581795215">
    <w:abstractNumId w:val="18"/>
  </w:num>
  <w:num w:numId="28" w16cid:durableId="833255454">
    <w:abstractNumId w:val="46"/>
  </w:num>
  <w:num w:numId="29" w16cid:durableId="922227109">
    <w:abstractNumId w:val="14"/>
  </w:num>
  <w:num w:numId="30" w16cid:durableId="725953882">
    <w:abstractNumId w:val="9"/>
  </w:num>
  <w:num w:numId="31" w16cid:durableId="901869210">
    <w:abstractNumId w:val="34"/>
  </w:num>
  <w:num w:numId="32" w16cid:durableId="1338773569">
    <w:abstractNumId w:val="22"/>
  </w:num>
  <w:num w:numId="33" w16cid:durableId="173031477">
    <w:abstractNumId w:val="39"/>
  </w:num>
  <w:num w:numId="34" w16cid:durableId="1248153677">
    <w:abstractNumId w:val="37"/>
  </w:num>
  <w:num w:numId="35" w16cid:durableId="1757822973">
    <w:abstractNumId w:val="1"/>
  </w:num>
  <w:num w:numId="36" w16cid:durableId="1807625906">
    <w:abstractNumId w:val="12"/>
  </w:num>
  <w:num w:numId="37" w16cid:durableId="1541701564">
    <w:abstractNumId w:val="5"/>
  </w:num>
  <w:num w:numId="38" w16cid:durableId="289669863">
    <w:abstractNumId w:val="48"/>
  </w:num>
  <w:num w:numId="39" w16cid:durableId="1784181474">
    <w:abstractNumId w:val="8"/>
  </w:num>
  <w:num w:numId="40" w16cid:durableId="1009254869">
    <w:abstractNumId w:val="44"/>
  </w:num>
  <w:num w:numId="41" w16cid:durableId="2144931689">
    <w:abstractNumId w:val="42"/>
  </w:num>
  <w:num w:numId="42" w16cid:durableId="935092638">
    <w:abstractNumId w:val="16"/>
  </w:num>
  <w:num w:numId="43" w16cid:durableId="1088767331">
    <w:abstractNumId w:val="19"/>
  </w:num>
  <w:num w:numId="44" w16cid:durableId="831331373">
    <w:abstractNumId w:val="11"/>
  </w:num>
  <w:num w:numId="45" w16cid:durableId="999961988">
    <w:abstractNumId w:val="23"/>
  </w:num>
  <w:num w:numId="46" w16cid:durableId="2057922475">
    <w:abstractNumId w:val="30"/>
  </w:num>
  <w:num w:numId="47" w16cid:durableId="521475258">
    <w:abstractNumId w:val="28"/>
  </w:num>
  <w:num w:numId="48" w16cid:durableId="1291672553">
    <w:abstractNumId w:val="0"/>
  </w:num>
  <w:num w:numId="49" w16cid:durableId="1438404125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A"/>
    <w:rsid w:val="0000045F"/>
    <w:rsid w:val="0000177F"/>
    <w:rsid w:val="0000247D"/>
    <w:rsid w:val="00002D64"/>
    <w:rsid w:val="00002DA4"/>
    <w:rsid w:val="00004443"/>
    <w:rsid w:val="0000641A"/>
    <w:rsid w:val="00006530"/>
    <w:rsid w:val="00012739"/>
    <w:rsid w:val="00012E3E"/>
    <w:rsid w:val="000132E4"/>
    <w:rsid w:val="00013EB6"/>
    <w:rsid w:val="00015E0A"/>
    <w:rsid w:val="000160C8"/>
    <w:rsid w:val="0001704F"/>
    <w:rsid w:val="00022109"/>
    <w:rsid w:val="000229D2"/>
    <w:rsid w:val="00023CEB"/>
    <w:rsid w:val="000244A1"/>
    <w:rsid w:val="00024C73"/>
    <w:rsid w:val="00024EAB"/>
    <w:rsid w:val="000266DC"/>
    <w:rsid w:val="000270F6"/>
    <w:rsid w:val="000277DB"/>
    <w:rsid w:val="00032434"/>
    <w:rsid w:val="00032929"/>
    <w:rsid w:val="00033EFC"/>
    <w:rsid w:val="0003425A"/>
    <w:rsid w:val="000374E9"/>
    <w:rsid w:val="00037E15"/>
    <w:rsid w:val="00040081"/>
    <w:rsid w:val="00040E43"/>
    <w:rsid w:val="00043DCD"/>
    <w:rsid w:val="00045521"/>
    <w:rsid w:val="00046BC5"/>
    <w:rsid w:val="000471C9"/>
    <w:rsid w:val="000508A5"/>
    <w:rsid w:val="0005093C"/>
    <w:rsid w:val="0005113E"/>
    <w:rsid w:val="00053141"/>
    <w:rsid w:val="000531B3"/>
    <w:rsid w:val="0005395F"/>
    <w:rsid w:val="00054A0C"/>
    <w:rsid w:val="000560AE"/>
    <w:rsid w:val="00056548"/>
    <w:rsid w:val="00057A77"/>
    <w:rsid w:val="00057DD4"/>
    <w:rsid w:val="00061996"/>
    <w:rsid w:val="000635B2"/>
    <w:rsid w:val="00065F60"/>
    <w:rsid w:val="00067A7C"/>
    <w:rsid w:val="00070174"/>
    <w:rsid w:val="00070570"/>
    <w:rsid w:val="00072BF5"/>
    <w:rsid w:val="00074488"/>
    <w:rsid w:val="00074FDC"/>
    <w:rsid w:val="00077AC8"/>
    <w:rsid w:val="00080165"/>
    <w:rsid w:val="00080371"/>
    <w:rsid w:val="00080479"/>
    <w:rsid w:val="000817A5"/>
    <w:rsid w:val="00083C1B"/>
    <w:rsid w:val="000862C5"/>
    <w:rsid w:val="00087C3D"/>
    <w:rsid w:val="000904AA"/>
    <w:rsid w:val="00090C17"/>
    <w:rsid w:val="00090FE9"/>
    <w:rsid w:val="0009342C"/>
    <w:rsid w:val="000939C2"/>
    <w:rsid w:val="0009437A"/>
    <w:rsid w:val="000944CC"/>
    <w:rsid w:val="00094927"/>
    <w:rsid w:val="00094A5C"/>
    <w:rsid w:val="00095F13"/>
    <w:rsid w:val="000A01FB"/>
    <w:rsid w:val="000A0DBE"/>
    <w:rsid w:val="000A1833"/>
    <w:rsid w:val="000A1CE4"/>
    <w:rsid w:val="000A1EFB"/>
    <w:rsid w:val="000A2D2F"/>
    <w:rsid w:val="000A2ED0"/>
    <w:rsid w:val="000A49A6"/>
    <w:rsid w:val="000A4E06"/>
    <w:rsid w:val="000A6410"/>
    <w:rsid w:val="000A74D6"/>
    <w:rsid w:val="000A7661"/>
    <w:rsid w:val="000A7A63"/>
    <w:rsid w:val="000B3EE0"/>
    <w:rsid w:val="000B3F99"/>
    <w:rsid w:val="000B5641"/>
    <w:rsid w:val="000B65C8"/>
    <w:rsid w:val="000B6AB8"/>
    <w:rsid w:val="000C288F"/>
    <w:rsid w:val="000C2F19"/>
    <w:rsid w:val="000C2FE0"/>
    <w:rsid w:val="000C55FE"/>
    <w:rsid w:val="000D2BAB"/>
    <w:rsid w:val="000D321B"/>
    <w:rsid w:val="000D3495"/>
    <w:rsid w:val="000D54D9"/>
    <w:rsid w:val="000D567D"/>
    <w:rsid w:val="000D6FA3"/>
    <w:rsid w:val="000D794D"/>
    <w:rsid w:val="000D7C73"/>
    <w:rsid w:val="000E1388"/>
    <w:rsid w:val="000E183B"/>
    <w:rsid w:val="000E3CA2"/>
    <w:rsid w:val="000E48F0"/>
    <w:rsid w:val="000E5667"/>
    <w:rsid w:val="000E6277"/>
    <w:rsid w:val="000E7173"/>
    <w:rsid w:val="000E7C3E"/>
    <w:rsid w:val="000E7FAB"/>
    <w:rsid w:val="000F0079"/>
    <w:rsid w:val="000F08F8"/>
    <w:rsid w:val="000F2152"/>
    <w:rsid w:val="000F21D0"/>
    <w:rsid w:val="000F27A7"/>
    <w:rsid w:val="000F3014"/>
    <w:rsid w:val="000F46EE"/>
    <w:rsid w:val="0010098F"/>
    <w:rsid w:val="00101768"/>
    <w:rsid w:val="00101B02"/>
    <w:rsid w:val="00102915"/>
    <w:rsid w:val="00105F80"/>
    <w:rsid w:val="00110346"/>
    <w:rsid w:val="00110447"/>
    <w:rsid w:val="00110CDC"/>
    <w:rsid w:val="001111FC"/>
    <w:rsid w:val="00112F7C"/>
    <w:rsid w:val="00112FEE"/>
    <w:rsid w:val="001132CD"/>
    <w:rsid w:val="00114640"/>
    <w:rsid w:val="00115455"/>
    <w:rsid w:val="00115FED"/>
    <w:rsid w:val="0011795A"/>
    <w:rsid w:val="001224FB"/>
    <w:rsid w:val="001251B4"/>
    <w:rsid w:val="00126FA5"/>
    <w:rsid w:val="00126FFC"/>
    <w:rsid w:val="00127C58"/>
    <w:rsid w:val="00127E31"/>
    <w:rsid w:val="00130F5D"/>
    <w:rsid w:val="001329D1"/>
    <w:rsid w:val="00132FEE"/>
    <w:rsid w:val="00134F88"/>
    <w:rsid w:val="00135DD3"/>
    <w:rsid w:val="00137031"/>
    <w:rsid w:val="00142CAB"/>
    <w:rsid w:val="0014365E"/>
    <w:rsid w:val="001445E7"/>
    <w:rsid w:val="00145A57"/>
    <w:rsid w:val="00146DA4"/>
    <w:rsid w:val="001502F8"/>
    <w:rsid w:val="00151D16"/>
    <w:rsid w:val="0015668B"/>
    <w:rsid w:val="00164BDF"/>
    <w:rsid w:val="00165846"/>
    <w:rsid w:val="00165920"/>
    <w:rsid w:val="00170920"/>
    <w:rsid w:val="00170F6A"/>
    <w:rsid w:val="0017244B"/>
    <w:rsid w:val="00174309"/>
    <w:rsid w:val="001778CB"/>
    <w:rsid w:val="00181D34"/>
    <w:rsid w:val="00182895"/>
    <w:rsid w:val="001842FB"/>
    <w:rsid w:val="0018523E"/>
    <w:rsid w:val="001877D6"/>
    <w:rsid w:val="001913D3"/>
    <w:rsid w:val="00191B17"/>
    <w:rsid w:val="00191D60"/>
    <w:rsid w:val="001925B4"/>
    <w:rsid w:val="0019293A"/>
    <w:rsid w:val="00193D54"/>
    <w:rsid w:val="00194FE6"/>
    <w:rsid w:val="00197434"/>
    <w:rsid w:val="001A00D9"/>
    <w:rsid w:val="001A0FE3"/>
    <w:rsid w:val="001A1AF8"/>
    <w:rsid w:val="001A24BA"/>
    <w:rsid w:val="001A2DD0"/>
    <w:rsid w:val="001A38AE"/>
    <w:rsid w:val="001A4C17"/>
    <w:rsid w:val="001A4DD8"/>
    <w:rsid w:val="001A5747"/>
    <w:rsid w:val="001A5C10"/>
    <w:rsid w:val="001B301F"/>
    <w:rsid w:val="001B31EE"/>
    <w:rsid w:val="001B4A97"/>
    <w:rsid w:val="001B4ECC"/>
    <w:rsid w:val="001B67FE"/>
    <w:rsid w:val="001B6B3A"/>
    <w:rsid w:val="001C0999"/>
    <w:rsid w:val="001C37DB"/>
    <w:rsid w:val="001C449C"/>
    <w:rsid w:val="001C5CBA"/>
    <w:rsid w:val="001C67E9"/>
    <w:rsid w:val="001C708C"/>
    <w:rsid w:val="001C7174"/>
    <w:rsid w:val="001C789E"/>
    <w:rsid w:val="001D0410"/>
    <w:rsid w:val="001D0E7F"/>
    <w:rsid w:val="001D317E"/>
    <w:rsid w:val="001D39B2"/>
    <w:rsid w:val="001D39E7"/>
    <w:rsid w:val="001D58EF"/>
    <w:rsid w:val="001D5B7A"/>
    <w:rsid w:val="001E4B99"/>
    <w:rsid w:val="001E66C2"/>
    <w:rsid w:val="001F5601"/>
    <w:rsid w:val="001F6CB0"/>
    <w:rsid w:val="001F7B84"/>
    <w:rsid w:val="002003B0"/>
    <w:rsid w:val="002011D8"/>
    <w:rsid w:val="0020616D"/>
    <w:rsid w:val="002061B0"/>
    <w:rsid w:val="00207C74"/>
    <w:rsid w:val="00207CFE"/>
    <w:rsid w:val="0021027F"/>
    <w:rsid w:val="002103A3"/>
    <w:rsid w:val="00211C8B"/>
    <w:rsid w:val="002140DD"/>
    <w:rsid w:val="002147C4"/>
    <w:rsid w:val="002153C5"/>
    <w:rsid w:val="002233EE"/>
    <w:rsid w:val="00224979"/>
    <w:rsid w:val="002258D8"/>
    <w:rsid w:val="00225C81"/>
    <w:rsid w:val="00227836"/>
    <w:rsid w:val="00232F0C"/>
    <w:rsid w:val="00233A18"/>
    <w:rsid w:val="00234294"/>
    <w:rsid w:val="002344F9"/>
    <w:rsid w:val="00234546"/>
    <w:rsid w:val="00234C8E"/>
    <w:rsid w:val="00240384"/>
    <w:rsid w:val="00240A7E"/>
    <w:rsid w:val="00240FE2"/>
    <w:rsid w:val="002413D8"/>
    <w:rsid w:val="002416CF"/>
    <w:rsid w:val="00241807"/>
    <w:rsid w:val="00241CB4"/>
    <w:rsid w:val="00245F24"/>
    <w:rsid w:val="002466BD"/>
    <w:rsid w:val="00246744"/>
    <w:rsid w:val="0024682A"/>
    <w:rsid w:val="00247B12"/>
    <w:rsid w:val="00247CBA"/>
    <w:rsid w:val="00247F7A"/>
    <w:rsid w:val="00251812"/>
    <w:rsid w:val="002520EE"/>
    <w:rsid w:val="00253C23"/>
    <w:rsid w:val="00255BDF"/>
    <w:rsid w:val="0025619A"/>
    <w:rsid w:val="00261296"/>
    <w:rsid w:val="0026759A"/>
    <w:rsid w:val="00270ED2"/>
    <w:rsid w:val="002753BD"/>
    <w:rsid w:val="00275E75"/>
    <w:rsid w:val="00276061"/>
    <w:rsid w:val="002763FF"/>
    <w:rsid w:val="00280F8F"/>
    <w:rsid w:val="00284E40"/>
    <w:rsid w:val="00291CEE"/>
    <w:rsid w:val="002936B7"/>
    <w:rsid w:val="00293A0C"/>
    <w:rsid w:val="00293E08"/>
    <w:rsid w:val="00296A34"/>
    <w:rsid w:val="002975BC"/>
    <w:rsid w:val="00297FC0"/>
    <w:rsid w:val="002A0F56"/>
    <w:rsid w:val="002A2143"/>
    <w:rsid w:val="002A2319"/>
    <w:rsid w:val="002A5D45"/>
    <w:rsid w:val="002A5E5F"/>
    <w:rsid w:val="002A5EE9"/>
    <w:rsid w:val="002A6850"/>
    <w:rsid w:val="002A68BC"/>
    <w:rsid w:val="002B1081"/>
    <w:rsid w:val="002B22C8"/>
    <w:rsid w:val="002B51FE"/>
    <w:rsid w:val="002B5F78"/>
    <w:rsid w:val="002C0408"/>
    <w:rsid w:val="002C1692"/>
    <w:rsid w:val="002C1A44"/>
    <w:rsid w:val="002C5A78"/>
    <w:rsid w:val="002C5B95"/>
    <w:rsid w:val="002C5BF3"/>
    <w:rsid w:val="002C5E60"/>
    <w:rsid w:val="002C7499"/>
    <w:rsid w:val="002D053F"/>
    <w:rsid w:val="002D1540"/>
    <w:rsid w:val="002D1E54"/>
    <w:rsid w:val="002D1FC3"/>
    <w:rsid w:val="002D3FD8"/>
    <w:rsid w:val="002D433C"/>
    <w:rsid w:val="002D6020"/>
    <w:rsid w:val="002D62F9"/>
    <w:rsid w:val="002D67B6"/>
    <w:rsid w:val="002D6BBA"/>
    <w:rsid w:val="002D7FBB"/>
    <w:rsid w:val="002E0925"/>
    <w:rsid w:val="002E4048"/>
    <w:rsid w:val="002E42B1"/>
    <w:rsid w:val="002E53BF"/>
    <w:rsid w:val="002E6F24"/>
    <w:rsid w:val="002E731E"/>
    <w:rsid w:val="002F081E"/>
    <w:rsid w:val="002F1866"/>
    <w:rsid w:val="002F1C28"/>
    <w:rsid w:val="002F2E6C"/>
    <w:rsid w:val="002F31F1"/>
    <w:rsid w:val="002F5561"/>
    <w:rsid w:val="002F6B09"/>
    <w:rsid w:val="00303931"/>
    <w:rsid w:val="00305905"/>
    <w:rsid w:val="00307FCF"/>
    <w:rsid w:val="0031059F"/>
    <w:rsid w:val="00310DDA"/>
    <w:rsid w:val="003115C4"/>
    <w:rsid w:val="00313130"/>
    <w:rsid w:val="00313294"/>
    <w:rsid w:val="00316719"/>
    <w:rsid w:val="00316F6F"/>
    <w:rsid w:val="00320C73"/>
    <w:rsid w:val="00322655"/>
    <w:rsid w:val="0032494F"/>
    <w:rsid w:val="00324AFE"/>
    <w:rsid w:val="00325001"/>
    <w:rsid w:val="00327BCE"/>
    <w:rsid w:val="003326FF"/>
    <w:rsid w:val="00333337"/>
    <w:rsid w:val="00334A7E"/>
    <w:rsid w:val="00335B46"/>
    <w:rsid w:val="00336FF9"/>
    <w:rsid w:val="0033795D"/>
    <w:rsid w:val="00340915"/>
    <w:rsid w:val="00341CDB"/>
    <w:rsid w:val="00343156"/>
    <w:rsid w:val="00344342"/>
    <w:rsid w:val="00344E65"/>
    <w:rsid w:val="003463E6"/>
    <w:rsid w:val="003501B1"/>
    <w:rsid w:val="00350E4C"/>
    <w:rsid w:val="003510BF"/>
    <w:rsid w:val="0035221D"/>
    <w:rsid w:val="00352D3C"/>
    <w:rsid w:val="00354170"/>
    <w:rsid w:val="00354540"/>
    <w:rsid w:val="00355F83"/>
    <w:rsid w:val="00360CC5"/>
    <w:rsid w:val="003641B5"/>
    <w:rsid w:val="0036448E"/>
    <w:rsid w:val="0036479B"/>
    <w:rsid w:val="003649B2"/>
    <w:rsid w:val="00367B4D"/>
    <w:rsid w:val="00370E5E"/>
    <w:rsid w:val="00371E42"/>
    <w:rsid w:val="003727F0"/>
    <w:rsid w:val="003736E6"/>
    <w:rsid w:val="00373E52"/>
    <w:rsid w:val="003749DB"/>
    <w:rsid w:val="003751FA"/>
    <w:rsid w:val="00377F12"/>
    <w:rsid w:val="0038247C"/>
    <w:rsid w:val="003830C3"/>
    <w:rsid w:val="00383541"/>
    <w:rsid w:val="00383FB7"/>
    <w:rsid w:val="00386B20"/>
    <w:rsid w:val="003920AD"/>
    <w:rsid w:val="003920BD"/>
    <w:rsid w:val="0039297B"/>
    <w:rsid w:val="00395D11"/>
    <w:rsid w:val="0039632B"/>
    <w:rsid w:val="00396A25"/>
    <w:rsid w:val="003A0F09"/>
    <w:rsid w:val="003A1D5C"/>
    <w:rsid w:val="003A1D65"/>
    <w:rsid w:val="003A2426"/>
    <w:rsid w:val="003A3DD8"/>
    <w:rsid w:val="003A6317"/>
    <w:rsid w:val="003A6941"/>
    <w:rsid w:val="003A711E"/>
    <w:rsid w:val="003A7983"/>
    <w:rsid w:val="003B0100"/>
    <w:rsid w:val="003B26BC"/>
    <w:rsid w:val="003B3239"/>
    <w:rsid w:val="003B6AEE"/>
    <w:rsid w:val="003B73DB"/>
    <w:rsid w:val="003C097F"/>
    <w:rsid w:val="003C1351"/>
    <w:rsid w:val="003C2653"/>
    <w:rsid w:val="003C4F05"/>
    <w:rsid w:val="003C63F8"/>
    <w:rsid w:val="003D0886"/>
    <w:rsid w:val="003D0D88"/>
    <w:rsid w:val="003D1966"/>
    <w:rsid w:val="003D50AB"/>
    <w:rsid w:val="003D6149"/>
    <w:rsid w:val="003D6386"/>
    <w:rsid w:val="003E2D7A"/>
    <w:rsid w:val="003E40CB"/>
    <w:rsid w:val="003E4428"/>
    <w:rsid w:val="003E5930"/>
    <w:rsid w:val="003E5B59"/>
    <w:rsid w:val="003E5C8D"/>
    <w:rsid w:val="003E635B"/>
    <w:rsid w:val="003F039E"/>
    <w:rsid w:val="003F1B33"/>
    <w:rsid w:val="003F43B3"/>
    <w:rsid w:val="003F4FBB"/>
    <w:rsid w:val="003F600E"/>
    <w:rsid w:val="003F7F3F"/>
    <w:rsid w:val="00402ED7"/>
    <w:rsid w:val="00402FFB"/>
    <w:rsid w:val="00403617"/>
    <w:rsid w:val="00404FD8"/>
    <w:rsid w:val="004059B4"/>
    <w:rsid w:val="00406EDA"/>
    <w:rsid w:val="004070AA"/>
    <w:rsid w:val="00410FA7"/>
    <w:rsid w:val="00412F71"/>
    <w:rsid w:val="00414E4D"/>
    <w:rsid w:val="00415163"/>
    <w:rsid w:val="00416EDC"/>
    <w:rsid w:val="004241FE"/>
    <w:rsid w:val="004265C4"/>
    <w:rsid w:val="00426F23"/>
    <w:rsid w:val="004271B4"/>
    <w:rsid w:val="004277CE"/>
    <w:rsid w:val="00430854"/>
    <w:rsid w:val="004333A4"/>
    <w:rsid w:val="00433AF4"/>
    <w:rsid w:val="00434710"/>
    <w:rsid w:val="00440BF9"/>
    <w:rsid w:val="0044268C"/>
    <w:rsid w:val="0044442F"/>
    <w:rsid w:val="00445A8B"/>
    <w:rsid w:val="00445C00"/>
    <w:rsid w:val="00446091"/>
    <w:rsid w:val="00452874"/>
    <w:rsid w:val="00452A9E"/>
    <w:rsid w:val="00453F20"/>
    <w:rsid w:val="004544B2"/>
    <w:rsid w:val="004553C2"/>
    <w:rsid w:val="00455900"/>
    <w:rsid w:val="0045619D"/>
    <w:rsid w:val="004568D8"/>
    <w:rsid w:val="00457DEC"/>
    <w:rsid w:val="00460BD5"/>
    <w:rsid w:val="004653E1"/>
    <w:rsid w:val="0046559C"/>
    <w:rsid w:val="00471F3D"/>
    <w:rsid w:val="00473E84"/>
    <w:rsid w:val="004752A9"/>
    <w:rsid w:val="00475E8D"/>
    <w:rsid w:val="00477E2E"/>
    <w:rsid w:val="00480054"/>
    <w:rsid w:val="004809C0"/>
    <w:rsid w:val="00481406"/>
    <w:rsid w:val="004817A4"/>
    <w:rsid w:val="00483E09"/>
    <w:rsid w:val="00490F7A"/>
    <w:rsid w:val="00492881"/>
    <w:rsid w:val="0049305D"/>
    <w:rsid w:val="004930CF"/>
    <w:rsid w:val="00495CB6"/>
    <w:rsid w:val="0049687D"/>
    <w:rsid w:val="00496D93"/>
    <w:rsid w:val="00496DD3"/>
    <w:rsid w:val="004975AF"/>
    <w:rsid w:val="004A1006"/>
    <w:rsid w:val="004A12F4"/>
    <w:rsid w:val="004A153C"/>
    <w:rsid w:val="004A2B03"/>
    <w:rsid w:val="004A2CAF"/>
    <w:rsid w:val="004A2DF3"/>
    <w:rsid w:val="004A5D61"/>
    <w:rsid w:val="004A69E2"/>
    <w:rsid w:val="004A6CAA"/>
    <w:rsid w:val="004A71D1"/>
    <w:rsid w:val="004A75AD"/>
    <w:rsid w:val="004A79A8"/>
    <w:rsid w:val="004B108D"/>
    <w:rsid w:val="004B2230"/>
    <w:rsid w:val="004B465C"/>
    <w:rsid w:val="004B648B"/>
    <w:rsid w:val="004B6524"/>
    <w:rsid w:val="004B6616"/>
    <w:rsid w:val="004B7906"/>
    <w:rsid w:val="004C0F1C"/>
    <w:rsid w:val="004C1906"/>
    <w:rsid w:val="004C28CF"/>
    <w:rsid w:val="004C4BC4"/>
    <w:rsid w:val="004C60CF"/>
    <w:rsid w:val="004C6B42"/>
    <w:rsid w:val="004C7488"/>
    <w:rsid w:val="004C7D5D"/>
    <w:rsid w:val="004D0A7A"/>
    <w:rsid w:val="004D1B6A"/>
    <w:rsid w:val="004D28EE"/>
    <w:rsid w:val="004D30FD"/>
    <w:rsid w:val="004D3A95"/>
    <w:rsid w:val="004D42AD"/>
    <w:rsid w:val="004D48A0"/>
    <w:rsid w:val="004D4E4F"/>
    <w:rsid w:val="004D6563"/>
    <w:rsid w:val="004D6655"/>
    <w:rsid w:val="004D6EB3"/>
    <w:rsid w:val="004E39AB"/>
    <w:rsid w:val="004E4A1D"/>
    <w:rsid w:val="004E7259"/>
    <w:rsid w:val="004F1AD5"/>
    <w:rsid w:val="004F3E5E"/>
    <w:rsid w:val="004F7742"/>
    <w:rsid w:val="004F7E2A"/>
    <w:rsid w:val="00501FF3"/>
    <w:rsid w:val="00504238"/>
    <w:rsid w:val="00507E15"/>
    <w:rsid w:val="0051001A"/>
    <w:rsid w:val="00510D2B"/>
    <w:rsid w:val="00512942"/>
    <w:rsid w:val="00516663"/>
    <w:rsid w:val="00516A08"/>
    <w:rsid w:val="00516D7C"/>
    <w:rsid w:val="0052186F"/>
    <w:rsid w:val="00522F15"/>
    <w:rsid w:val="005237A2"/>
    <w:rsid w:val="00523F3D"/>
    <w:rsid w:val="00524E6F"/>
    <w:rsid w:val="00525E0C"/>
    <w:rsid w:val="0052645B"/>
    <w:rsid w:val="00527EC3"/>
    <w:rsid w:val="00530CCA"/>
    <w:rsid w:val="00530D3E"/>
    <w:rsid w:val="00534F7A"/>
    <w:rsid w:val="00535840"/>
    <w:rsid w:val="00535ABE"/>
    <w:rsid w:val="00536E1D"/>
    <w:rsid w:val="0053718C"/>
    <w:rsid w:val="005371E9"/>
    <w:rsid w:val="0053781B"/>
    <w:rsid w:val="00540B6E"/>
    <w:rsid w:val="00541775"/>
    <w:rsid w:val="005426F5"/>
    <w:rsid w:val="005440E4"/>
    <w:rsid w:val="0054516B"/>
    <w:rsid w:val="00553634"/>
    <w:rsid w:val="00553F73"/>
    <w:rsid w:val="0055410A"/>
    <w:rsid w:val="0055584B"/>
    <w:rsid w:val="005572A4"/>
    <w:rsid w:val="00560CDE"/>
    <w:rsid w:val="00561EDA"/>
    <w:rsid w:val="005629DB"/>
    <w:rsid w:val="00562EF3"/>
    <w:rsid w:val="005636BE"/>
    <w:rsid w:val="005638A8"/>
    <w:rsid w:val="0056500C"/>
    <w:rsid w:val="005661F5"/>
    <w:rsid w:val="00566759"/>
    <w:rsid w:val="00570287"/>
    <w:rsid w:val="00571968"/>
    <w:rsid w:val="00572547"/>
    <w:rsid w:val="005729E3"/>
    <w:rsid w:val="00573237"/>
    <w:rsid w:val="00573D4D"/>
    <w:rsid w:val="0057480F"/>
    <w:rsid w:val="005764EF"/>
    <w:rsid w:val="00580C77"/>
    <w:rsid w:val="00581691"/>
    <w:rsid w:val="00581D13"/>
    <w:rsid w:val="00583E37"/>
    <w:rsid w:val="0058429C"/>
    <w:rsid w:val="005849B6"/>
    <w:rsid w:val="00585778"/>
    <w:rsid w:val="0058634F"/>
    <w:rsid w:val="00586427"/>
    <w:rsid w:val="00586596"/>
    <w:rsid w:val="005909D3"/>
    <w:rsid w:val="00590AE8"/>
    <w:rsid w:val="005913F3"/>
    <w:rsid w:val="00593752"/>
    <w:rsid w:val="00595255"/>
    <w:rsid w:val="005A63ED"/>
    <w:rsid w:val="005A691C"/>
    <w:rsid w:val="005A7231"/>
    <w:rsid w:val="005B01A2"/>
    <w:rsid w:val="005B1826"/>
    <w:rsid w:val="005B1F18"/>
    <w:rsid w:val="005B4748"/>
    <w:rsid w:val="005B4DD4"/>
    <w:rsid w:val="005B6B47"/>
    <w:rsid w:val="005B73DB"/>
    <w:rsid w:val="005B786E"/>
    <w:rsid w:val="005C07A2"/>
    <w:rsid w:val="005C4C27"/>
    <w:rsid w:val="005C5B45"/>
    <w:rsid w:val="005C748B"/>
    <w:rsid w:val="005C7DE0"/>
    <w:rsid w:val="005D4EE9"/>
    <w:rsid w:val="005D5A6D"/>
    <w:rsid w:val="005D69BF"/>
    <w:rsid w:val="005E1DCA"/>
    <w:rsid w:val="005E2229"/>
    <w:rsid w:val="005E2295"/>
    <w:rsid w:val="005E2658"/>
    <w:rsid w:val="005E3DDC"/>
    <w:rsid w:val="005E5A2C"/>
    <w:rsid w:val="005E719B"/>
    <w:rsid w:val="005F0C39"/>
    <w:rsid w:val="005F147A"/>
    <w:rsid w:val="005F1BB6"/>
    <w:rsid w:val="005F1FA7"/>
    <w:rsid w:val="005F3442"/>
    <w:rsid w:val="005F397E"/>
    <w:rsid w:val="005F3D67"/>
    <w:rsid w:val="005F4BA8"/>
    <w:rsid w:val="005F6006"/>
    <w:rsid w:val="005F7882"/>
    <w:rsid w:val="005F7A01"/>
    <w:rsid w:val="00600BCC"/>
    <w:rsid w:val="00600D1A"/>
    <w:rsid w:val="0060295A"/>
    <w:rsid w:val="00605745"/>
    <w:rsid w:val="00605DEB"/>
    <w:rsid w:val="0060608E"/>
    <w:rsid w:val="00611D4D"/>
    <w:rsid w:val="0061264A"/>
    <w:rsid w:val="006127E5"/>
    <w:rsid w:val="00612CCB"/>
    <w:rsid w:val="00614890"/>
    <w:rsid w:val="0061598D"/>
    <w:rsid w:val="006220C2"/>
    <w:rsid w:val="00622215"/>
    <w:rsid w:val="00624F92"/>
    <w:rsid w:val="006252E2"/>
    <w:rsid w:val="006253C4"/>
    <w:rsid w:val="0062585C"/>
    <w:rsid w:val="0062717A"/>
    <w:rsid w:val="00627271"/>
    <w:rsid w:val="006278CF"/>
    <w:rsid w:val="00631334"/>
    <w:rsid w:val="00633066"/>
    <w:rsid w:val="0063320A"/>
    <w:rsid w:val="00634337"/>
    <w:rsid w:val="00636089"/>
    <w:rsid w:val="00637426"/>
    <w:rsid w:val="006378D7"/>
    <w:rsid w:val="00643D42"/>
    <w:rsid w:val="006460BC"/>
    <w:rsid w:val="00650797"/>
    <w:rsid w:val="0065191B"/>
    <w:rsid w:val="006534B6"/>
    <w:rsid w:val="006562B2"/>
    <w:rsid w:val="00657EEF"/>
    <w:rsid w:val="00660C16"/>
    <w:rsid w:val="00663120"/>
    <w:rsid w:val="006633BE"/>
    <w:rsid w:val="0066393F"/>
    <w:rsid w:val="0066478C"/>
    <w:rsid w:val="00664FD0"/>
    <w:rsid w:val="00665510"/>
    <w:rsid w:val="00665D5E"/>
    <w:rsid w:val="00666DCD"/>
    <w:rsid w:val="0067017A"/>
    <w:rsid w:val="006712C2"/>
    <w:rsid w:val="00671CB4"/>
    <w:rsid w:val="006761E1"/>
    <w:rsid w:val="00676652"/>
    <w:rsid w:val="006766CD"/>
    <w:rsid w:val="006770B6"/>
    <w:rsid w:val="006777C3"/>
    <w:rsid w:val="00677BF5"/>
    <w:rsid w:val="00680FDD"/>
    <w:rsid w:val="00682CCE"/>
    <w:rsid w:val="00683FDA"/>
    <w:rsid w:val="00684AE0"/>
    <w:rsid w:val="00684F69"/>
    <w:rsid w:val="00685816"/>
    <w:rsid w:val="00692078"/>
    <w:rsid w:val="00692A14"/>
    <w:rsid w:val="00692CC7"/>
    <w:rsid w:val="00694EFC"/>
    <w:rsid w:val="00695C8C"/>
    <w:rsid w:val="00696360"/>
    <w:rsid w:val="00696774"/>
    <w:rsid w:val="00696E00"/>
    <w:rsid w:val="0069746F"/>
    <w:rsid w:val="0069758C"/>
    <w:rsid w:val="006A0B09"/>
    <w:rsid w:val="006A1065"/>
    <w:rsid w:val="006A1A08"/>
    <w:rsid w:val="006A2E06"/>
    <w:rsid w:val="006A2E2D"/>
    <w:rsid w:val="006A31A7"/>
    <w:rsid w:val="006A6A98"/>
    <w:rsid w:val="006A6C83"/>
    <w:rsid w:val="006A7582"/>
    <w:rsid w:val="006A75FE"/>
    <w:rsid w:val="006B28A4"/>
    <w:rsid w:val="006B4BC1"/>
    <w:rsid w:val="006B64ED"/>
    <w:rsid w:val="006B6923"/>
    <w:rsid w:val="006B7B2D"/>
    <w:rsid w:val="006C037D"/>
    <w:rsid w:val="006C0B8E"/>
    <w:rsid w:val="006C3378"/>
    <w:rsid w:val="006C4EF8"/>
    <w:rsid w:val="006C64DB"/>
    <w:rsid w:val="006C68E5"/>
    <w:rsid w:val="006C6D3C"/>
    <w:rsid w:val="006C728E"/>
    <w:rsid w:val="006D39BA"/>
    <w:rsid w:val="006D4DB7"/>
    <w:rsid w:val="006D5024"/>
    <w:rsid w:val="006D7FDE"/>
    <w:rsid w:val="006E0C88"/>
    <w:rsid w:val="006E22DC"/>
    <w:rsid w:val="006E4530"/>
    <w:rsid w:val="006E53AD"/>
    <w:rsid w:val="006E5968"/>
    <w:rsid w:val="006E6FA6"/>
    <w:rsid w:val="006E7326"/>
    <w:rsid w:val="006E7F42"/>
    <w:rsid w:val="006F0E83"/>
    <w:rsid w:val="006F34ED"/>
    <w:rsid w:val="006F3543"/>
    <w:rsid w:val="006F38A9"/>
    <w:rsid w:val="006F59CD"/>
    <w:rsid w:val="006F5A27"/>
    <w:rsid w:val="006F6678"/>
    <w:rsid w:val="006F699F"/>
    <w:rsid w:val="006F742A"/>
    <w:rsid w:val="006F7876"/>
    <w:rsid w:val="00701334"/>
    <w:rsid w:val="00701352"/>
    <w:rsid w:val="007021EC"/>
    <w:rsid w:val="00704895"/>
    <w:rsid w:val="00705823"/>
    <w:rsid w:val="00707F2F"/>
    <w:rsid w:val="00712AA3"/>
    <w:rsid w:val="00713C4C"/>
    <w:rsid w:val="00713F76"/>
    <w:rsid w:val="007161CF"/>
    <w:rsid w:val="007167E3"/>
    <w:rsid w:val="00716C78"/>
    <w:rsid w:val="00716D15"/>
    <w:rsid w:val="007170C7"/>
    <w:rsid w:val="00720070"/>
    <w:rsid w:val="00722DE6"/>
    <w:rsid w:val="00723037"/>
    <w:rsid w:val="0072381A"/>
    <w:rsid w:val="00724BBE"/>
    <w:rsid w:val="0072540A"/>
    <w:rsid w:val="0072587F"/>
    <w:rsid w:val="007318D4"/>
    <w:rsid w:val="00733132"/>
    <w:rsid w:val="00734C74"/>
    <w:rsid w:val="0073521B"/>
    <w:rsid w:val="00736C66"/>
    <w:rsid w:val="00737779"/>
    <w:rsid w:val="00741A3E"/>
    <w:rsid w:val="0074460A"/>
    <w:rsid w:val="0074565D"/>
    <w:rsid w:val="00745FE5"/>
    <w:rsid w:val="00746B97"/>
    <w:rsid w:val="007513B0"/>
    <w:rsid w:val="00751A66"/>
    <w:rsid w:val="00751B1A"/>
    <w:rsid w:val="00752AE8"/>
    <w:rsid w:val="0075315C"/>
    <w:rsid w:val="00755205"/>
    <w:rsid w:val="00755E98"/>
    <w:rsid w:val="0076066C"/>
    <w:rsid w:val="00760A7F"/>
    <w:rsid w:val="00760D14"/>
    <w:rsid w:val="007611A1"/>
    <w:rsid w:val="00761E4E"/>
    <w:rsid w:val="0076228B"/>
    <w:rsid w:val="007627D0"/>
    <w:rsid w:val="00764B31"/>
    <w:rsid w:val="007673A5"/>
    <w:rsid w:val="00771EA4"/>
    <w:rsid w:val="00772138"/>
    <w:rsid w:val="00772F05"/>
    <w:rsid w:val="00774958"/>
    <w:rsid w:val="00776005"/>
    <w:rsid w:val="0077766B"/>
    <w:rsid w:val="00781248"/>
    <w:rsid w:val="00782554"/>
    <w:rsid w:val="00786EEE"/>
    <w:rsid w:val="00787EBE"/>
    <w:rsid w:val="00790F2F"/>
    <w:rsid w:val="00791C3B"/>
    <w:rsid w:val="00792C37"/>
    <w:rsid w:val="007933B7"/>
    <w:rsid w:val="007946AC"/>
    <w:rsid w:val="00794D1A"/>
    <w:rsid w:val="00796C79"/>
    <w:rsid w:val="007976A4"/>
    <w:rsid w:val="007A2A68"/>
    <w:rsid w:val="007A464F"/>
    <w:rsid w:val="007A4820"/>
    <w:rsid w:val="007A5CDE"/>
    <w:rsid w:val="007B09AA"/>
    <w:rsid w:val="007B0C3A"/>
    <w:rsid w:val="007B0C60"/>
    <w:rsid w:val="007B2A95"/>
    <w:rsid w:val="007B2EBE"/>
    <w:rsid w:val="007B3736"/>
    <w:rsid w:val="007B3D38"/>
    <w:rsid w:val="007B4729"/>
    <w:rsid w:val="007B6305"/>
    <w:rsid w:val="007B6AF3"/>
    <w:rsid w:val="007B6C42"/>
    <w:rsid w:val="007B76C7"/>
    <w:rsid w:val="007B7A2D"/>
    <w:rsid w:val="007C0496"/>
    <w:rsid w:val="007C3661"/>
    <w:rsid w:val="007C4BD0"/>
    <w:rsid w:val="007C522B"/>
    <w:rsid w:val="007C5BE5"/>
    <w:rsid w:val="007D1ACA"/>
    <w:rsid w:val="007D315A"/>
    <w:rsid w:val="007D39FB"/>
    <w:rsid w:val="007D3F46"/>
    <w:rsid w:val="007D5D83"/>
    <w:rsid w:val="007D7FD6"/>
    <w:rsid w:val="007E0A66"/>
    <w:rsid w:val="007E291C"/>
    <w:rsid w:val="007E4157"/>
    <w:rsid w:val="007E4747"/>
    <w:rsid w:val="007E48F8"/>
    <w:rsid w:val="007E4A4B"/>
    <w:rsid w:val="007E4BC4"/>
    <w:rsid w:val="007E5825"/>
    <w:rsid w:val="007E7250"/>
    <w:rsid w:val="007F2218"/>
    <w:rsid w:val="007F4611"/>
    <w:rsid w:val="007F48C6"/>
    <w:rsid w:val="007F4B09"/>
    <w:rsid w:val="007F5987"/>
    <w:rsid w:val="007F70DE"/>
    <w:rsid w:val="007F71D9"/>
    <w:rsid w:val="00802F07"/>
    <w:rsid w:val="00803C53"/>
    <w:rsid w:val="00804B3B"/>
    <w:rsid w:val="008056CC"/>
    <w:rsid w:val="008069AB"/>
    <w:rsid w:val="00816711"/>
    <w:rsid w:val="0081753A"/>
    <w:rsid w:val="0082122E"/>
    <w:rsid w:val="0082306E"/>
    <w:rsid w:val="00823109"/>
    <w:rsid w:val="008279AA"/>
    <w:rsid w:val="00827DB3"/>
    <w:rsid w:val="00830086"/>
    <w:rsid w:val="00830D62"/>
    <w:rsid w:val="00830F5F"/>
    <w:rsid w:val="0083145C"/>
    <w:rsid w:val="008317F5"/>
    <w:rsid w:val="008324B5"/>
    <w:rsid w:val="00833281"/>
    <w:rsid w:val="00833421"/>
    <w:rsid w:val="00834295"/>
    <w:rsid w:val="00837A65"/>
    <w:rsid w:val="008402EC"/>
    <w:rsid w:val="008414D3"/>
    <w:rsid w:val="00842EEF"/>
    <w:rsid w:val="00843116"/>
    <w:rsid w:val="008439D9"/>
    <w:rsid w:val="00845798"/>
    <w:rsid w:val="00846941"/>
    <w:rsid w:val="00846C32"/>
    <w:rsid w:val="0085186A"/>
    <w:rsid w:val="0085312E"/>
    <w:rsid w:val="00853B74"/>
    <w:rsid w:val="00853FE7"/>
    <w:rsid w:val="00854112"/>
    <w:rsid w:val="00854F97"/>
    <w:rsid w:val="00855426"/>
    <w:rsid w:val="00857DEA"/>
    <w:rsid w:val="00860B3C"/>
    <w:rsid w:val="00861318"/>
    <w:rsid w:val="00861A36"/>
    <w:rsid w:val="0086301D"/>
    <w:rsid w:val="008630EF"/>
    <w:rsid w:val="00867439"/>
    <w:rsid w:val="00867A74"/>
    <w:rsid w:val="00870A35"/>
    <w:rsid w:val="00871884"/>
    <w:rsid w:val="00877187"/>
    <w:rsid w:val="00881E3E"/>
    <w:rsid w:val="00882550"/>
    <w:rsid w:val="00883C47"/>
    <w:rsid w:val="00883D6A"/>
    <w:rsid w:val="00883EB9"/>
    <w:rsid w:val="00884DF3"/>
    <w:rsid w:val="0088547F"/>
    <w:rsid w:val="00885483"/>
    <w:rsid w:val="00887616"/>
    <w:rsid w:val="00890BDA"/>
    <w:rsid w:val="00891B5F"/>
    <w:rsid w:val="00892179"/>
    <w:rsid w:val="00893DDF"/>
    <w:rsid w:val="00894B71"/>
    <w:rsid w:val="00894FBF"/>
    <w:rsid w:val="008952BE"/>
    <w:rsid w:val="00896B2B"/>
    <w:rsid w:val="008A046C"/>
    <w:rsid w:val="008A0D33"/>
    <w:rsid w:val="008A16EB"/>
    <w:rsid w:val="008A1CE6"/>
    <w:rsid w:val="008A2903"/>
    <w:rsid w:val="008A31A5"/>
    <w:rsid w:val="008A3E23"/>
    <w:rsid w:val="008A5179"/>
    <w:rsid w:val="008A5F15"/>
    <w:rsid w:val="008B14C5"/>
    <w:rsid w:val="008B1B3A"/>
    <w:rsid w:val="008B6A9C"/>
    <w:rsid w:val="008C1BD3"/>
    <w:rsid w:val="008C1BF9"/>
    <w:rsid w:val="008C1C0F"/>
    <w:rsid w:val="008C2F02"/>
    <w:rsid w:val="008C3C21"/>
    <w:rsid w:val="008C4D4D"/>
    <w:rsid w:val="008C793B"/>
    <w:rsid w:val="008D2544"/>
    <w:rsid w:val="008D57ED"/>
    <w:rsid w:val="008D646E"/>
    <w:rsid w:val="008E003F"/>
    <w:rsid w:val="008E362E"/>
    <w:rsid w:val="008E5B22"/>
    <w:rsid w:val="008F06AF"/>
    <w:rsid w:val="008F1077"/>
    <w:rsid w:val="008F1112"/>
    <w:rsid w:val="008F14EE"/>
    <w:rsid w:val="008F2808"/>
    <w:rsid w:val="008F325D"/>
    <w:rsid w:val="008F4B5F"/>
    <w:rsid w:val="008F4C86"/>
    <w:rsid w:val="008F4ECC"/>
    <w:rsid w:val="008F541B"/>
    <w:rsid w:val="008F5C59"/>
    <w:rsid w:val="008F61C3"/>
    <w:rsid w:val="008F6885"/>
    <w:rsid w:val="008F72CD"/>
    <w:rsid w:val="008F74DD"/>
    <w:rsid w:val="00902952"/>
    <w:rsid w:val="00904858"/>
    <w:rsid w:val="00904F40"/>
    <w:rsid w:val="00905ACD"/>
    <w:rsid w:val="00906137"/>
    <w:rsid w:val="00906E17"/>
    <w:rsid w:val="009124E4"/>
    <w:rsid w:val="009125ED"/>
    <w:rsid w:val="00913E7B"/>
    <w:rsid w:val="00914126"/>
    <w:rsid w:val="00914EA5"/>
    <w:rsid w:val="0091722B"/>
    <w:rsid w:val="00920B92"/>
    <w:rsid w:val="0092138A"/>
    <w:rsid w:val="00923726"/>
    <w:rsid w:val="00923D02"/>
    <w:rsid w:val="0092451B"/>
    <w:rsid w:val="00924AB2"/>
    <w:rsid w:val="009258D2"/>
    <w:rsid w:val="00925D16"/>
    <w:rsid w:val="009264C2"/>
    <w:rsid w:val="00926B0B"/>
    <w:rsid w:val="00926C96"/>
    <w:rsid w:val="009272D9"/>
    <w:rsid w:val="00930CEA"/>
    <w:rsid w:val="00935E17"/>
    <w:rsid w:val="00941ED7"/>
    <w:rsid w:val="009426E3"/>
    <w:rsid w:val="00942FA3"/>
    <w:rsid w:val="009445CC"/>
    <w:rsid w:val="00945721"/>
    <w:rsid w:val="009463ED"/>
    <w:rsid w:val="00951E2B"/>
    <w:rsid w:val="00952B2A"/>
    <w:rsid w:val="0095588E"/>
    <w:rsid w:val="0095593B"/>
    <w:rsid w:val="009573C4"/>
    <w:rsid w:val="00962CCF"/>
    <w:rsid w:val="00964938"/>
    <w:rsid w:val="0096665B"/>
    <w:rsid w:val="0096779F"/>
    <w:rsid w:val="009700EB"/>
    <w:rsid w:val="0097273F"/>
    <w:rsid w:val="00973409"/>
    <w:rsid w:val="009742C0"/>
    <w:rsid w:val="00975178"/>
    <w:rsid w:val="00976220"/>
    <w:rsid w:val="009807B6"/>
    <w:rsid w:val="009820BC"/>
    <w:rsid w:val="00983A52"/>
    <w:rsid w:val="00984959"/>
    <w:rsid w:val="0098734E"/>
    <w:rsid w:val="00990B54"/>
    <w:rsid w:val="00993146"/>
    <w:rsid w:val="00995723"/>
    <w:rsid w:val="00996BA5"/>
    <w:rsid w:val="009A2D89"/>
    <w:rsid w:val="009A31F8"/>
    <w:rsid w:val="009A3432"/>
    <w:rsid w:val="009A366B"/>
    <w:rsid w:val="009A4892"/>
    <w:rsid w:val="009B2313"/>
    <w:rsid w:val="009B73DA"/>
    <w:rsid w:val="009C0D53"/>
    <w:rsid w:val="009C16E2"/>
    <w:rsid w:val="009C1F49"/>
    <w:rsid w:val="009C2221"/>
    <w:rsid w:val="009C2246"/>
    <w:rsid w:val="009C2C97"/>
    <w:rsid w:val="009C38F5"/>
    <w:rsid w:val="009C71E7"/>
    <w:rsid w:val="009C7C11"/>
    <w:rsid w:val="009D0482"/>
    <w:rsid w:val="009D16F9"/>
    <w:rsid w:val="009D26F3"/>
    <w:rsid w:val="009D2894"/>
    <w:rsid w:val="009D36AF"/>
    <w:rsid w:val="009D3AC0"/>
    <w:rsid w:val="009D3B12"/>
    <w:rsid w:val="009D4295"/>
    <w:rsid w:val="009D555B"/>
    <w:rsid w:val="009D5561"/>
    <w:rsid w:val="009D729D"/>
    <w:rsid w:val="009D7B5E"/>
    <w:rsid w:val="009D7F91"/>
    <w:rsid w:val="009E0AD9"/>
    <w:rsid w:val="009E1F56"/>
    <w:rsid w:val="009E2862"/>
    <w:rsid w:val="009E5DAE"/>
    <w:rsid w:val="009E61EE"/>
    <w:rsid w:val="009E64CD"/>
    <w:rsid w:val="009F119D"/>
    <w:rsid w:val="009F3839"/>
    <w:rsid w:val="009F5E3C"/>
    <w:rsid w:val="009F7362"/>
    <w:rsid w:val="009F784E"/>
    <w:rsid w:val="00A049CE"/>
    <w:rsid w:val="00A04CEB"/>
    <w:rsid w:val="00A0683E"/>
    <w:rsid w:val="00A11A89"/>
    <w:rsid w:val="00A13566"/>
    <w:rsid w:val="00A13DAA"/>
    <w:rsid w:val="00A14150"/>
    <w:rsid w:val="00A1430D"/>
    <w:rsid w:val="00A16CA2"/>
    <w:rsid w:val="00A178C3"/>
    <w:rsid w:val="00A2086C"/>
    <w:rsid w:val="00A22DAC"/>
    <w:rsid w:val="00A233D7"/>
    <w:rsid w:val="00A24FF5"/>
    <w:rsid w:val="00A25C8F"/>
    <w:rsid w:val="00A311A1"/>
    <w:rsid w:val="00A33657"/>
    <w:rsid w:val="00A34186"/>
    <w:rsid w:val="00A359D1"/>
    <w:rsid w:val="00A3694B"/>
    <w:rsid w:val="00A36ADA"/>
    <w:rsid w:val="00A43E6A"/>
    <w:rsid w:val="00A45909"/>
    <w:rsid w:val="00A46EB3"/>
    <w:rsid w:val="00A52665"/>
    <w:rsid w:val="00A5283C"/>
    <w:rsid w:val="00A5359B"/>
    <w:rsid w:val="00A536EF"/>
    <w:rsid w:val="00A5429F"/>
    <w:rsid w:val="00A54579"/>
    <w:rsid w:val="00A558ED"/>
    <w:rsid w:val="00A60B73"/>
    <w:rsid w:val="00A62815"/>
    <w:rsid w:val="00A65E89"/>
    <w:rsid w:val="00A66343"/>
    <w:rsid w:val="00A706A3"/>
    <w:rsid w:val="00A710C7"/>
    <w:rsid w:val="00A71625"/>
    <w:rsid w:val="00A7326A"/>
    <w:rsid w:val="00A75241"/>
    <w:rsid w:val="00A778B7"/>
    <w:rsid w:val="00A80AAF"/>
    <w:rsid w:val="00A81EBB"/>
    <w:rsid w:val="00A831B6"/>
    <w:rsid w:val="00A83889"/>
    <w:rsid w:val="00A90B10"/>
    <w:rsid w:val="00A93887"/>
    <w:rsid w:val="00A94ABB"/>
    <w:rsid w:val="00A94B9C"/>
    <w:rsid w:val="00A953FC"/>
    <w:rsid w:val="00A966D2"/>
    <w:rsid w:val="00A9749B"/>
    <w:rsid w:val="00AA1B4D"/>
    <w:rsid w:val="00AA1EAC"/>
    <w:rsid w:val="00AA39B6"/>
    <w:rsid w:val="00AA44A7"/>
    <w:rsid w:val="00AA5B76"/>
    <w:rsid w:val="00AA5C6C"/>
    <w:rsid w:val="00AA7E22"/>
    <w:rsid w:val="00AB119F"/>
    <w:rsid w:val="00AB2DDC"/>
    <w:rsid w:val="00AB485C"/>
    <w:rsid w:val="00AB4B3B"/>
    <w:rsid w:val="00AB5CD2"/>
    <w:rsid w:val="00AB6479"/>
    <w:rsid w:val="00AC2FD4"/>
    <w:rsid w:val="00AC3749"/>
    <w:rsid w:val="00AC50BF"/>
    <w:rsid w:val="00AC6C03"/>
    <w:rsid w:val="00AC737D"/>
    <w:rsid w:val="00AC7400"/>
    <w:rsid w:val="00AD0050"/>
    <w:rsid w:val="00AD1B6E"/>
    <w:rsid w:val="00AD271C"/>
    <w:rsid w:val="00AD2E04"/>
    <w:rsid w:val="00AD5DCD"/>
    <w:rsid w:val="00AD6F6A"/>
    <w:rsid w:val="00AD7416"/>
    <w:rsid w:val="00AD7725"/>
    <w:rsid w:val="00AE03D8"/>
    <w:rsid w:val="00AE1DE8"/>
    <w:rsid w:val="00AE44F4"/>
    <w:rsid w:val="00AE74D4"/>
    <w:rsid w:val="00AF00F3"/>
    <w:rsid w:val="00AF196A"/>
    <w:rsid w:val="00AF1A75"/>
    <w:rsid w:val="00AF29F1"/>
    <w:rsid w:val="00AF2F42"/>
    <w:rsid w:val="00AF3724"/>
    <w:rsid w:val="00AF483C"/>
    <w:rsid w:val="00AF53F3"/>
    <w:rsid w:val="00AF5913"/>
    <w:rsid w:val="00AF7AEF"/>
    <w:rsid w:val="00B01582"/>
    <w:rsid w:val="00B04458"/>
    <w:rsid w:val="00B0514D"/>
    <w:rsid w:val="00B05CBD"/>
    <w:rsid w:val="00B064A4"/>
    <w:rsid w:val="00B066BF"/>
    <w:rsid w:val="00B0683A"/>
    <w:rsid w:val="00B0684E"/>
    <w:rsid w:val="00B06AC0"/>
    <w:rsid w:val="00B07CB9"/>
    <w:rsid w:val="00B10C3B"/>
    <w:rsid w:val="00B127D3"/>
    <w:rsid w:val="00B12BF1"/>
    <w:rsid w:val="00B1507B"/>
    <w:rsid w:val="00B21A37"/>
    <w:rsid w:val="00B21E71"/>
    <w:rsid w:val="00B21EA5"/>
    <w:rsid w:val="00B238DC"/>
    <w:rsid w:val="00B25B0F"/>
    <w:rsid w:val="00B26A41"/>
    <w:rsid w:val="00B26D38"/>
    <w:rsid w:val="00B321C0"/>
    <w:rsid w:val="00B3282D"/>
    <w:rsid w:val="00B33CA0"/>
    <w:rsid w:val="00B3435B"/>
    <w:rsid w:val="00B34B3B"/>
    <w:rsid w:val="00B35DDB"/>
    <w:rsid w:val="00B376B9"/>
    <w:rsid w:val="00B37AF8"/>
    <w:rsid w:val="00B4038E"/>
    <w:rsid w:val="00B40B6E"/>
    <w:rsid w:val="00B410E7"/>
    <w:rsid w:val="00B41A01"/>
    <w:rsid w:val="00B41D9F"/>
    <w:rsid w:val="00B424F1"/>
    <w:rsid w:val="00B43A36"/>
    <w:rsid w:val="00B443EE"/>
    <w:rsid w:val="00B557FF"/>
    <w:rsid w:val="00B5777D"/>
    <w:rsid w:val="00B62577"/>
    <w:rsid w:val="00B6321E"/>
    <w:rsid w:val="00B6361B"/>
    <w:rsid w:val="00B63ED8"/>
    <w:rsid w:val="00B65308"/>
    <w:rsid w:val="00B70257"/>
    <w:rsid w:val="00B72D8F"/>
    <w:rsid w:val="00B73626"/>
    <w:rsid w:val="00B73819"/>
    <w:rsid w:val="00B73B14"/>
    <w:rsid w:val="00B73C54"/>
    <w:rsid w:val="00B750EE"/>
    <w:rsid w:val="00B76F1A"/>
    <w:rsid w:val="00B7746F"/>
    <w:rsid w:val="00B8183C"/>
    <w:rsid w:val="00B81A09"/>
    <w:rsid w:val="00B81B54"/>
    <w:rsid w:val="00B83AF8"/>
    <w:rsid w:val="00B8416D"/>
    <w:rsid w:val="00B8505B"/>
    <w:rsid w:val="00B953D9"/>
    <w:rsid w:val="00B971DB"/>
    <w:rsid w:val="00B97564"/>
    <w:rsid w:val="00B97D94"/>
    <w:rsid w:val="00BA169D"/>
    <w:rsid w:val="00BA372D"/>
    <w:rsid w:val="00BA3A91"/>
    <w:rsid w:val="00BA47F4"/>
    <w:rsid w:val="00BA7243"/>
    <w:rsid w:val="00BB0B65"/>
    <w:rsid w:val="00BB1727"/>
    <w:rsid w:val="00BB3FF8"/>
    <w:rsid w:val="00BB47F3"/>
    <w:rsid w:val="00BB51FA"/>
    <w:rsid w:val="00BB7271"/>
    <w:rsid w:val="00BC1378"/>
    <w:rsid w:val="00BD18DE"/>
    <w:rsid w:val="00BD1CD3"/>
    <w:rsid w:val="00BD36E6"/>
    <w:rsid w:val="00BD5380"/>
    <w:rsid w:val="00BD6A20"/>
    <w:rsid w:val="00BD7358"/>
    <w:rsid w:val="00BD7597"/>
    <w:rsid w:val="00BE048F"/>
    <w:rsid w:val="00BE06B4"/>
    <w:rsid w:val="00BE4BBA"/>
    <w:rsid w:val="00BE5156"/>
    <w:rsid w:val="00BE5AFB"/>
    <w:rsid w:val="00BE6C51"/>
    <w:rsid w:val="00BF14A7"/>
    <w:rsid w:val="00BF594D"/>
    <w:rsid w:val="00BF5A29"/>
    <w:rsid w:val="00BF5B2E"/>
    <w:rsid w:val="00BF617F"/>
    <w:rsid w:val="00C0104E"/>
    <w:rsid w:val="00C0268E"/>
    <w:rsid w:val="00C02978"/>
    <w:rsid w:val="00C04D32"/>
    <w:rsid w:val="00C125E3"/>
    <w:rsid w:val="00C153B8"/>
    <w:rsid w:val="00C15553"/>
    <w:rsid w:val="00C22ABE"/>
    <w:rsid w:val="00C2351C"/>
    <w:rsid w:val="00C23702"/>
    <w:rsid w:val="00C25878"/>
    <w:rsid w:val="00C25F49"/>
    <w:rsid w:val="00C2724E"/>
    <w:rsid w:val="00C275A6"/>
    <w:rsid w:val="00C312FE"/>
    <w:rsid w:val="00C31398"/>
    <w:rsid w:val="00C318AE"/>
    <w:rsid w:val="00C319AE"/>
    <w:rsid w:val="00C32C6C"/>
    <w:rsid w:val="00C32E3C"/>
    <w:rsid w:val="00C33C4B"/>
    <w:rsid w:val="00C34DF5"/>
    <w:rsid w:val="00C34F7A"/>
    <w:rsid w:val="00C3603F"/>
    <w:rsid w:val="00C37224"/>
    <w:rsid w:val="00C44E74"/>
    <w:rsid w:val="00C46472"/>
    <w:rsid w:val="00C468D7"/>
    <w:rsid w:val="00C50051"/>
    <w:rsid w:val="00C50430"/>
    <w:rsid w:val="00C5686E"/>
    <w:rsid w:val="00C572F9"/>
    <w:rsid w:val="00C61266"/>
    <w:rsid w:val="00C61945"/>
    <w:rsid w:val="00C6227D"/>
    <w:rsid w:val="00C6358B"/>
    <w:rsid w:val="00C63CAD"/>
    <w:rsid w:val="00C66B54"/>
    <w:rsid w:val="00C67357"/>
    <w:rsid w:val="00C702EC"/>
    <w:rsid w:val="00C72666"/>
    <w:rsid w:val="00C73E84"/>
    <w:rsid w:val="00C74A1D"/>
    <w:rsid w:val="00C80007"/>
    <w:rsid w:val="00C80257"/>
    <w:rsid w:val="00C806D3"/>
    <w:rsid w:val="00C831DD"/>
    <w:rsid w:val="00C83E7E"/>
    <w:rsid w:val="00C842D7"/>
    <w:rsid w:val="00C84577"/>
    <w:rsid w:val="00C87905"/>
    <w:rsid w:val="00C911A5"/>
    <w:rsid w:val="00C918EB"/>
    <w:rsid w:val="00C9367A"/>
    <w:rsid w:val="00C951E3"/>
    <w:rsid w:val="00C958D6"/>
    <w:rsid w:val="00C97CCC"/>
    <w:rsid w:val="00CA1464"/>
    <w:rsid w:val="00CA3B19"/>
    <w:rsid w:val="00CA5B08"/>
    <w:rsid w:val="00CA7C48"/>
    <w:rsid w:val="00CB11D9"/>
    <w:rsid w:val="00CB1BE3"/>
    <w:rsid w:val="00CB1C74"/>
    <w:rsid w:val="00CB43B5"/>
    <w:rsid w:val="00CC1D30"/>
    <w:rsid w:val="00CC21B3"/>
    <w:rsid w:val="00CC3A43"/>
    <w:rsid w:val="00CC66EB"/>
    <w:rsid w:val="00CC716E"/>
    <w:rsid w:val="00CD14B1"/>
    <w:rsid w:val="00CD3866"/>
    <w:rsid w:val="00CD65CB"/>
    <w:rsid w:val="00CE27DF"/>
    <w:rsid w:val="00CE286D"/>
    <w:rsid w:val="00CE31D1"/>
    <w:rsid w:val="00CE43D7"/>
    <w:rsid w:val="00CE451F"/>
    <w:rsid w:val="00CE466F"/>
    <w:rsid w:val="00CE68E8"/>
    <w:rsid w:val="00CE6EB3"/>
    <w:rsid w:val="00CE7C46"/>
    <w:rsid w:val="00CF0533"/>
    <w:rsid w:val="00CF1CBB"/>
    <w:rsid w:val="00CF2585"/>
    <w:rsid w:val="00CF36AB"/>
    <w:rsid w:val="00CF36E5"/>
    <w:rsid w:val="00CF424E"/>
    <w:rsid w:val="00CF5361"/>
    <w:rsid w:val="00CF6E4A"/>
    <w:rsid w:val="00D02542"/>
    <w:rsid w:val="00D04A36"/>
    <w:rsid w:val="00D04FB2"/>
    <w:rsid w:val="00D04FDD"/>
    <w:rsid w:val="00D06E6A"/>
    <w:rsid w:val="00D079BE"/>
    <w:rsid w:val="00D07C64"/>
    <w:rsid w:val="00D07FB3"/>
    <w:rsid w:val="00D1251A"/>
    <w:rsid w:val="00D129D9"/>
    <w:rsid w:val="00D12C5B"/>
    <w:rsid w:val="00D14906"/>
    <w:rsid w:val="00D153FE"/>
    <w:rsid w:val="00D16652"/>
    <w:rsid w:val="00D166A9"/>
    <w:rsid w:val="00D2190F"/>
    <w:rsid w:val="00D226AC"/>
    <w:rsid w:val="00D234D3"/>
    <w:rsid w:val="00D24A78"/>
    <w:rsid w:val="00D25638"/>
    <w:rsid w:val="00D2574A"/>
    <w:rsid w:val="00D2702F"/>
    <w:rsid w:val="00D27D54"/>
    <w:rsid w:val="00D33A35"/>
    <w:rsid w:val="00D348AE"/>
    <w:rsid w:val="00D34F12"/>
    <w:rsid w:val="00D3617A"/>
    <w:rsid w:val="00D3632D"/>
    <w:rsid w:val="00D365DA"/>
    <w:rsid w:val="00D36C20"/>
    <w:rsid w:val="00D3762A"/>
    <w:rsid w:val="00D409A9"/>
    <w:rsid w:val="00D412EB"/>
    <w:rsid w:val="00D423D1"/>
    <w:rsid w:val="00D428B6"/>
    <w:rsid w:val="00D43F84"/>
    <w:rsid w:val="00D53EB4"/>
    <w:rsid w:val="00D545D4"/>
    <w:rsid w:val="00D553AF"/>
    <w:rsid w:val="00D6147A"/>
    <w:rsid w:val="00D61ACB"/>
    <w:rsid w:val="00D61F7B"/>
    <w:rsid w:val="00D647EA"/>
    <w:rsid w:val="00D659E6"/>
    <w:rsid w:val="00D66237"/>
    <w:rsid w:val="00D6646D"/>
    <w:rsid w:val="00D6661E"/>
    <w:rsid w:val="00D67B92"/>
    <w:rsid w:val="00D710F4"/>
    <w:rsid w:val="00D7225F"/>
    <w:rsid w:val="00D743E4"/>
    <w:rsid w:val="00D749C8"/>
    <w:rsid w:val="00D75CA5"/>
    <w:rsid w:val="00D75D4F"/>
    <w:rsid w:val="00D75FA3"/>
    <w:rsid w:val="00D76336"/>
    <w:rsid w:val="00D77686"/>
    <w:rsid w:val="00D778E4"/>
    <w:rsid w:val="00D80C39"/>
    <w:rsid w:val="00D820E9"/>
    <w:rsid w:val="00D843AC"/>
    <w:rsid w:val="00D8699E"/>
    <w:rsid w:val="00D86E21"/>
    <w:rsid w:val="00D94B6A"/>
    <w:rsid w:val="00D94EB6"/>
    <w:rsid w:val="00D9721C"/>
    <w:rsid w:val="00DA24CA"/>
    <w:rsid w:val="00DA2824"/>
    <w:rsid w:val="00DA2FB0"/>
    <w:rsid w:val="00DA3099"/>
    <w:rsid w:val="00DA36FC"/>
    <w:rsid w:val="00DA3B64"/>
    <w:rsid w:val="00DA6A0B"/>
    <w:rsid w:val="00DB0FC3"/>
    <w:rsid w:val="00DB63F2"/>
    <w:rsid w:val="00DB6668"/>
    <w:rsid w:val="00DC090F"/>
    <w:rsid w:val="00DC16B4"/>
    <w:rsid w:val="00DC1D93"/>
    <w:rsid w:val="00DC2CAB"/>
    <w:rsid w:val="00DC3D91"/>
    <w:rsid w:val="00DC4300"/>
    <w:rsid w:val="00DC45D8"/>
    <w:rsid w:val="00DD0646"/>
    <w:rsid w:val="00DD199B"/>
    <w:rsid w:val="00DD342A"/>
    <w:rsid w:val="00DD3AE4"/>
    <w:rsid w:val="00DD3BE4"/>
    <w:rsid w:val="00DD4202"/>
    <w:rsid w:val="00DD45B4"/>
    <w:rsid w:val="00DD65AB"/>
    <w:rsid w:val="00DE0BF3"/>
    <w:rsid w:val="00DE1472"/>
    <w:rsid w:val="00DE21AB"/>
    <w:rsid w:val="00DE3B33"/>
    <w:rsid w:val="00DE4A93"/>
    <w:rsid w:val="00DE4C65"/>
    <w:rsid w:val="00DF10F7"/>
    <w:rsid w:val="00DF1A63"/>
    <w:rsid w:val="00DF24CC"/>
    <w:rsid w:val="00DF2F05"/>
    <w:rsid w:val="00DF3E88"/>
    <w:rsid w:val="00DF4296"/>
    <w:rsid w:val="00DF629E"/>
    <w:rsid w:val="00E00498"/>
    <w:rsid w:val="00E03FEE"/>
    <w:rsid w:val="00E11191"/>
    <w:rsid w:val="00E11A6F"/>
    <w:rsid w:val="00E13D66"/>
    <w:rsid w:val="00E15D88"/>
    <w:rsid w:val="00E2128C"/>
    <w:rsid w:val="00E219D4"/>
    <w:rsid w:val="00E22404"/>
    <w:rsid w:val="00E22974"/>
    <w:rsid w:val="00E22B1E"/>
    <w:rsid w:val="00E27A3E"/>
    <w:rsid w:val="00E30647"/>
    <w:rsid w:val="00E31A96"/>
    <w:rsid w:val="00E33F83"/>
    <w:rsid w:val="00E34529"/>
    <w:rsid w:val="00E34934"/>
    <w:rsid w:val="00E36324"/>
    <w:rsid w:val="00E3671C"/>
    <w:rsid w:val="00E42427"/>
    <w:rsid w:val="00E4368E"/>
    <w:rsid w:val="00E4377B"/>
    <w:rsid w:val="00E4387C"/>
    <w:rsid w:val="00E4507E"/>
    <w:rsid w:val="00E459A6"/>
    <w:rsid w:val="00E462B3"/>
    <w:rsid w:val="00E46477"/>
    <w:rsid w:val="00E469B3"/>
    <w:rsid w:val="00E46D5A"/>
    <w:rsid w:val="00E51F24"/>
    <w:rsid w:val="00E53EC0"/>
    <w:rsid w:val="00E545DB"/>
    <w:rsid w:val="00E561AF"/>
    <w:rsid w:val="00E570A6"/>
    <w:rsid w:val="00E61D4C"/>
    <w:rsid w:val="00E62841"/>
    <w:rsid w:val="00E631C9"/>
    <w:rsid w:val="00E63B93"/>
    <w:rsid w:val="00E65632"/>
    <w:rsid w:val="00E67352"/>
    <w:rsid w:val="00E732DC"/>
    <w:rsid w:val="00E74230"/>
    <w:rsid w:val="00E7665E"/>
    <w:rsid w:val="00E80711"/>
    <w:rsid w:val="00E809F1"/>
    <w:rsid w:val="00E832C7"/>
    <w:rsid w:val="00E8472F"/>
    <w:rsid w:val="00E84F9A"/>
    <w:rsid w:val="00E867EB"/>
    <w:rsid w:val="00E86CAA"/>
    <w:rsid w:val="00E9016E"/>
    <w:rsid w:val="00E90F39"/>
    <w:rsid w:val="00E92047"/>
    <w:rsid w:val="00E92611"/>
    <w:rsid w:val="00E97D33"/>
    <w:rsid w:val="00EA2DB1"/>
    <w:rsid w:val="00EA3892"/>
    <w:rsid w:val="00EA6CB2"/>
    <w:rsid w:val="00EA7CD4"/>
    <w:rsid w:val="00EB260A"/>
    <w:rsid w:val="00EB35A9"/>
    <w:rsid w:val="00EB3E1F"/>
    <w:rsid w:val="00EB4001"/>
    <w:rsid w:val="00EB489D"/>
    <w:rsid w:val="00EB6412"/>
    <w:rsid w:val="00EB7A5A"/>
    <w:rsid w:val="00EB7EC2"/>
    <w:rsid w:val="00EC00EC"/>
    <w:rsid w:val="00EC2AB1"/>
    <w:rsid w:val="00EC72BE"/>
    <w:rsid w:val="00ED1077"/>
    <w:rsid w:val="00ED26EC"/>
    <w:rsid w:val="00ED581E"/>
    <w:rsid w:val="00EE011D"/>
    <w:rsid w:val="00EE0267"/>
    <w:rsid w:val="00EE04B0"/>
    <w:rsid w:val="00EE0C68"/>
    <w:rsid w:val="00EE4071"/>
    <w:rsid w:val="00EE5554"/>
    <w:rsid w:val="00EF0439"/>
    <w:rsid w:val="00EF07D0"/>
    <w:rsid w:val="00EF0C06"/>
    <w:rsid w:val="00EF386C"/>
    <w:rsid w:val="00EF4967"/>
    <w:rsid w:val="00EF573A"/>
    <w:rsid w:val="00EF5C3F"/>
    <w:rsid w:val="00EF6EDD"/>
    <w:rsid w:val="00EF723C"/>
    <w:rsid w:val="00F0010A"/>
    <w:rsid w:val="00F011C2"/>
    <w:rsid w:val="00F01EEB"/>
    <w:rsid w:val="00F02642"/>
    <w:rsid w:val="00F039FB"/>
    <w:rsid w:val="00F050F8"/>
    <w:rsid w:val="00F10950"/>
    <w:rsid w:val="00F1141F"/>
    <w:rsid w:val="00F14010"/>
    <w:rsid w:val="00F15381"/>
    <w:rsid w:val="00F1692F"/>
    <w:rsid w:val="00F1711D"/>
    <w:rsid w:val="00F17EB3"/>
    <w:rsid w:val="00F20A64"/>
    <w:rsid w:val="00F22966"/>
    <w:rsid w:val="00F23B65"/>
    <w:rsid w:val="00F25455"/>
    <w:rsid w:val="00F25CCC"/>
    <w:rsid w:val="00F27D61"/>
    <w:rsid w:val="00F30B18"/>
    <w:rsid w:val="00F3221A"/>
    <w:rsid w:val="00F34950"/>
    <w:rsid w:val="00F35FA3"/>
    <w:rsid w:val="00F3694A"/>
    <w:rsid w:val="00F3746F"/>
    <w:rsid w:val="00F43DFC"/>
    <w:rsid w:val="00F44BA3"/>
    <w:rsid w:val="00F450A0"/>
    <w:rsid w:val="00F4562D"/>
    <w:rsid w:val="00F46438"/>
    <w:rsid w:val="00F467B5"/>
    <w:rsid w:val="00F502DD"/>
    <w:rsid w:val="00F50631"/>
    <w:rsid w:val="00F5266C"/>
    <w:rsid w:val="00F5345F"/>
    <w:rsid w:val="00F5474B"/>
    <w:rsid w:val="00F54EAC"/>
    <w:rsid w:val="00F55CCA"/>
    <w:rsid w:val="00F5659D"/>
    <w:rsid w:val="00F565EC"/>
    <w:rsid w:val="00F569D0"/>
    <w:rsid w:val="00F56A9A"/>
    <w:rsid w:val="00F61017"/>
    <w:rsid w:val="00F617FB"/>
    <w:rsid w:val="00F61BC8"/>
    <w:rsid w:val="00F649AF"/>
    <w:rsid w:val="00F65770"/>
    <w:rsid w:val="00F65C1B"/>
    <w:rsid w:val="00F66914"/>
    <w:rsid w:val="00F66CCE"/>
    <w:rsid w:val="00F66DEF"/>
    <w:rsid w:val="00F672B3"/>
    <w:rsid w:val="00F677EC"/>
    <w:rsid w:val="00F707A2"/>
    <w:rsid w:val="00F70AB2"/>
    <w:rsid w:val="00F715F2"/>
    <w:rsid w:val="00F74D5B"/>
    <w:rsid w:val="00F75393"/>
    <w:rsid w:val="00F77EBB"/>
    <w:rsid w:val="00F80892"/>
    <w:rsid w:val="00F8177E"/>
    <w:rsid w:val="00F81A22"/>
    <w:rsid w:val="00F82562"/>
    <w:rsid w:val="00F82E49"/>
    <w:rsid w:val="00F845F0"/>
    <w:rsid w:val="00F8630F"/>
    <w:rsid w:val="00F901E0"/>
    <w:rsid w:val="00F92B97"/>
    <w:rsid w:val="00F946F6"/>
    <w:rsid w:val="00F954E2"/>
    <w:rsid w:val="00F96262"/>
    <w:rsid w:val="00F97DDE"/>
    <w:rsid w:val="00FA0439"/>
    <w:rsid w:val="00FA1F31"/>
    <w:rsid w:val="00FA41CF"/>
    <w:rsid w:val="00FA42BE"/>
    <w:rsid w:val="00FA4E4E"/>
    <w:rsid w:val="00FB138E"/>
    <w:rsid w:val="00FB1433"/>
    <w:rsid w:val="00FB1572"/>
    <w:rsid w:val="00FB1B60"/>
    <w:rsid w:val="00FB2913"/>
    <w:rsid w:val="00FB4305"/>
    <w:rsid w:val="00FB4D01"/>
    <w:rsid w:val="00FB55A5"/>
    <w:rsid w:val="00FB668F"/>
    <w:rsid w:val="00FB77ED"/>
    <w:rsid w:val="00FC05D1"/>
    <w:rsid w:val="00FC098C"/>
    <w:rsid w:val="00FC26A6"/>
    <w:rsid w:val="00FC342D"/>
    <w:rsid w:val="00FC4032"/>
    <w:rsid w:val="00FC43E5"/>
    <w:rsid w:val="00FC4613"/>
    <w:rsid w:val="00FC4F2E"/>
    <w:rsid w:val="00FC5CB8"/>
    <w:rsid w:val="00FC7D39"/>
    <w:rsid w:val="00FD1341"/>
    <w:rsid w:val="00FD60AE"/>
    <w:rsid w:val="00FD633D"/>
    <w:rsid w:val="00FD65CC"/>
    <w:rsid w:val="00FD7B60"/>
    <w:rsid w:val="00FE0F0B"/>
    <w:rsid w:val="00FE112C"/>
    <w:rsid w:val="00FE1A71"/>
    <w:rsid w:val="00FE2ED8"/>
    <w:rsid w:val="00FE366F"/>
    <w:rsid w:val="00FE5CE6"/>
    <w:rsid w:val="00FE73B9"/>
    <w:rsid w:val="00FF228D"/>
    <w:rsid w:val="00FF29D3"/>
    <w:rsid w:val="00FF31CF"/>
    <w:rsid w:val="00FF33B9"/>
    <w:rsid w:val="00FF35AD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9A3F"/>
  <w15:chartTrackingRefBased/>
  <w15:docId w15:val="{65365334-E072-4CF1-8A99-1D1A498E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A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A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A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A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50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0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1C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C3A"/>
  </w:style>
  <w:style w:type="paragraph" w:styleId="Footer">
    <w:name w:val="footer"/>
    <w:basedOn w:val="Normal"/>
    <w:link w:val="FooterChar"/>
    <w:uiPriority w:val="99"/>
    <w:unhideWhenUsed/>
    <w:rsid w:val="007B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C3A"/>
  </w:style>
  <w:style w:type="paragraph" w:styleId="ListBullet">
    <w:name w:val="List Bullet"/>
    <w:basedOn w:val="Normal"/>
    <w:uiPriority w:val="99"/>
    <w:unhideWhenUsed/>
    <w:rsid w:val="00A90B10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.godfrey@dpi.nc.gov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pi.nc.gov/districts-schools/office-federal-program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e.hatley@dpi.nc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judi.godfrey@dpi.n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e.hatley@dpi.nc.gov" TargetMode="External"/><Relationship Id="rId14" Type="http://schemas.openxmlformats.org/officeDocument/2006/relationships/hyperlink" Target="https://ccip.schools.n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065F-74C6-4147-A015-00023B15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Hatley</dc:creator>
  <cp:keywords/>
  <dc:description/>
  <cp:lastModifiedBy>Melissa Eddy</cp:lastModifiedBy>
  <cp:revision>7</cp:revision>
  <dcterms:created xsi:type="dcterms:W3CDTF">2025-09-24T20:47:00Z</dcterms:created>
  <dcterms:modified xsi:type="dcterms:W3CDTF">2025-09-25T13:50:00Z</dcterms:modified>
</cp:coreProperties>
</file>